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CA883" w14:textId="03C0521E" w:rsidR="00F72C9B" w:rsidRDefault="00247639" w:rsidP="00247639">
      <w:pPr>
        <w:pStyle w:val="Pagedecouverture"/>
        <w:rPr>
          <w:noProof/>
        </w:rPr>
      </w:pPr>
      <w:bookmarkStart w:id="0" w:name="LW_BM_COVERPAGE"/>
      <w:r>
        <w:rPr>
          <w:noProof/>
        </w:rPr>
        <w:pict w14:anchorId="4D635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62AD35D-F27D-4603-AAA9-03B936813663" style="width:455.25pt;height:410.25pt">
            <v:imagedata r:id="rId13" o:title=""/>
          </v:shape>
        </w:pict>
      </w:r>
    </w:p>
    <w:bookmarkEnd w:id="0"/>
    <w:p w14:paraId="77D7706F" w14:textId="77777777" w:rsidR="00F72C9B" w:rsidRDefault="00F72C9B" w:rsidP="00F72C9B">
      <w:pPr>
        <w:rPr>
          <w:noProof/>
          <w:lang w:val="en-GB"/>
        </w:rPr>
        <w:sectPr w:rsidR="00F72C9B" w:rsidSect="00247639">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14:paraId="745C6217" w14:textId="02BC9429" w:rsidR="004543BE" w:rsidRDefault="004543BE" w:rsidP="004543BE">
      <w:pPr>
        <w:spacing w:before="120" w:after="120" w:line="240" w:lineRule="auto"/>
        <w:jc w:val="center"/>
        <w:rPr>
          <w:rFonts w:ascii="Times New Roman" w:hAnsi="Times New Roman" w:cs="Times New Roman"/>
          <w:b/>
          <w:bCs/>
          <w:noProof/>
        </w:rPr>
      </w:pPr>
      <w:bookmarkStart w:id="1" w:name="_GoBack"/>
      <w:bookmarkEnd w:id="1"/>
      <w:r>
        <w:rPr>
          <w:rFonts w:ascii="Times New Roman" w:hAnsi="Times New Roman"/>
          <w:b/>
          <w:noProof/>
        </w:rPr>
        <w:lastRenderedPageBreak/>
        <w:t>LISA</w:t>
      </w:r>
    </w:p>
    <w:p w14:paraId="172BFAA7" w14:textId="77777777" w:rsidR="00C34E4F" w:rsidRPr="004543BE" w:rsidRDefault="00C34E4F" w:rsidP="004543BE">
      <w:pPr>
        <w:spacing w:before="120" w:after="120" w:line="240" w:lineRule="auto"/>
        <w:jc w:val="center"/>
        <w:rPr>
          <w:rFonts w:ascii="Times New Roman" w:hAnsi="Times New Roman" w:cs="Times New Roman"/>
          <w:b/>
          <w:bCs/>
          <w:noProof/>
          <w:lang w:val="en-GB"/>
        </w:rPr>
      </w:pPr>
    </w:p>
    <w:p w14:paraId="0D3B9A89" w14:textId="77777777" w:rsidR="00645BC7" w:rsidRPr="00E02B5D" w:rsidRDefault="00645BC7" w:rsidP="0083586C">
      <w:pPr>
        <w:pStyle w:val="Heading4"/>
        <w:ind w:left="0" w:firstLine="0"/>
        <w:rPr>
          <w:noProof/>
        </w:rPr>
      </w:pPr>
      <w:r>
        <w:rPr>
          <w:noProof/>
        </w:rPr>
        <w:t>1. JAGU. TAASTE- JA VASTUPIDAVUSKAVAGA ETTE NÄHTUD REFORMID JA INVESTEERINGUD</w:t>
      </w:r>
    </w:p>
    <w:p w14:paraId="42A42048" w14:textId="77777777" w:rsidR="00645BC7" w:rsidRPr="00E02B5D" w:rsidRDefault="00645BC7" w:rsidP="00645BC7">
      <w:pPr>
        <w:spacing w:before="120" w:after="120" w:line="240" w:lineRule="auto"/>
        <w:jc w:val="both"/>
        <w:rPr>
          <w:rFonts w:ascii="Times New Roman" w:hAnsi="Times New Roman" w:cs="Times New Roman"/>
          <w:noProof/>
          <w:sz w:val="24"/>
          <w:lang w:val="en-GB"/>
        </w:rPr>
      </w:pPr>
    </w:p>
    <w:p w14:paraId="2D7751EF" w14:textId="77777777" w:rsidR="00645BC7" w:rsidRPr="00E02B5D" w:rsidRDefault="00645BC7" w:rsidP="00DE1EE5">
      <w:pPr>
        <w:numPr>
          <w:ilvl w:val="6"/>
          <w:numId w:val="9"/>
        </w:numPr>
        <w:spacing w:before="120" w:after="120" w:line="240" w:lineRule="auto"/>
        <w:ind w:left="0" w:firstLine="0"/>
        <w:jc w:val="both"/>
        <w:rPr>
          <w:rFonts w:ascii="Times New Roman" w:hAnsi="Times New Roman" w:cs="Times New Roman"/>
          <w:noProof/>
          <w:sz w:val="24"/>
        </w:rPr>
      </w:pPr>
      <w:r>
        <w:rPr>
          <w:rFonts w:ascii="Times New Roman" w:hAnsi="Times New Roman"/>
          <w:b/>
          <w:noProof/>
          <w:sz w:val="24"/>
        </w:rPr>
        <w:t xml:space="preserve">Reformide ja investeeringute kirjeldus </w:t>
      </w:r>
    </w:p>
    <w:p w14:paraId="558F0741" w14:textId="77777777" w:rsidR="00645BC7" w:rsidRPr="00E02B5D" w:rsidRDefault="00645BC7" w:rsidP="00645BC7">
      <w:pPr>
        <w:spacing w:before="120" w:after="120" w:line="240" w:lineRule="auto"/>
        <w:jc w:val="both"/>
        <w:rPr>
          <w:rFonts w:ascii="Times New Roman" w:hAnsi="Times New Roman" w:cs="Times New Roman"/>
          <w:b/>
          <w:noProof/>
          <w:sz w:val="24"/>
          <w:lang w:val="en-GB"/>
        </w:rPr>
      </w:pPr>
    </w:p>
    <w:p w14:paraId="6B1622C0" w14:textId="77777777" w:rsidR="0081012C" w:rsidRPr="00E02B5D" w:rsidRDefault="00645BC7" w:rsidP="00DE1EE5">
      <w:pPr>
        <w:pStyle w:val="ListParagraph"/>
        <w:numPr>
          <w:ilvl w:val="0"/>
          <w:numId w:val="90"/>
        </w:numPr>
        <w:spacing w:before="120" w:after="120" w:line="240" w:lineRule="auto"/>
        <w:jc w:val="both"/>
        <w:outlineLvl w:val="3"/>
        <w:rPr>
          <w:rFonts w:ascii="Times New Roman" w:hAnsi="Times New Roman" w:cs="Times New Roman"/>
          <w:b/>
          <w:bCs/>
          <w:noProof/>
          <w:sz w:val="24"/>
        </w:rPr>
      </w:pPr>
      <w:r>
        <w:rPr>
          <w:rFonts w:ascii="Times New Roman" w:hAnsi="Times New Roman"/>
          <w:b/>
          <w:noProof/>
          <w:sz w:val="24"/>
        </w:rPr>
        <w:t>KOMPONENT 1.1. ENERGEETIKA</w:t>
      </w:r>
    </w:p>
    <w:p w14:paraId="4B400D4B" w14:textId="77777777" w:rsidR="00645BC7" w:rsidRPr="00E02B5D" w:rsidRDefault="00645BC7" w:rsidP="0081012C">
      <w:pPr>
        <w:jc w:val="both"/>
        <w:rPr>
          <w:rFonts w:ascii="Times New Roman" w:hAnsi="Times New Roman" w:cs="Times New Roman"/>
          <w:b/>
          <w:bCs/>
          <w:noProof/>
          <w:sz w:val="24"/>
        </w:rPr>
      </w:pPr>
      <w:r>
        <w:rPr>
          <w:rFonts w:ascii="Times New Roman" w:hAnsi="Times New Roman"/>
          <w:noProof/>
          <w:sz w:val="24"/>
        </w:rPr>
        <w:t>See Kreeka taaste- ja vastupidavuskava komponent on suunatud reformidele ja investeeringutele, mille eesmärk on suurendada taastuvate energiaallikate osakaalu elektrisüsteemis ja hõlbustada Kreeka CO</w:t>
      </w:r>
      <w:r>
        <w:rPr>
          <w:rFonts w:ascii="Times New Roman" w:hAnsi="Times New Roman"/>
          <w:noProof/>
          <w:sz w:val="24"/>
          <w:vertAlign w:val="subscript"/>
        </w:rPr>
        <w:t>2</w:t>
      </w:r>
      <w:r>
        <w:rPr>
          <w:rFonts w:ascii="Times New Roman" w:hAnsi="Times New Roman"/>
          <w:noProof/>
          <w:sz w:val="24"/>
        </w:rPr>
        <w:t xml:space="preserve"> heite vähendamist. Reformid lihtsustavad taastuvenergia investeeringute litsentsimiseeskirju, muudavad elektrituru tõhusamaks ja tagavad toetuskavade rahalise jätkusuutlikkuse. Komponent hõlmab ka põhiinvesteeringuid võrkudesse, et viia lõpule võrkude ühendamine Küklaadidega ning muuta elektrienergia jaotamine keskkonnasõbralikumaks ja suuta vastu võtta suurem osa taastuvenergiast. Salvestussüsteemid toetavad ka majanduse dekarboniseerimist taastuvatest energiaallikatest toodetud elektrienergia ülejäägi kogumise kaudu. Samuti toetatakse maa taastamist pruunsöe kaevandustena praegu kasutatavates piirkondades, mis on õiglase ülemineku protsessi üks etapp piirkondades, mida pruunsöe järkjärguline kasutuselt kõrvaldamine kõige rohkem mõjutab. Komponent on kooskõlas riikliku energia- ja kliimakavaga ning toetab avaliku ja erasektori investeeringuid käsitlevate riigipõhiste soovituste täitmist (2020. aasta riigipõhine soovitus 3 ja 2019. aasta riigipõhine soovitus 2).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734AE5A9"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u w:val="single"/>
        </w:rPr>
        <w:t xml:space="preserve">A.1. </w:t>
      </w:r>
      <w:r>
        <w:rPr>
          <w:noProof/>
        </w:rPr>
        <w:tab/>
      </w:r>
      <w:r>
        <w:rPr>
          <w:rFonts w:ascii="Times New Roman" w:hAnsi="Times New Roman"/>
          <w:b/>
          <w:noProof/>
          <w:sz w:val="24"/>
          <w:u w:val="single"/>
        </w:rPr>
        <w:t>Tagastamatu rahalise toetusega seotud reformide ja investeeringute kirjeldus</w:t>
      </w:r>
    </w:p>
    <w:p w14:paraId="1B59886C" w14:textId="3CAB40FA"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Investeering: </w:t>
      </w:r>
      <w:r>
        <w:rPr>
          <w:rFonts w:ascii="Times New Roman" w:hAnsi="Times New Roman"/>
          <w:noProof/>
          <w:sz w:val="24"/>
        </w:rPr>
        <w:t>Salvestamissüsteemide paigaldamise toetamine taastuvate energiaallikate osakaalu suurendamiseks (meetme ID: 16926)</w:t>
      </w:r>
    </w:p>
    <w:p w14:paraId="54D34CCF" w14:textId="77777777"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Investeeringuga antakse riiklikke toetusi kuni 1 380 MW energiasalvestusvõimsuse paigaldamiseks elektrisüsteemi. Nende investeeringute eesmärk on võimaldada riikliku energia- ja kliimakava eesmärkide saavutamiseks vajaliku uue taastuvenergia võimsuse süsteemi lõimimist. Lisaks on selle meetme eesmärk leevendada võrgu ülekoormust, suurendada elektrisüsteemi paindlikkust ja tasakaalustamisturu likviidsust, suurendada süsteemi piisavust, võimaldada energiatõhusust, edendada elektrihinna kujundamise läbipaistvust ja vähendada energiakulusid. Investeeringu rakendamine viiakse lõpule 31. detsembriks 2025.</w:t>
      </w:r>
    </w:p>
    <w:p w14:paraId="4936762B"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Investeering: </w:t>
      </w:r>
      <w:r>
        <w:rPr>
          <w:rFonts w:ascii="Times New Roman" w:hAnsi="Times New Roman"/>
          <w:noProof/>
          <w:sz w:val="24"/>
        </w:rPr>
        <w:t>Kõige enam mõjutatud territooriumide (õiglase ülemineku territooriumid) taaselustamine (meetme ID: 16871)</w:t>
      </w:r>
    </w:p>
    <w:p w14:paraId="3885FAE1" w14:textId="06F64BE7" w:rsidR="00EF26F4" w:rsidRDefault="00645BC7" w:rsidP="00EF26F4">
      <w:pPr>
        <w:spacing w:before="120" w:after="120" w:line="240" w:lineRule="auto"/>
        <w:jc w:val="both"/>
        <w:rPr>
          <w:rFonts w:ascii="Times New Roman" w:hAnsi="Times New Roman"/>
          <w:noProof/>
          <w:sz w:val="24"/>
        </w:rPr>
      </w:pPr>
      <w:r>
        <w:rPr>
          <w:rFonts w:ascii="Times New Roman" w:hAnsi="Times New Roman"/>
          <w:noProof/>
          <w:sz w:val="24"/>
        </w:rPr>
        <w:t xml:space="preserve">Investeering seisneb toetustes maa taastamise rahastamiseks endiste pruunsöekaevanduste aladel Lääne-Makedoonias ja Megalopolises. Meede on suunatud õiglase ülemineku aladele, hõlmates selliseid keskkonna- ja majandusmeetmeid nagu mulla tervendamine, maastiku taastamise ja keskkonna taastamisega seotud meetmete ümberkujundamine ja rakendamine, maakasutuse kohandamine ning organiseeritud tegevuste vastuvõtjate loomine. Kõnealuse investeeringu rakendamist juhib Kreeka poolt loodav eriotstarbeline rahastamisvahend. </w:t>
      </w:r>
      <w:r>
        <w:rPr>
          <w:rFonts w:ascii="Times New Roman" w:hAnsi="Times New Roman"/>
          <w:noProof/>
          <w:sz w:val="24"/>
        </w:rPr>
        <w:br w:type="page"/>
      </w:r>
    </w:p>
    <w:p w14:paraId="496028B6" w14:textId="17394834"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Eriotstarbelisest varakogumist saab üleantud geograafiliste piirkondade uus seaduslik omanik ja maa-arendaja. Eriotstarbeline projektiüksus vastutab sanitaar-, taastamis-, rehabilitatsiooni- ja uuendustööde rahastamise ja läbiviimise eest. Investeeringu rakendamine viiakse lõpule 31.</w:t>
      </w:r>
      <w:r w:rsidR="000C5439">
        <w:rPr>
          <w:rFonts w:ascii="Times New Roman" w:hAnsi="Times New Roman"/>
          <w:noProof/>
          <w:sz w:val="24"/>
        </w:rPr>
        <w:t> </w:t>
      </w:r>
      <w:r>
        <w:rPr>
          <w:rFonts w:ascii="Times New Roman" w:hAnsi="Times New Roman"/>
          <w:noProof/>
          <w:sz w:val="24"/>
        </w:rPr>
        <w:t>detsembriks 2025.</w:t>
      </w:r>
    </w:p>
    <w:p w14:paraId="0906A6D6" w14:textId="10E87DC8"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Sekkumised saarte elektrivõrkude ühendamiseks ja elektrivõrgu ajakohastamiseks (meetme ID: 16870)</w:t>
      </w:r>
    </w:p>
    <w:p w14:paraId="5F3B159D" w14:textId="25ABF329"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 hõlmab Küklaadide (D-etapp) elektriühendust, Kórinthose ja Koumoundourose ülikõrgepingekeskust (EHVC) ühendavat õhuliini ja kaasnevaid projekte. Projektide eesmärk on suurendada energiasüsteemi turvalisust, suurendades samal ajal ka taastuvenergiast elektrienergia tootmise potentsiaali saartel ja Peloponnesoses. Investeeringu eesmärk on vähendada energiakulusid, mis toob kaasa uusi investeeringuid ja töökohti energiamahukates majandussektorites. Investeeringu rakendamine viiakse lõpule 31. detsembriks 2025.</w:t>
      </w:r>
    </w:p>
    <w:p w14:paraId="78B918E0"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Investeering: </w:t>
      </w:r>
      <w:r>
        <w:rPr>
          <w:rFonts w:ascii="Times New Roman" w:hAnsi="Times New Roman"/>
          <w:noProof/>
          <w:sz w:val="24"/>
        </w:rPr>
        <w:t>Kreeka elektrijaotusvõrgu operaatori (HEDNO) võrgu ajakohastamine, et suurendada vastupidavust ja kaitsta keskkonda (meetme ID: 16901)</w:t>
      </w:r>
    </w:p>
    <w:p w14:paraId="6FFC3857" w14:textId="2A58A285"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 seisneb elektrijaotusvõrgu maa-aluses ja ümberehitamises kultuuri või turismi seisukohast eriti olulistes asulates, samuti linnapiirkondades, eelistades piirkondi, kus infrastruktuur on ekstreemsete ilmastikutingimuste suhtes haavatav. Selle eesmärk on parandada jaotusvõrgu vastupanuvõimet ja aidata kaasa keskkonnakaitsele. Investeeringu rakendamine viiakse lõpule 31. detsembriks 2025.</w:t>
      </w:r>
    </w:p>
    <w:p w14:paraId="3A0A6242"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Kreeka elektrijaotusvõrgu halduri (HEDNO) üldvõrgu uuendamine metsaaladel (meetme ID: 16900)</w:t>
      </w:r>
    </w:p>
    <w:p w14:paraId="3B68532C" w14:textId="77777777"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 seisneb katmata elektrijuhtmete asendamises elektrijaotusvõrgus (kaetud elektrijuhtmetega või keerdkaabliga), isolatsioonikatete paigaldamises ning metsaalasid läbiva elektrijaotusvõrgu maa-aluses või ümberehitamises. Projekti eesmärk on parandada võrgu vastupanuvõimet ja usaldusväärsust (energiakvaliteedi näitajad SAIDI, SAIFI) ning kaitsta paremini keskkonda (metsad, elusloodus). Investeeringu rakendamine viiakse lõpule 31. detsembriks 2025.</w:t>
      </w:r>
    </w:p>
    <w:p w14:paraId="2C4B869E"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Kreeka elektrijaotusvõrgu operaatori (HEDNO) kõrgepinge/keskmise pinge alajaamade installeeritud võimsuse suurendamine uue taastuvenergiaühenduse jaoks (meetme ID: 16899)</w:t>
      </w:r>
    </w:p>
    <w:p w14:paraId="687827C0" w14:textId="77777777" w:rsidR="00645BC7" w:rsidRPr="00E02B5D" w:rsidRDefault="38C6ED78"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Investeeringuga suurendatakse võrgu olemasolevate alajaamade võimsust, et vähendada jaotusvõrgu ülekoormust, mis takistab praegu täiendavate investeeringute tegemist taastuvenergiasse. Investeeringu rakendamine viiakse lõpule 31. detsembriks 2025.</w:t>
      </w:r>
    </w:p>
    <w:p w14:paraId="6499CE1C"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Taastuvate energiaallikatega seotud soojus- ja elektrienergia koostootmisest (RES-CHP) saadud tulude restruktureerimine ja suurendamine (meetme ID: 16865)</w:t>
      </w:r>
    </w:p>
    <w:p w14:paraId="454E4AA1" w14:textId="77777777" w:rsidR="00EF26F4" w:rsidRDefault="00645BC7" w:rsidP="00645BC7">
      <w:pPr>
        <w:spacing w:before="120" w:after="120" w:line="240" w:lineRule="auto"/>
        <w:jc w:val="both"/>
        <w:rPr>
          <w:rFonts w:ascii="Times New Roman" w:hAnsi="Times New Roman"/>
          <w:noProof/>
          <w:sz w:val="24"/>
        </w:rPr>
      </w:pPr>
      <w:r>
        <w:rPr>
          <w:rFonts w:ascii="Times New Roman" w:hAnsi="Times New Roman"/>
          <w:noProof/>
          <w:sz w:val="24"/>
        </w:rPr>
        <w:t xml:space="preserve">Reform hõlmab järgmist: a) taastuvate energiaallikate tootjate olemasoleva tasustamisstruktuuri ümberkorraldamine, luues uute taastuvate energiaallikate üksuste jaoks (mis võetakse kasutusele pärast 1. jaanuari 2021) uue taastuvate energiaallikate koostootmiskonto, mis asendab praegust kontot ja mida täiendavad uued mehhanismid, mis tagavad nii olemasolevate kui ka uute taastuvate energiaallikate koostootmiskontode rahalise elujõulisuse; ning b) kehtestada päritolutagatiste kaubandussüsteem, erakorraline COVID-19 maks taastuvate energiaallikate tootjatele ja tarnijatele ning alaline süsinikdioksiidimaks diislikütusele. Meetmetega tagatakse olemasoleva taastuvenergia olemasoleva võimsuse elujõulisus ja hõlbustatakse uute taastuvenergiaprojektide rahastamist, sest mis tahes ootamatu sissevoolu/väljavooluga, millel on negatiivne mõju taastuvenergia konto(de)le, tegeletakse regulatiivsete tasude kaudu, mis kantakse üle tarbijatele. </w:t>
      </w:r>
    </w:p>
    <w:p w14:paraId="5F824DEC" w14:textId="77777777" w:rsidR="00EF26F4" w:rsidRDefault="00EF26F4">
      <w:pPr>
        <w:rPr>
          <w:rFonts w:ascii="Times New Roman" w:hAnsi="Times New Roman"/>
          <w:noProof/>
          <w:sz w:val="24"/>
        </w:rPr>
      </w:pPr>
      <w:r>
        <w:rPr>
          <w:noProof/>
        </w:rPr>
        <w:br w:type="page"/>
      </w:r>
    </w:p>
    <w:p w14:paraId="7B84EE72" w14:textId="6791CD6A"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rakendamine, sealhulgas taastuvatest energiaallikatest elektri tootmise võimsuse suurendamine 3 gigavati võrra, viiakse lõpule 30. juuniks 2025.</w:t>
      </w:r>
    </w:p>
    <w:p w14:paraId="35BC894B"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Ühtlustada uue elektrituru mudeli tõhusat toimimist ja uute taastuvenergiajaamade arendamist, et saavutada riikliku energia- ja kliimakava eesmärgid, rakendades järelevalvemehhanismi, kasutades tarbimiskaja ja reformides põhjalikult uue taastuvenergia litsentsimismenetlust (meetme ID: 16860)</w:t>
      </w:r>
    </w:p>
    <w:p w14:paraId="1CEBE215"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 hõlmab taastuvenergia litsentsimisraamistiku ühtlustamist, sealhulgas menetluste lihtsustamist ja digiteerimist, lühikesi ja siduvaid halduslikke reageerimisaegu ja vastutusmenetlusi tarbetute viivituste korral, vajalike dokumentide ja menetluste vähendamist ning uut sihtotstarbelist raamistikku avamere taastuvenergiajaamade jaoks. Eesmärk on kiirendada taastuvate energiaallikate tootmisvõimsuse kahekordistamist, pidades silmas pruunsöe järkjärgulist kasutusest kõrvaldamist Kreekas.</w:t>
      </w:r>
    </w:p>
    <w:p w14:paraId="204CFF52"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Reformiga kehtestatakse ka riikliku reguleeriva asutuse turujärelevalvesüsteem ja tarbimiskaja kasutamine tasakaalustamisturul. </w:t>
      </w:r>
    </w:p>
    <w:p w14:paraId="44EBAF66"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rakendamine viiakse lõpule 30. juuni 2022.</w:t>
      </w:r>
    </w:p>
    <w:p w14:paraId="20B4C841" w14:textId="77777777" w:rsidR="00645BC7" w:rsidRPr="00AD4052" w:rsidRDefault="00645BC7" w:rsidP="00645BC7">
      <w:pPr>
        <w:spacing w:before="120" w:after="120" w:line="240" w:lineRule="auto"/>
        <w:ind w:left="709"/>
        <w:jc w:val="both"/>
        <w:rPr>
          <w:rFonts w:ascii="Times New Roman" w:hAnsi="Times New Roman" w:cs="Times New Roman"/>
          <w:noProof/>
          <w:sz w:val="24"/>
        </w:rPr>
      </w:pPr>
    </w:p>
    <w:p w14:paraId="3D17B1D6" w14:textId="77777777" w:rsidR="00645BC7" w:rsidRPr="00AD4052" w:rsidRDefault="00645BC7" w:rsidP="00645BC7">
      <w:pPr>
        <w:spacing w:before="120" w:after="120" w:line="240" w:lineRule="auto"/>
        <w:ind w:left="709"/>
        <w:jc w:val="both"/>
        <w:rPr>
          <w:rFonts w:ascii="Times New Roman" w:hAnsi="Times New Roman" w:cs="Times New Roman"/>
          <w:noProof/>
          <w:sz w:val="24"/>
        </w:rPr>
        <w:sectPr w:rsidR="00645BC7" w:rsidRPr="00AD4052" w:rsidSect="00F72C9B">
          <w:headerReference w:type="even" r:id="rId20"/>
          <w:headerReference w:type="default" r:id="rId21"/>
          <w:footerReference w:type="even" r:id="rId22"/>
          <w:footerReference w:type="default" r:id="rId23"/>
          <w:headerReference w:type="first" r:id="rId24"/>
          <w:footerReference w:type="first" r:id="rId25"/>
          <w:pgSz w:w="11907" w:h="16839"/>
          <w:pgMar w:top="1134" w:right="1134" w:bottom="1134" w:left="1134" w:header="567" w:footer="567" w:gutter="0"/>
          <w:cols w:space="720"/>
          <w:docGrid w:linePitch="360"/>
        </w:sectPr>
      </w:pPr>
    </w:p>
    <w:p w14:paraId="510E3BCD" w14:textId="77777777" w:rsidR="00645BC7" w:rsidRPr="00E02B5D" w:rsidRDefault="00645BC7" w:rsidP="00645BC7">
      <w:pPr>
        <w:keepNext/>
        <w:keepLines/>
        <w:spacing w:before="240" w:after="0" w:line="240" w:lineRule="auto"/>
        <w:jc w:val="both"/>
        <w:outlineLvl w:val="4"/>
        <w:rPr>
          <w:rFonts w:ascii="Cambria" w:eastAsia="Times New Roman" w:hAnsi="Cambria"/>
          <w:noProof/>
          <w:color w:val="365F91"/>
          <w:sz w:val="24"/>
        </w:rPr>
      </w:pPr>
      <w:r>
        <w:rPr>
          <w:rFonts w:ascii="Times New Roman" w:hAnsi="Times New Roman"/>
          <w:b/>
          <w:noProof/>
          <w:sz w:val="24"/>
          <w:u w:val="single"/>
        </w:rPr>
        <w:t xml:space="preserve">A.2. </w:t>
      </w:r>
      <w:r>
        <w:rPr>
          <w:noProof/>
        </w:rPr>
        <w:tab/>
      </w:r>
      <w:r>
        <w:rPr>
          <w:rFonts w:ascii="Times New Roman" w:hAnsi="Times New Roman"/>
          <w:b/>
          <w:noProof/>
          <w:sz w:val="24"/>
          <w:u w:val="single"/>
        </w:rPr>
        <w:t>Tagastamatu rahalise toetuse eesmärgid, sihid, näitajad ning seire ja rakendamise ajakava</w:t>
      </w:r>
    </w:p>
    <w:p w14:paraId="2A19183E" w14:textId="77777777" w:rsidR="00685365" w:rsidRPr="00E02B5D" w:rsidRDefault="00645BC7" w:rsidP="00F6259B">
      <w:pPr>
        <w:keepNext/>
        <w:keepLines/>
        <w:spacing w:before="240" w:after="0" w:line="240" w:lineRule="auto"/>
        <w:jc w:val="both"/>
        <w:outlineLvl w:val="4"/>
        <w:rPr>
          <w:rFonts w:ascii="Cambria" w:eastAsia="Times New Roman" w:hAnsi="Cambria"/>
          <w:noProof/>
          <w:color w:val="365F91"/>
          <w:sz w:val="24"/>
        </w:rPr>
      </w:pPr>
      <w:r>
        <w:rPr>
          <w:rFonts w:ascii="Cambria" w:hAnsi="Cambria"/>
          <w:noProof/>
          <w:color w:val="365F91"/>
          <w:sz w:val="24"/>
        </w:rPr>
        <w:t>Põhiinvesteering 1: Sekkumised saarte elektrivõrkude ühendamiseks ja elektrivõrgu ajakohastamiseks</w:t>
      </w:r>
    </w:p>
    <w:p w14:paraId="1FC3C42A" w14:textId="77777777" w:rsidR="00645BC7" w:rsidRPr="00AD4052" w:rsidRDefault="00645BC7" w:rsidP="00685365">
      <w:pPr>
        <w:jc w:val="right"/>
        <w:rPr>
          <w:rFonts w:ascii="Cambria" w:eastAsia="Times New Roman" w:hAnsi="Cambria"/>
          <w:noProof/>
          <w:sz w:val="24"/>
        </w:rPr>
      </w:pPr>
    </w:p>
    <w:tbl>
      <w:tblPr>
        <w:tblW w:w="14737" w:type="dxa"/>
        <w:tblLayout w:type="fixed"/>
        <w:tblLook w:val="04A0" w:firstRow="1" w:lastRow="0" w:firstColumn="1" w:lastColumn="0" w:noHBand="0" w:noVBand="1"/>
      </w:tblPr>
      <w:tblGrid>
        <w:gridCol w:w="562"/>
        <w:gridCol w:w="2127"/>
        <w:gridCol w:w="992"/>
        <w:gridCol w:w="1513"/>
        <w:gridCol w:w="1690"/>
        <w:gridCol w:w="951"/>
        <w:gridCol w:w="1047"/>
        <w:gridCol w:w="651"/>
        <w:gridCol w:w="896"/>
        <w:gridCol w:w="10"/>
        <w:gridCol w:w="887"/>
        <w:gridCol w:w="3411"/>
      </w:tblGrid>
      <w:tr w:rsidR="00E13D88" w:rsidRPr="003B132A" w14:paraId="488A1750" w14:textId="77777777" w:rsidTr="001101FB">
        <w:trPr>
          <w:trHeight w:val="1125"/>
          <w:tblHeader/>
        </w:trPr>
        <w:tc>
          <w:tcPr>
            <w:tcW w:w="562" w:type="dxa"/>
            <w:vMerge w:val="restart"/>
            <w:tcBorders>
              <w:top w:val="single" w:sz="4" w:space="0" w:color="auto"/>
              <w:left w:val="single" w:sz="4" w:space="0" w:color="auto"/>
              <w:right w:val="single" w:sz="4" w:space="0" w:color="auto"/>
            </w:tcBorders>
            <w:shd w:val="clear" w:color="auto" w:fill="BDD7EE"/>
            <w:vAlign w:val="center"/>
            <w:hideMark/>
          </w:tcPr>
          <w:p w14:paraId="3449373B" w14:textId="77777777" w:rsidR="00E13D88" w:rsidRPr="00E02B5D" w:rsidRDefault="00E13D88" w:rsidP="00E13D88">
            <w:pPr>
              <w:spacing w:before="120" w:after="120" w:line="240" w:lineRule="auto"/>
              <w:jc w:val="center"/>
              <w:rPr>
                <w:rFonts w:ascii="Times New Roman" w:hAnsi="Times New Roman" w:cs="Times New Roman"/>
                <w:noProof/>
                <w:sz w:val="24"/>
              </w:rPr>
            </w:pPr>
            <w:r>
              <w:rPr>
                <w:rFonts w:ascii="Times New Roman" w:hAnsi="Times New Roman"/>
                <w:b/>
                <w:noProof/>
                <w:sz w:val="18"/>
              </w:rPr>
              <w:t>Järjekorranumber</w:t>
            </w:r>
          </w:p>
          <w:p w14:paraId="77D8A035" w14:textId="77777777" w:rsidR="00E13D88" w:rsidRPr="00E02B5D" w:rsidRDefault="00E13D88" w:rsidP="00E13D88">
            <w:pPr>
              <w:spacing w:before="120" w:after="120" w:line="240" w:lineRule="auto"/>
              <w:jc w:val="center"/>
              <w:rPr>
                <w:rFonts w:ascii="Times New Roman" w:hAnsi="Times New Roman" w:cs="Times New Roman"/>
                <w:noProof/>
                <w:sz w:val="24"/>
                <w:lang w:val="en-GB"/>
              </w:rPr>
            </w:pPr>
          </w:p>
        </w:tc>
        <w:tc>
          <w:tcPr>
            <w:tcW w:w="2127" w:type="dxa"/>
            <w:vMerge w:val="restart"/>
            <w:tcBorders>
              <w:top w:val="single" w:sz="4" w:space="0" w:color="auto"/>
              <w:left w:val="single" w:sz="4" w:space="0" w:color="auto"/>
              <w:right w:val="single" w:sz="4" w:space="0" w:color="auto"/>
            </w:tcBorders>
            <w:shd w:val="clear" w:color="auto" w:fill="BDD7EE"/>
            <w:vAlign w:val="center"/>
            <w:hideMark/>
          </w:tcPr>
          <w:p w14:paraId="4C86FFEC" w14:textId="77777777" w:rsidR="00E13D88" w:rsidRPr="00E02B5D" w:rsidRDefault="00E13D88" w:rsidP="00E13D88">
            <w:pPr>
              <w:spacing w:before="120" w:after="120" w:line="240" w:lineRule="auto"/>
              <w:jc w:val="center"/>
              <w:rPr>
                <w:rFonts w:ascii="Times New Roman" w:hAnsi="Times New Roman" w:cs="Times New Roman"/>
                <w:noProof/>
                <w:sz w:val="24"/>
              </w:rPr>
            </w:pPr>
            <w:r>
              <w:rPr>
                <w:rFonts w:ascii="Times New Roman" w:hAnsi="Times New Roman"/>
                <w:b/>
                <w:noProof/>
                <w:sz w:val="18"/>
              </w:rPr>
              <w:t>Seotud meede (reform või investeering)</w:t>
            </w:r>
          </w:p>
        </w:tc>
        <w:tc>
          <w:tcPr>
            <w:tcW w:w="992" w:type="dxa"/>
            <w:vMerge w:val="restart"/>
            <w:tcBorders>
              <w:top w:val="single" w:sz="4" w:space="0" w:color="auto"/>
              <w:left w:val="single" w:sz="4" w:space="0" w:color="auto"/>
              <w:right w:val="single" w:sz="4" w:space="0" w:color="auto"/>
            </w:tcBorders>
            <w:shd w:val="clear" w:color="auto" w:fill="BDD7EE"/>
            <w:vAlign w:val="center"/>
            <w:hideMark/>
          </w:tcPr>
          <w:p w14:paraId="7214E583" w14:textId="77777777" w:rsidR="00E13D88" w:rsidRPr="00E02B5D" w:rsidRDefault="00E13D88" w:rsidP="00E13D88">
            <w:pPr>
              <w:spacing w:before="120" w:after="120" w:line="240" w:lineRule="auto"/>
              <w:jc w:val="center"/>
              <w:rPr>
                <w:rFonts w:ascii="Times New Roman" w:hAnsi="Times New Roman" w:cs="Times New Roman"/>
                <w:noProof/>
                <w:sz w:val="24"/>
              </w:rPr>
            </w:pPr>
            <w:r>
              <w:rPr>
                <w:rFonts w:ascii="Times New Roman" w:hAnsi="Times New Roman"/>
                <w:b/>
                <w:noProof/>
                <w:sz w:val="18"/>
              </w:rPr>
              <w:t>Eesmärk / siht</w:t>
            </w:r>
          </w:p>
        </w:tc>
        <w:tc>
          <w:tcPr>
            <w:tcW w:w="1513" w:type="dxa"/>
            <w:vMerge w:val="restart"/>
            <w:tcBorders>
              <w:top w:val="single" w:sz="4" w:space="0" w:color="auto"/>
              <w:left w:val="nil"/>
              <w:right w:val="single" w:sz="4" w:space="0" w:color="auto"/>
            </w:tcBorders>
            <w:shd w:val="clear" w:color="auto" w:fill="BDD7EE"/>
            <w:vAlign w:val="center"/>
            <w:hideMark/>
          </w:tcPr>
          <w:p w14:paraId="26B5B832" w14:textId="77777777" w:rsidR="00E13D88" w:rsidRPr="00E02B5D" w:rsidRDefault="00E13D88" w:rsidP="00E13D88">
            <w:pPr>
              <w:spacing w:before="120" w:after="120" w:line="240" w:lineRule="auto"/>
              <w:jc w:val="center"/>
              <w:rPr>
                <w:rFonts w:ascii="Times New Roman" w:hAnsi="Times New Roman" w:cs="Times New Roman"/>
                <w:noProof/>
                <w:sz w:val="24"/>
              </w:rPr>
            </w:pPr>
            <w:r>
              <w:rPr>
                <w:rFonts w:ascii="Times New Roman" w:hAnsi="Times New Roman"/>
                <w:b/>
                <w:noProof/>
                <w:sz w:val="18"/>
              </w:rPr>
              <w:t>Nimi</w:t>
            </w:r>
          </w:p>
        </w:tc>
        <w:tc>
          <w:tcPr>
            <w:tcW w:w="1690" w:type="dxa"/>
            <w:vMerge w:val="restart"/>
            <w:tcBorders>
              <w:top w:val="single" w:sz="4" w:space="0" w:color="auto"/>
              <w:left w:val="single" w:sz="4" w:space="0" w:color="auto"/>
              <w:right w:val="single" w:sz="4" w:space="0" w:color="auto"/>
            </w:tcBorders>
            <w:shd w:val="clear" w:color="auto" w:fill="BDD7EE"/>
            <w:vAlign w:val="center"/>
            <w:hideMark/>
          </w:tcPr>
          <w:p w14:paraId="24681555" w14:textId="77777777" w:rsidR="00E13D88" w:rsidRPr="00E02B5D" w:rsidRDefault="00E13D88" w:rsidP="00E13D88">
            <w:pPr>
              <w:spacing w:before="120" w:after="120" w:line="240" w:lineRule="auto"/>
              <w:jc w:val="center"/>
              <w:rPr>
                <w:rFonts w:ascii="Times New Roman" w:hAnsi="Times New Roman" w:cs="Times New Roman"/>
                <w:noProof/>
                <w:sz w:val="24"/>
              </w:rPr>
            </w:pPr>
            <w:r>
              <w:rPr>
                <w:rFonts w:ascii="Times New Roman" w:hAnsi="Times New Roman"/>
                <w:b/>
                <w:noProof/>
                <w:sz w:val="18"/>
              </w:rPr>
              <w:t>Kvalitatiivsed näitajad (eesmärkide puhul)</w:t>
            </w:r>
          </w:p>
        </w:tc>
        <w:tc>
          <w:tcPr>
            <w:tcW w:w="2649" w:type="dxa"/>
            <w:gridSpan w:val="3"/>
            <w:tcBorders>
              <w:top w:val="single" w:sz="4" w:space="0" w:color="auto"/>
              <w:left w:val="nil"/>
              <w:bottom w:val="single" w:sz="4" w:space="0" w:color="auto"/>
              <w:right w:val="single" w:sz="4" w:space="0" w:color="auto"/>
            </w:tcBorders>
            <w:shd w:val="clear" w:color="auto" w:fill="BDD7EE"/>
            <w:vAlign w:val="center"/>
            <w:hideMark/>
          </w:tcPr>
          <w:p w14:paraId="48071613" w14:textId="77777777" w:rsidR="00E13D88" w:rsidRPr="00E02B5D" w:rsidRDefault="00E13D88" w:rsidP="00E13D88">
            <w:pPr>
              <w:spacing w:before="120" w:after="120" w:line="240" w:lineRule="auto"/>
              <w:jc w:val="center"/>
              <w:rPr>
                <w:rFonts w:ascii="Times New Roman" w:hAnsi="Times New Roman" w:cs="Times New Roman"/>
                <w:noProof/>
                <w:sz w:val="24"/>
              </w:rPr>
            </w:pPr>
            <w:r>
              <w:rPr>
                <w:rFonts w:ascii="Times New Roman" w:hAnsi="Times New Roman"/>
                <w:b/>
                <w:noProof/>
                <w:sz w:val="18"/>
              </w:rPr>
              <w:t>Kvantitatiivsed näitajad (sihtide puhul)</w:t>
            </w:r>
          </w:p>
        </w:tc>
        <w:tc>
          <w:tcPr>
            <w:tcW w:w="1793" w:type="dxa"/>
            <w:gridSpan w:val="3"/>
            <w:tcBorders>
              <w:top w:val="single" w:sz="4" w:space="0" w:color="auto"/>
              <w:left w:val="nil"/>
              <w:bottom w:val="single" w:sz="4" w:space="0" w:color="auto"/>
              <w:right w:val="single" w:sz="4" w:space="0" w:color="auto"/>
            </w:tcBorders>
            <w:shd w:val="clear" w:color="auto" w:fill="BDD7EE"/>
            <w:vAlign w:val="center"/>
            <w:hideMark/>
          </w:tcPr>
          <w:p w14:paraId="52E6B995" w14:textId="77777777" w:rsidR="00E13D88" w:rsidRPr="00E02B5D" w:rsidRDefault="00E13D88" w:rsidP="00E13D88">
            <w:pPr>
              <w:spacing w:before="120" w:after="120" w:line="240" w:lineRule="auto"/>
              <w:jc w:val="center"/>
              <w:rPr>
                <w:rFonts w:ascii="Times New Roman" w:hAnsi="Times New Roman" w:cs="Times New Roman"/>
                <w:noProof/>
                <w:sz w:val="24"/>
              </w:rPr>
            </w:pPr>
            <w:r>
              <w:rPr>
                <w:rFonts w:ascii="Times New Roman" w:hAnsi="Times New Roman"/>
                <w:b/>
                <w:noProof/>
                <w:sz w:val="18"/>
              </w:rPr>
              <w:t>Lõpuleviimise soovituslik ajakava</w:t>
            </w:r>
          </w:p>
        </w:tc>
        <w:tc>
          <w:tcPr>
            <w:tcW w:w="34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6A6B6F" w14:textId="77777777" w:rsidR="00E13D88" w:rsidRPr="00E02B5D" w:rsidRDefault="00E13D88" w:rsidP="00E13D88">
            <w:pPr>
              <w:spacing w:before="120" w:after="120" w:line="240" w:lineRule="auto"/>
              <w:jc w:val="center"/>
              <w:rPr>
                <w:rFonts w:ascii="Times New Roman" w:hAnsi="Times New Roman" w:cs="Times New Roman"/>
                <w:noProof/>
                <w:sz w:val="24"/>
              </w:rPr>
            </w:pPr>
            <w:r>
              <w:rPr>
                <w:rFonts w:ascii="Times New Roman" w:hAnsi="Times New Roman"/>
                <w:b/>
                <w:noProof/>
                <w:sz w:val="18"/>
              </w:rPr>
              <w:t>Iga eesmärgi ja sihi kirjeldus</w:t>
            </w:r>
          </w:p>
          <w:p w14:paraId="25A86727" w14:textId="77777777" w:rsidR="00E13D88" w:rsidRPr="00E02B5D" w:rsidRDefault="00E13D88" w:rsidP="00E13D88">
            <w:pPr>
              <w:spacing w:before="120" w:after="120" w:line="240" w:lineRule="auto"/>
              <w:jc w:val="center"/>
              <w:rPr>
                <w:rFonts w:ascii="Times New Roman" w:hAnsi="Times New Roman" w:cs="Times New Roman"/>
                <w:noProof/>
                <w:sz w:val="24"/>
                <w:lang w:val="en-GB"/>
              </w:rPr>
            </w:pPr>
          </w:p>
        </w:tc>
      </w:tr>
      <w:tr w:rsidR="00E13D88" w:rsidRPr="00E02B5D" w14:paraId="6F0ED93F" w14:textId="77777777" w:rsidTr="001101FB">
        <w:trPr>
          <w:trHeight w:val="848"/>
          <w:tblHeader/>
        </w:trPr>
        <w:tc>
          <w:tcPr>
            <w:tcW w:w="562" w:type="dxa"/>
            <w:vMerge/>
            <w:tcBorders>
              <w:left w:val="single" w:sz="4" w:space="0" w:color="auto"/>
              <w:bottom w:val="single" w:sz="4" w:space="0" w:color="000000"/>
              <w:right w:val="single" w:sz="4" w:space="0" w:color="auto"/>
            </w:tcBorders>
            <w:shd w:val="clear" w:color="auto" w:fill="BDD7EE"/>
            <w:vAlign w:val="center"/>
          </w:tcPr>
          <w:p w14:paraId="74AD3139" w14:textId="77777777" w:rsidR="00E13D88" w:rsidRPr="00E02B5D" w:rsidRDefault="00E13D88" w:rsidP="00E13D88">
            <w:pPr>
              <w:spacing w:before="120" w:after="120" w:line="240" w:lineRule="auto"/>
              <w:jc w:val="center"/>
              <w:rPr>
                <w:rFonts w:ascii="Times New Roman" w:eastAsia="Times New Roman" w:hAnsi="Times New Roman" w:cs="Times New Roman"/>
                <w:b/>
                <w:bCs/>
                <w:noProof/>
                <w:sz w:val="18"/>
                <w:szCs w:val="18"/>
                <w:lang w:val="en-GB" w:eastAsia="en-GB"/>
              </w:rPr>
            </w:pPr>
          </w:p>
        </w:tc>
        <w:tc>
          <w:tcPr>
            <w:tcW w:w="2127" w:type="dxa"/>
            <w:vMerge/>
            <w:tcBorders>
              <w:left w:val="single" w:sz="4" w:space="0" w:color="auto"/>
              <w:bottom w:val="single" w:sz="4" w:space="0" w:color="auto"/>
              <w:right w:val="single" w:sz="4" w:space="0" w:color="auto"/>
            </w:tcBorders>
            <w:shd w:val="clear" w:color="auto" w:fill="BDD7EE"/>
            <w:vAlign w:val="center"/>
          </w:tcPr>
          <w:p w14:paraId="33465DC1" w14:textId="77777777" w:rsidR="00E13D88" w:rsidRPr="00E02B5D" w:rsidRDefault="00E13D88" w:rsidP="00E13D88">
            <w:pPr>
              <w:spacing w:before="120" w:after="120" w:line="240" w:lineRule="auto"/>
              <w:jc w:val="center"/>
              <w:rPr>
                <w:rFonts w:ascii="Times New Roman" w:eastAsia="Times New Roman" w:hAnsi="Times New Roman" w:cs="Times New Roman"/>
                <w:b/>
                <w:bCs/>
                <w:noProof/>
                <w:sz w:val="18"/>
                <w:szCs w:val="18"/>
                <w:lang w:val="en-GB" w:eastAsia="en-GB"/>
              </w:rPr>
            </w:pPr>
          </w:p>
        </w:tc>
        <w:tc>
          <w:tcPr>
            <w:tcW w:w="992" w:type="dxa"/>
            <w:vMerge/>
            <w:tcBorders>
              <w:left w:val="single" w:sz="4" w:space="0" w:color="auto"/>
              <w:bottom w:val="single" w:sz="4" w:space="0" w:color="auto"/>
              <w:right w:val="single" w:sz="4" w:space="0" w:color="auto"/>
            </w:tcBorders>
            <w:shd w:val="clear" w:color="auto" w:fill="BDD7EE"/>
            <w:vAlign w:val="center"/>
          </w:tcPr>
          <w:p w14:paraId="2D878D4E" w14:textId="77777777" w:rsidR="00E13D88" w:rsidRPr="00E02B5D" w:rsidRDefault="00E13D88" w:rsidP="00E13D88">
            <w:pPr>
              <w:spacing w:before="120" w:after="120" w:line="240" w:lineRule="auto"/>
              <w:jc w:val="center"/>
              <w:rPr>
                <w:rFonts w:ascii="Times New Roman" w:eastAsia="Times New Roman" w:hAnsi="Times New Roman" w:cs="Times New Roman"/>
                <w:b/>
                <w:bCs/>
                <w:noProof/>
                <w:sz w:val="18"/>
                <w:szCs w:val="18"/>
                <w:lang w:val="en-GB" w:eastAsia="en-GB"/>
              </w:rPr>
            </w:pPr>
          </w:p>
        </w:tc>
        <w:tc>
          <w:tcPr>
            <w:tcW w:w="1513" w:type="dxa"/>
            <w:vMerge/>
            <w:tcBorders>
              <w:left w:val="nil"/>
              <w:bottom w:val="single" w:sz="4" w:space="0" w:color="auto"/>
              <w:right w:val="single" w:sz="4" w:space="0" w:color="auto"/>
            </w:tcBorders>
            <w:shd w:val="clear" w:color="auto" w:fill="BDD7EE"/>
            <w:vAlign w:val="center"/>
          </w:tcPr>
          <w:p w14:paraId="4444BB28" w14:textId="77777777" w:rsidR="00E13D88" w:rsidRPr="00E02B5D" w:rsidRDefault="00E13D88" w:rsidP="00E13D88">
            <w:pPr>
              <w:spacing w:before="120" w:after="120" w:line="240" w:lineRule="auto"/>
              <w:jc w:val="center"/>
              <w:rPr>
                <w:rFonts w:ascii="Times New Roman" w:eastAsia="Times New Roman" w:hAnsi="Times New Roman" w:cs="Times New Roman"/>
                <w:b/>
                <w:bCs/>
                <w:noProof/>
                <w:sz w:val="18"/>
                <w:szCs w:val="18"/>
                <w:lang w:val="en-GB" w:eastAsia="en-GB"/>
              </w:rPr>
            </w:pPr>
          </w:p>
        </w:tc>
        <w:tc>
          <w:tcPr>
            <w:tcW w:w="1690" w:type="dxa"/>
            <w:vMerge/>
            <w:tcBorders>
              <w:left w:val="single" w:sz="4" w:space="0" w:color="auto"/>
              <w:bottom w:val="single" w:sz="4" w:space="0" w:color="auto"/>
              <w:right w:val="single" w:sz="4" w:space="0" w:color="auto"/>
            </w:tcBorders>
            <w:shd w:val="clear" w:color="auto" w:fill="BDD7EE"/>
            <w:vAlign w:val="center"/>
          </w:tcPr>
          <w:p w14:paraId="1BCCD4DC" w14:textId="77777777" w:rsidR="00E13D88" w:rsidRPr="00E02B5D" w:rsidRDefault="00E13D88" w:rsidP="00E13D88">
            <w:pPr>
              <w:spacing w:before="120" w:after="120" w:line="240" w:lineRule="auto"/>
              <w:jc w:val="center"/>
              <w:rPr>
                <w:rFonts w:ascii="Times New Roman" w:eastAsia="Times New Roman" w:hAnsi="Times New Roman" w:cs="Times New Roman"/>
                <w:b/>
                <w:bCs/>
                <w:noProof/>
                <w:sz w:val="18"/>
                <w:szCs w:val="18"/>
                <w:lang w:val="en-GB" w:eastAsia="en-GB"/>
              </w:rPr>
            </w:pPr>
          </w:p>
        </w:tc>
        <w:tc>
          <w:tcPr>
            <w:tcW w:w="951" w:type="dxa"/>
            <w:tcBorders>
              <w:top w:val="single" w:sz="4" w:space="0" w:color="auto"/>
              <w:left w:val="nil"/>
              <w:bottom w:val="single" w:sz="4" w:space="0" w:color="auto"/>
              <w:right w:val="single" w:sz="4" w:space="0" w:color="auto"/>
            </w:tcBorders>
            <w:shd w:val="clear" w:color="auto" w:fill="BDD7EE"/>
            <w:vAlign w:val="center"/>
          </w:tcPr>
          <w:p w14:paraId="1C0EC1E8" w14:textId="77777777" w:rsidR="00E13D88" w:rsidRPr="00E02B5D" w:rsidRDefault="00E13D88" w:rsidP="00E13D88">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047" w:type="dxa"/>
            <w:tcBorders>
              <w:top w:val="single" w:sz="4" w:space="0" w:color="auto"/>
              <w:left w:val="nil"/>
              <w:bottom w:val="single" w:sz="4" w:space="0" w:color="auto"/>
              <w:right w:val="single" w:sz="4" w:space="0" w:color="auto"/>
            </w:tcBorders>
            <w:shd w:val="clear" w:color="auto" w:fill="BDD7EE"/>
            <w:vAlign w:val="center"/>
          </w:tcPr>
          <w:p w14:paraId="7D31ADC8" w14:textId="77777777" w:rsidR="00E13D88" w:rsidRPr="00E02B5D" w:rsidRDefault="00E13D88" w:rsidP="00E13D88">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651" w:type="dxa"/>
            <w:tcBorders>
              <w:top w:val="single" w:sz="4" w:space="0" w:color="auto"/>
              <w:left w:val="nil"/>
              <w:bottom w:val="single" w:sz="4" w:space="0" w:color="auto"/>
              <w:right w:val="single" w:sz="4" w:space="0" w:color="auto"/>
            </w:tcBorders>
            <w:shd w:val="clear" w:color="auto" w:fill="BDD7EE"/>
            <w:vAlign w:val="center"/>
          </w:tcPr>
          <w:p w14:paraId="75E4BCF3" w14:textId="77777777" w:rsidR="00E13D88" w:rsidRPr="00E02B5D" w:rsidRDefault="00E13D88" w:rsidP="00E13D88">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896" w:type="dxa"/>
            <w:tcBorders>
              <w:top w:val="single" w:sz="4" w:space="0" w:color="auto"/>
              <w:left w:val="nil"/>
              <w:bottom w:val="single" w:sz="4" w:space="0" w:color="auto"/>
              <w:right w:val="single" w:sz="4" w:space="0" w:color="auto"/>
            </w:tcBorders>
            <w:shd w:val="clear" w:color="auto" w:fill="BDD7EE"/>
            <w:vAlign w:val="center"/>
          </w:tcPr>
          <w:p w14:paraId="6331BAAC" w14:textId="77777777" w:rsidR="00E13D88" w:rsidRPr="00E02B5D" w:rsidRDefault="00E13D88" w:rsidP="00E13D88">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897" w:type="dxa"/>
            <w:gridSpan w:val="2"/>
            <w:tcBorders>
              <w:top w:val="single" w:sz="4" w:space="0" w:color="auto"/>
              <w:left w:val="nil"/>
              <w:bottom w:val="single" w:sz="4" w:space="0" w:color="auto"/>
              <w:right w:val="single" w:sz="4" w:space="0" w:color="auto"/>
            </w:tcBorders>
            <w:shd w:val="clear" w:color="auto" w:fill="BDD7EE"/>
            <w:vAlign w:val="center"/>
          </w:tcPr>
          <w:p w14:paraId="05D35731" w14:textId="77777777" w:rsidR="00E13D88" w:rsidRPr="00E02B5D" w:rsidRDefault="00E13D88" w:rsidP="00E13D88">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411" w:type="dxa"/>
            <w:vMerge/>
            <w:tcBorders>
              <w:left w:val="single" w:sz="4" w:space="0" w:color="auto"/>
              <w:bottom w:val="single" w:sz="4" w:space="0" w:color="auto"/>
              <w:right w:val="single" w:sz="4" w:space="0" w:color="auto"/>
            </w:tcBorders>
            <w:shd w:val="clear" w:color="auto" w:fill="BDD7EE"/>
            <w:vAlign w:val="center"/>
          </w:tcPr>
          <w:p w14:paraId="17C4AC33" w14:textId="77777777" w:rsidR="00E13D88" w:rsidRPr="00E02B5D" w:rsidRDefault="00E13D88" w:rsidP="00E13D88">
            <w:pPr>
              <w:spacing w:before="120" w:after="120" w:line="240" w:lineRule="auto"/>
              <w:jc w:val="center"/>
              <w:rPr>
                <w:rFonts w:ascii="Times New Roman" w:eastAsia="Times New Roman" w:hAnsi="Times New Roman" w:cs="Times New Roman"/>
                <w:b/>
                <w:bCs/>
                <w:noProof/>
                <w:sz w:val="18"/>
                <w:szCs w:val="18"/>
                <w:lang w:val="en-GB" w:eastAsia="en-GB"/>
              </w:rPr>
            </w:pPr>
          </w:p>
        </w:tc>
      </w:tr>
      <w:tr w:rsidR="007B4D63" w:rsidRPr="000728EB" w14:paraId="6696AAC2" w14:textId="77777777" w:rsidTr="001101FB">
        <w:tc>
          <w:tcPr>
            <w:tcW w:w="562" w:type="dxa"/>
            <w:tcBorders>
              <w:top w:val="nil"/>
              <w:left w:val="single" w:sz="4" w:space="0" w:color="auto"/>
              <w:bottom w:val="single" w:sz="4" w:space="0" w:color="auto"/>
              <w:right w:val="single" w:sz="4" w:space="0" w:color="auto"/>
            </w:tcBorders>
            <w:shd w:val="clear" w:color="auto" w:fill="C6EFCE"/>
            <w:noWrap/>
          </w:tcPr>
          <w:p w14:paraId="27B132FC" w14:textId="77777777" w:rsidR="00645BC7" w:rsidRPr="00E02B5D" w:rsidRDefault="00645BC7" w:rsidP="00E13D88">
            <w:pPr>
              <w:spacing w:after="0" w:line="240" w:lineRule="auto"/>
              <w:rPr>
                <w:rFonts w:ascii="Times New Roman" w:eastAsia="Times New Roman" w:hAnsi="Times New Roman" w:cs="Times New Roman"/>
                <w:noProof/>
                <w:sz w:val="18"/>
                <w:szCs w:val="18"/>
              </w:rPr>
            </w:pPr>
            <w:r>
              <w:rPr>
                <w:rFonts w:ascii="Times New Roman" w:hAnsi="Times New Roman"/>
                <w:noProof/>
                <w:sz w:val="18"/>
              </w:rPr>
              <w:t>1</w:t>
            </w:r>
          </w:p>
        </w:tc>
        <w:tc>
          <w:tcPr>
            <w:tcW w:w="2127" w:type="dxa"/>
            <w:tcBorders>
              <w:top w:val="single" w:sz="4" w:space="0" w:color="auto"/>
              <w:left w:val="nil"/>
              <w:bottom w:val="single" w:sz="4" w:space="0" w:color="auto"/>
              <w:right w:val="single" w:sz="4" w:space="0" w:color="auto"/>
            </w:tcBorders>
            <w:shd w:val="clear" w:color="auto" w:fill="C6EFCE"/>
            <w:noWrap/>
          </w:tcPr>
          <w:p w14:paraId="53FDB301" w14:textId="77777777" w:rsidR="00645BC7" w:rsidRPr="00E02B5D" w:rsidRDefault="00645BC7" w:rsidP="00E13D88">
            <w:pPr>
              <w:spacing w:after="0" w:line="240" w:lineRule="auto"/>
              <w:rPr>
                <w:rFonts w:eastAsia="Times New Roman" w:cs="Calibri"/>
                <w:noProof/>
                <w:color w:val="006100"/>
                <w:sz w:val="18"/>
                <w:szCs w:val="18"/>
              </w:rPr>
            </w:pPr>
            <w:r>
              <w:rPr>
                <w:noProof/>
                <w:color w:val="006100"/>
                <w:sz w:val="18"/>
              </w:rPr>
              <w:t>1-1.1. Energeetika – 16870_Sekkumised saarte elektrivõrkude ühendamiseks ja elektrivõrgu ajakohastamiseks</w:t>
            </w:r>
          </w:p>
        </w:tc>
        <w:tc>
          <w:tcPr>
            <w:tcW w:w="992" w:type="dxa"/>
            <w:tcBorders>
              <w:top w:val="single" w:sz="4" w:space="0" w:color="auto"/>
              <w:left w:val="nil"/>
              <w:bottom w:val="single" w:sz="4" w:space="0" w:color="auto"/>
              <w:right w:val="single" w:sz="4" w:space="0" w:color="auto"/>
            </w:tcBorders>
            <w:shd w:val="clear" w:color="auto" w:fill="C6EFCE"/>
            <w:noWrap/>
          </w:tcPr>
          <w:p w14:paraId="46C915D0" w14:textId="77777777" w:rsidR="00645BC7" w:rsidRPr="00E02B5D" w:rsidRDefault="00645BC7" w:rsidP="00E13D88">
            <w:pPr>
              <w:spacing w:after="0" w:line="240" w:lineRule="auto"/>
              <w:rPr>
                <w:rFonts w:eastAsia="Times New Roman" w:cs="Calibri"/>
                <w:noProof/>
                <w:color w:val="006100"/>
                <w:sz w:val="18"/>
                <w:szCs w:val="18"/>
              </w:rPr>
            </w:pPr>
            <w:r>
              <w:rPr>
                <w:noProof/>
                <w:color w:val="006100"/>
                <w:sz w:val="18"/>
              </w:rPr>
              <w:t>Eesmärk</w:t>
            </w:r>
          </w:p>
        </w:tc>
        <w:tc>
          <w:tcPr>
            <w:tcW w:w="1513" w:type="dxa"/>
            <w:tcBorders>
              <w:top w:val="single" w:sz="4" w:space="0" w:color="auto"/>
              <w:left w:val="nil"/>
              <w:bottom w:val="single" w:sz="4" w:space="0" w:color="auto"/>
              <w:right w:val="single" w:sz="4" w:space="0" w:color="auto"/>
            </w:tcBorders>
            <w:shd w:val="clear" w:color="auto" w:fill="C6EFCE"/>
            <w:noWrap/>
          </w:tcPr>
          <w:p w14:paraId="2B56AE58" w14:textId="77777777" w:rsidR="00645BC7" w:rsidRPr="00E02B5D" w:rsidRDefault="00645BC7" w:rsidP="00E13D88">
            <w:pPr>
              <w:spacing w:after="0" w:line="240" w:lineRule="auto"/>
              <w:rPr>
                <w:rFonts w:ascii="Times New Roman" w:eastAsia="Times New Roman" w:hAnsi="Times New Roman" w:cs="Times New Roman"/>
                <w:noProof/>
                <w:sz w:val="18"/>
                <w:szCs w:val="18"/>
              </w:rPr>
            </w:pPr>
            <w:r>
              <w:rPr>
                <w:noProof/>
                <w:color w:val="006100"/>
                <w:sz w:val="18"/>
              </w:rPr>
              <w:t>Saarte ühendamine – lepingute sõlmimine</w:t>
            </w:r>
          </w:p>
        </w:tc>
        <w:tc>
          <w:tcPr>
            <w:tcW w:w="1690" w:type="dxa"/>
            <w:tcBorders>
              <w:top w:val="single" w:sz="4" w:space="0" w:color="auto"/>
              <w:left w:val="nil"/>
              <w:bottom w:val="single" w:sz="4" w:space="0" w:color="auto"/>
              <w:right w:val="single" w:sz="4" w:space="0" w:color="auto"/>
            </w:tcBorders>
            <w:shd w:val="clear" w:color="auto" w:fill="C6EFCE"/>
            <w:noWrap/>
          </w:tcPr>
          <w:p w14:paraId="376B4162" w14:textId="77777777" w:rsidR="00645BC7" w:rsidRPr="00E02B5D" w:rsidRDefault="00645BC7" w:rsidP="00E13D88">
            <w:pPr>
              <w:spacing w:after="120" w:line="240" w:lineRule="auto"/>
              <w:rPr>
                <w:rFonts w:ascii="Times New Roman" w:eastAsia="Times New Roman" w:hAnsi="Times New Roman" w:cs="Times New Roman"/>
                <w:noProof/>
                <w:sz w:val="18"/>
                <w:szCs w:val="18"/>
              </w:rPr>
            </w:pPr>
            <w:r>
              <w:rPr>
                <w:noProof/>
                <w:color w:val="006100"/>
                <w:sz w:val="18"/>
              </w:rPr>
              <w:t>Teade kõigi lepingute sõlmimise kohta</w:t>
            </w:r>
          </w:p>
        </w:tc>
        <w:tc>
          <w:tcPr>
            <w:tcW w:w="951" w:type="dxa"/>
            <w:tcBorders>
              <w:top w:val="nil"/>
              <w:left w:val="nil"/>
              <w:bottom w:val="single" w:sz="4" w:space="0" w:color="auto"/>
              <w:right w:val="single" w:sz="4" w:space="0" w:color="auto"/>
            </w:tcBorders>
            <w:shd w:val="clear" w:color="auto" w:fill="C6EFCE"/>
            <w:noWrap/>
          </w:tcPr>
          <w:p w14:paraId="28B81728" w14:textId="77777777" w:rsidR="00645BC7" w:rsidRPr="00E02B5D" w:rsidRDefault="00645BC7" w:rsidP="00E13D88">
            <w:pPr>
              <w:spacing w:after="0" w:line="240" w:lineRule="auto"/>
              <w:rPr>
                <w:rFonts w:ascii="Times New Roman" w:eastAsia="Times New Roman" w:hAnsi="Times New Roman" w:cs="Times New Roman"/>
                <w:noProof/>
                <w:sz w:val="18"/>
                <w:szCs w:val="18"/>
                <w:lang w:val="en-GB" w:eastAsia="en-GB"/>
              </w:rPr>
            </w:pPr>
          </w:p>
        </w:tc>
        <w:tc>
          <w:tcPr>
            <w:tcW w:w="1047" w:type="dxa"/>
            <w:tcBorders>
              <w:top w:val="nil"/>
              <w:left w:val="nil"/>
              <w:bottom w:val="single" w:sz="4" w:space="0" w:color="auto"/>
              <w:right w:val="single" w:sz="4" w:space="0" w:color="auto"/>
            </w:tcBorders>
            <w:shd w:val="clear" w:color="auto" w:fill="C6EFCE"/>
            <w:noWrap/>
          </w:tcPr>
          <w:p w14:paraId="395D291B" w14:textId="77777777" w:rsidR="00645BC7" w:rsidRPr="00E02B5D" w:rsidRDefault="00645BC7" w:rsidP="00E13D88">
            <w:pPr>
              <w:spacing w:after="0" w:line="240" w:lineRule="auto"/>
              <w:rPr>
                <w:rFonts w:ascii="Times New Roman" w:eastAsia="Times New Roman" w:hAnsi="Times New Roman" w:cs="Times New Roman"/>
                <w:noProof/>
                <w:sz w:val="18"/>
                <w:szCs w:val="18"/>
                <w:lang w:val="en-GB" w:eastAsia="en-GB"/>
              </w:rPr>
            </w:pPr>
          </w:p>
        </w:tc>
        <w:tc>
          <w:tcPr>
            <w:tcW w:w="651" w:type="dxa"/>
            <w:tcBorders>
              <w:top w:val="nil"/>
              <w:left w:val="nil"/>
              <w:bottom w:val="single" w:sz="4" w:space="0" w:color="auto"/>
              <w:right w:val="single" w:sz="4" w:space="0" w:color="auto"/>
            </w:tcBorders>
            <w:shd w:val="clear" w:color="auto" w:fill="C6EFCE"/>
            <w:noWrap/>
          </w:tcPr>
          <w:p w14:paraId="45FEC6E7" w14:textId="77777777" w:rsidR="00645BC7" w:rsidRPr="00E02B5D" w:rsidRDefault="00645BC7" w:rsidP="00E13D88">
            <w:pPr>
              <w:spacing w:after="0" w:line="240" w:lineRule="auto"/>
              <w:rPr>
                <w:rFonts w:ascii="Times New Roman" w:eastAsia="Times New Roman" w:hAnsi="Times New Roman" w:cs="Times New Roman"/>
                <w:noProof/>
                <w:sz w:val="18"/>
                <w:szCs w:val="18"/>
                <w:lang w:val="en-GB" w:eastAsia="en-GB"/>
              </w:rPr>
            </w:pPr>
          </w:p>
        </w:tc>
        <w:tc>
          <w:tcPr>
            <w:tcW w:w="906" w:type="dxa"/>
            <w:gridSpan w:val="2"/>
            <w:tcBorders>
              <w:top w:val="nil"/>
              <w:left w:val="nil"/>
              <w:bottom w:val="single" w:sz="4" w:space="0" w:color="auto"/>
              <w:right w:val="single" w:sz="4" w:space="0" w:color="auto"/>
            </w:tcBorders>
            <w:shd w:val="clear" w:color="auto" w:fill="C6EFCE"/>
            <w:noWrap/>
          </w:tcPr>
          <w:p w14:paraId="5A215A71" w14:textId="77777777" w:rsidR="00645BC7" w:rsidRPr="00E02B5D" w:rsidRDefault="00645BC7" w:rsidP="00E13D88">
            <w:pPr>
              <w:spacing w:after="120" w:line="240" w:lineRule="auto"/>
              <w:rPr>
                <w:rFonts w:eastAsia="Times New Roman"/>
                <w:noProof/>
                <w:color w:val="006100"/>
                <w:sz w:val="18"/>
                <w:szCs w:val="18"/>
              </w:rPr>
            </w:pPr>
            <w:r>
              <w:rPr>
                <w:noProof/>
                <w:color w:val="006100"/>
                <w:sz w:val="18"/>
              </w:rPr>
              <w:t>2. kv</w:t>
            </w:r>
          </w:p>
        </w:tc>
        <w:tc>
          <w:tcPr>
            <w:tcW w:w="887" w:type="dxa"/>
            <w:tcBorders>
              <w:top w:val="nil"/>
              <w:left w:val="nil"/>
              <w:bottom w:val="single" w:sz="4" w:space="0" w:color="auto"/>
              <w:right w:val="single" w:sz="4" w:space="0" w:color="auto"/>
            </w:tcBorders>
            <w:shd w:val="clear" w:color="auto" w:fill="C6EFCE"/>
            <w:noWrap/>
          </w:tcPr>
          <w:p w14:paraId="4C9788AD" w14:textId="77777777" w:rsidR="00645BC7" w:rsidRPr="00E02B5D" w:rsidRDefault="00645BC7" w:rsidP="00E13D88">
            <w:pPr>
              <w:spacing w:after="120" w:line="240" w:lineRule="auto"/>
              <w:rPr>
                <w:rFonts w:eastAsia="Times New Roman"/>
                <w:noProof/>
                <w:color w:val="006100"/>
                <w:sz w:val="18"/>
                <w:szCs w:val="18"/>
              </w:rPr>
            </w:pPr>
            <w:r>
              <w:rPr>
                <w:noProof/>
                <w:color w:val="006100"/>
                <w:sz w:val="18"/>
              </w:rPr>
              <w:t>2023</w:t>
            </w:r>
          </w:p>
        </w:tc>
        <w:tc>
          <w:tcPr>
            <w:tcW w:w="3411" w:type="dxa"/>
            <w:tcBorders>
              <w:top w:val="single" w:sz="4" w:space="0" w:color="auto"/>
              <w:left w:val="nil"/>
              <w:bottom w:val="single" w:sz="4" w:space="0" w:color="auto"/>
              <w:right w:val="single" w:sz="4" w:space="0" w:color="auto"/>
            </w:tcBorders>
            <w:shd w:val="clear" w:color="auto" w:fill="C6EFCE"/>
            <w:noWrap/>
          </w:tcPr>
          <w:p w14:paraId="6C6336B4" w14:textId="77777777" w:rsidR="00645BC7" w:rsidRPr="00E02B5D" w:rsidRDefault="00645BC7" w:rsidP="00E13D88">
            <w:pPr>
              <w:spacing w:after="0" w:line="240" w:lineRule="auto"/>
              <w:rPr>
                <w:rFonts w:eastAsia="Times New Roman" w:cs="Calibri"/>
                <w:noProof/>
                <w:color w:val="006100"/>
                <w:sz w:val="18"/>
                <w:szCs w:val="18"/>
              </w:rPr>
            </w:pPr>
            <w:r>
              <w:rPr>
                <w:noProof/>
                <w:color w:val="006100"/>
                <w:sz w:val="18"/>
              </w:rPr>
              <w:t>Sõltumatu põhivõrguettevõtja (IPTO) teade kõigi lepingute sõlmimise kohta järgmiste seadmete täielikuks paigaldamiseks:</w:t>
            </w:r>
          </w:p>
          <w:p w14:paraId="353679C6" w14:textId="77777777" w:rsidR="00645BC7" w:rsidRPr="00E02B5D" w:rsidRDefault="00645BC7" w:rsidP="00E13D88">
            <w:pPr>
              <w:spacing w:after="0" w:line="240" w:lineRule="auto"/>
              <w:rPr>
                <w:rFonts w:eastAsia="Times New Roman" w:cs="Calibri"/>
                <w:noProof/>
                <w:color w:val="006100"/>
                <w:sz w:val="18"/>
                <w:szCs w:val="18"/>
              </w:rPr>
            </w:pPr>
            <w:r>
              <w:rPr>
                <w:noProof/>
                <w:color w:val="006100"/>
                <w:sz w:val="18"/>
              </w:rPr>
              <w:t>1) Naxos – Thíra kaabelühendus;</w:t>
            </w:r>
          </w:p>
          <w:p w14:paraId="05EA6771" w14:textId="77777777" w:rsidR="00645BC7" w:rsidRPr="00E02B5D" w:rsidRDefault="00645BC7" w:rsidP="00E13D88">
            <w:pPr>
              <w:spacing w:after="0" w:line="240" w:lineRule="auto"/>
              <w:rPr>
                <w:rFonts w:eastAsia="Times New Roman" w:cs="Calibri"/>
                <w:noProof/>
                <w:color w:val="006100"/>
                <w:sz w:val="18"/>
                <w:szCs w:val="18"/>
              </w:rPr>
            </w:pPr>
            <w:r>
              <w:rPr>
                <w:noProof/>
                <w:color w:val="006100"/>
                <w:sz w:val="18"/>
              </w:rPr>
              <w:t>2) ülikõrgepingekaabel (EHVC) Koumoundoros – Kórinthos (1. ja 2. osa); ning</w:t>
            </w:r>
          </w:p>
          <w:p w14:paraId="0C8F0A9C" w14:textId="77777777" w:rsidR="00645BC7" w:rsidRPr="009D0F6E" w:rsidRDefault="00645BC7" w:rsidP="00E13D88">
            <w:pPr>
              <w:spacing w:after="0" w:line="240" w:lineRule="auto"/>
              <w:rPr>
                <w:rFonts w:ascii="Times New Roman" w:eastAsia="Times New Roman" w:hAnsi="Times New Roman" w:cs="Times New Roman"/>
                <w:noProof/>
                <w:sz w:val="18"/>
                <w:szCs w:val="18"/>
              </w:rPr>
            </w:pPr>
            <w:r>
              <w:rPr>
                <w:noProof/>
                <w:color w:val="006100"/>
                <w:sz w:val="18"/>
              </w:rPr>
              <w:t>3) alajaamad Milos, Folegandros, Serifos ja kaabliühendused Lavrio-Serifos, Serifos-Milos, Milos-Folegandros, Folegandros-Thira.</w:t>
            </w:r>
          </w:p>
        </w:tc>
      </w:tr>
      <w:tr w:rsidR="007B4D63" w:rsidRPr="003B132A" w14:paraId="09CF3F25" w14:textId="77777777" w:rsidTr="001101FB">
        <w:tc>
          <w:tcPr>
            <w:tcW w:w="562" w:type="dxa"/>
            <w:tcBorders>
              <w:top w:val="nil"/>
              <w:left w:val="single" w:sz="4" w:space="0" w:color="auto"/>
              <w:bottom w:val="single" w:sz="4" w:space="0" w:color="auto"/>
              <w:right w:val="single" w:sz="4" w:space="0" w:color="auto"/>
            </w:tcBorders>
            <w:shd w:val="clear" w:color="auto" w:fill="C6EFCE"/>
            <w:noWrap/>
          </w:tcPr>
          <w:p w14:paraId="3D21B522" w14:textId="77777777" w:rsidR="00645BC7" w:rsidRPr="00E02B5D" w:rsidRDefault="00645BC7" w:rsidP="00E13D88">
            <w:pPr>
              <w:spacing w:after="0" w:line="240" w:lineRule="auto"/>
              <w:rPr>
                <w:rFonts w:eastAsia="Times New Roman" w:cs="Calibri"/>
                <w:noProof/>
                <w:color w:val="006100"/>
                <w:sz w:val="18"/>
                <w:szCs w:val="18"/>
              </w:rPr>
            </w:pPr>
            <w:r>
              <w:rPr>
                <w:noProof/>
                <w:color w:val="006100"/>
                <w:sz w:val="18"/>
              </w:rPr>
              <w:t>2</w:t>
            </w:r>
          </w:p>
        </w:tc>
        <w:tc>
          <w:tcPr>
            <w:tcW w:w="2127" w:type="dxa"/>
            <w:tcBorders>
              <w:top w:val="nil"/>
              <w:left w:val="nil"/>
              <w:bottom w:val="single" w:sz="4" w:space="0" w:color="auto"/>
              <w:right w:val="single" w:sz="4" w:space="0" w:color="auto"/>
            </w:tcBorders>
            <w:shd w:val="clear" w:color="auto" w:fill="C6EFCE"/>
            <w:noWrap/>
          </w:tcPr>
          <w:p w14:paraId="512EBF54"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1-1.1. Energeetika – 16870_Sekkumised saarte elektrivõrkude ühendamiseks ja elektrivõrgu ajakohastamiseks</w:t>
            </w:r>
          </w:p>
        </w:tc>
        <w:tc>
          <w:tcPr>
            <w:tcW w:w="992" w:type="dxa"/>
            <w:tcBorders>
              <w:top w:val="nil"/>
              <w:left w:val="nil"/>
              <w:bottom w:val="single" w:sz="4" w:space="0" w:color="auto"/>
              <w:right w:val="single" w:sz="4" w:space="0" w:color="auto"/>
            </w:tcBorders>
            <w:shd w:val="clear" w:color="auto" w:fill="C6EFCE"/>
            <w:noWrap/>
          </w:tcPr>
          <w:p w14:paraId="096EDB87"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Eesmärk</w:t>
            </w:r>
          </w:p>
        </w:tc>
        <w:tc>
          <w:tcPr>
            <w:tcW w:w="1513" w:type="dxa"/>
            <w:tcBorders>
              <w:top w:val="nil"/>
              <w:left w:val="nil"/>
              <w:bottom w:val="single" w:sz="4" w:space="0" w:color="auto"/>
              <w:right w:val="single" w:sz="4" w:space="0" w:color="auto"/>
            </w:tcBorders>
            <w:shd w:val="clear" w:color="auto" w:fill="C6EFCE"/>
            <w:noWrap/>
          </w:tcPr>
          <w:p w14:paraId="7CE86DA1" w14:textId="77777777" w:rsidR="00645BC7" w:rsidRPr="00E02B5D" w:rsidRDefault="00645BC7" w:rsidP="00E13D88">
            <w:pPr>
              <w:spacing w:after="0" w:line="240" w:lineRule="auto"/>
              <w:rPr>
                <w:rFonts w:eastAsia="Times New Roman"/>
                <w:noProof/>
                <w:color w:val="006100"/>
                <w:sz w:val="18"/>
                <w:szCs w:val="18"/>
              </w:rPr>
            </w:pPr>
            <w:r>
              <w:rPr>
                <w:noProof/>
                <w:color w:val="006100"/>
                <w:sz w:val="18"/>
              </w:rPr>
              <w:t>Saarte ühendamine – tööde edenemine</w:t>
            </w:r>
          </w:p>
        </w:tc>
        <w:tc>
          <w:tcPr>
            <w:tcW w:w="1690" w:type="dxa"/>
            <w:tcBorders>
              <w:top w:val="nil"/>
              <w:left w:val="nil"/>
              <w:bottom w:val="single" w:sz="4" w:space="0" w:color="auto"/>
              <w:right w:val="single" w:sz="4" w:space="0" w:color="auto"/>
            </w:tcBorders>
            <w:shd w:val="clear" w:color="auto" w:fill="C6EFCE"/>
            <w:noWrap/>
          </w:tcPr>
          <w:p w14:paraId="7BC2C467"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IPTO kinnitus kaabli paigaldustööde vastuvõtmise kohta, katsete heakskiitmine ja Koumoundouros – Korinthose EHVCst (osad 1 ja 2) 50 % lõpuleviimisega seotud edusammude sertifitseerimine</w:t>
            </w:r>
          </w:p>
        </w:tc>
        <w:tc>
          <w:tcPr>
            <w:tcW w:w="951" w:type="dxa"/>
            <w:tcBorders>
              <w:top w:val="nil"/>
              <w:left w:val="nil"/>
              <w:bottom w:val="single" w:sz="4" w:space="0" w:color="auto"/>
              <w:right w:val="single" w:sz="4" w:space="0" w:color="auto"/>
            </w:tcBorders>
            <w:shd w:val="clear" w:color="auto" w:fill="C6EFCE"/>
            <w:noWrap/>
          </w:tcPr>
          <w:p w14:paraId="79F59AA0" w14:textId="77777777" w:rsidR="00645BC7" w:rsidRPr="00AD4052" w:rsidRDefault="00645BC7" w:rsidP="00E13D88">
            <w:pPr>
              <w:spacing w:after="0" w:line="240" w:lineRule="auto"/>
              <w:rPr>
                <w:rFonts w:eastAsia="Times New Roman" w:cs="Calibri"/>
                <w:noProof/>
                <w:color w:val="006100"/>
                <w:sz w:val="18"/>
                <w:szCs w:val="18"/>
                <w:lang w:eastAsia="en-GB"/>
              </w:rPr>
            </w:pPr>
          </w:p>
        </w:tc>
        <w:tc>
          <w:tcPr>
            <w:tcW w:w="1047" w:type="dxa"/>
            <w:tcBorders>
              <w:top w:val="nil"/>
              <w:left w:val="nil"/>
              <w:bottom w:val="single" w:sz="4" w:space="0" w:color="auto"/>
              <w:right w:val="single" w:sz="4" w:space="0" w:color="auto"/>
            </w:tcBorders>
            <w:shd w:val="clear" w:color="auto" w:fill="C6EFCE"/>
            <w:noWrap/>
          </w:tcPr>
          <w:p w14:paraId="5E39EC07" w14:textId="77777777" w:rsidR="00645BC7" w:rsidRPr="00AD4052" w:rsidRDefault="00645BC7" w:rsidP="00E13D88">
            <w:pPr>
              <w:spacing w:after="0" w:line="240" w:lineRule="auto"/>
              <w:rPr>
                <w:rFonts w:eastAsia="Times New Roman" w:cs="Calibri"/>
                <w:noProof/>
                <w:color w:val="006100"/>
                <w:sz w:val="18"/>
                <w:szCs w:val="18"/>
                <w:lang w:eastAsia="en-GB"/>
              </w:rPr>
            </w:pPr>
          </w:p>
        </w:tc>
        <w:tc>
          <w:tcPr>
            <w:tcW w:w="651" w:type="dxa"/>
            <w:tcBorders>
              <w:top w:val="nil"/>
              <w:left w:val="nil"/>
              <w:bottom w:val="single" w:sz="4" w:space="0" w:color="auto"/>
              <w:right w:val="single" w:sz="4" w:space="0" w:color="auto"/>
            </w:tcBorders>
            <w:shd w:val="clear" w:color="auto" w:fill="C6EFCE"/>
            <w:noWrap/>
          </w:tcPr>
          <w:p w14:paraId="6F20A4C7" w14:textId="77777777" w:rsidR="00645BC7" w:rsidRPr="00AD4052" w:rsidRDefault="00645BC7" w:rsidP="00E13D88">
            <w:pPr>
              <w:spacing w:after="0" w:line="240" w:lineRule="auto"/>
              <w:rPr>
                <w:rFonts w:eastAsia="Times New Roman" w:cs="Calibri"/>
                <w:noProof/>
                <w:color w:val="006100"/>
                <w:sz w:val="18"/>
                <w:szCs w:val="18"/>
                <w:lang w:eastAsia="en-GB"/>
              </w:rPr>
            </w:pPr>
          </w:p>
        </w:tc>
        <w:tc>
          <w:tcPr>
            <w:tcW w:w="906" w:type="dxa"/>
            <w:gridSpan w:val="2"/>
            <w:tcBorders>
              <w:top w:val="nil"/>
              <w:left w:val="nil"/>
              <w:bottom w:val="single" w:sz="4" w:space="0" w:color="auto"/>
              <w:right w:val="single" w:sz="4" w:space="0" w:color="auto"/>
            </w:tcBorders>
            <w:shd w:val="clear" w:color="auto" w:fill="C6EFCE"/>
            <w:noWrap/>
          </w:tcPr>
          <w:p w14:paraId="525E5722"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2. kv</w:t>
            </w:r>
          </w:p>
        </w:tc>
        <w:tc>
          <w:tcPr>
            <w:tcW w:w="887" w:type="dxa"/>
            <w:tcBorders>
              <w:top w:val="nil"/>
              <w:left w:val="nil"/>
              <w:bottom w:val="single" w:sz="4" w:space="0" w:color="auto"/>
              <w:right w:val="single" w:sz="4" w:space="0" w:color="auto"/>
            </w:tcBorders>
            <w:shd w:val="clear" w:color="auto" w:fill="C6EFCE"/>
            <w:noWrap/>
          </w:tcPr>
          <w:p w14:paraId="0841A279"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2025</w:t>
            </w:r>
          </w:p>
        </w:tc>
        <w:tc>
          <w:tcPr>
            <w:tcW w:w="3411" w:type="dxa"/>
            <w:tcBorders>
              <w:top w:val="nil"/>
              <w:left w:val="nil"/>
              <w:bottom w:val="single" w:sz="4" w:space="0" w:color="auto"/>
              <w:right w:val="single" w:sz="4" w:space="0" w:color="auto"/>
            </w:tcBorders>
            <w:shd w:val="clear" w:color="auto" w:fill="C6EFCE"/>
            <w:noWrap/>
          </w:tcPr>
          <w:p w14:paraId="5902BDBE" w14:textId="77777777" w:rsidR="00645BC7" w:rsidRPr="00E02B5D" w:rsidRDefault="00645BC7" w:rsidP="00E13D88">
            <w:pPr>
              <w:spacing w:after="120" w:line="240" w:lineRule="auto"/>
              <w:rPr>
                <w:rFonts w:eastAsia="Times New Roman" w:cs="Calibri"/>
                <w:noProof/>
                <w:color w:val="006100"/>
                <w:sz w:val="18"/>
                <w:szCs w:val="18"/>
              </w:rPr>
            </w:pPr>
            <w:r>
              <w:rPr>
                <w:noProof/>
                <w:color w:val="006100"/>
                <w:sz w:val="18"/>
              </w:rPr>
              <w:t>Naxos-Thira kaabli paigaldus ja katsed on olnud edukad;</w:t>
            </w:r>
          </w:p>
          <w:p w14:paraId="59360E4B"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50 % EHVC Koumoundouros – Korinthos (esimene ja teine osa) täidetud.</w:t>
            </w:r>
          </w:p>
        </w:tc>
      </w:tr>
      <w:tr w:rsidR="007B4D63" w:rsidRPr="003B132A" w14:paraId="15A94FCC" w14:textId="77777777" w:rsidTr="001101FB">
        <w:tc>
          <w:tcPr>
            <w:tcW w:w="562" w:type="dxa"/>
            <w:tcBorders>
              <w:top w:val="single" w:sz="4" w:space="0" w:color="auto"/>
              <w:left w:val="single" w:sz="4" w:space="0" w:color="auto"/>
              <w:bottom w:val="single" w:sz="4" w:space="0" w:color="auto"/>
              <w:right w:val="single" w:sz="4" w:space="0" w:color="auto"/>
            </w:tcBorders>
            <w:shd w:val="clear" w:color="auto" w:fill="C6EFCE"/>
            <w:noWrap/>
            <w:hideMark/>
          </w:tcPr>
          <w:p w14:paraId="6EB6377E" w14:textId="77777777" w:rsidR="00645BC7" w:rsidRPr="00E02B5D" w:rsidRDefault="00645BC7" w:rsidP="00E13D88">
            <w:pPr>
              <w:spacing w:before="120" w:after="120" w:line="240" w:lineRule="auto"/>
              <w:rPr>
                <w:rFonts w:ascii="Times New Roman" w:hAnsi="Times New Roman" w:cs="Times New Roman"/>
                <w:noProof/>
                <w:sz w:val="24"/>
              </w:rPr>
            </w:pPr>
            <w:r>
              <w:rPr>
                <w:noProof/>
                <w:color w:val="006100"/>
                <w:sz w:val="18"/>
              </w:rPr>
              <w:t>3</w:t>
            </w:r>
          </w:p>
        </w:tc>
        <w:tc>
          <w:tcPr>
            <w:tcW w:w="2127" w:type="dxa"/>
            <w:tcBorders>
              <w:top w:val="single" w:sz="4" w:space="0" w:color="auto"/>
              <w:left w:val="nil"/>
              <w:bottom w:val="single" w:sz="4" w:space="0" w:color="auto"/>
              <w:right w:val="single" w:sz="4" w:space="0" w:color="auto"/>
            </w:tcBorders>
            <w:shd w:val="clear" w:color="auto" w:fill="C6EFCE"/>
            <w:noWrap/>
            <w:hideMark/>
          </w:tcPr>
          <w:p w14:paraId="5F7BE0CC"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1-1.1. Energeetika – 16870_Sekkumised saarte elektrivõrkude ühendamiseks ja elektrivõrgu ajakohastamiseks</w:t>
            </w:r>
          </w:p>
        </w:tc>
        <w:tc>
          <w:tcPr>
            <w:tcW w:w="992" w:type="dxa"/>
            <w:tcBorders>
              <w:top w:val="single" w:sz="4" w:space="0" w:color="auto"/>
              <w:left w:val="nil"/>
              <w:bottom w:val="single" w:sz="4" w:space="0" w:color="auto"/>
              <w:right w:val="single" w:sz="4" w:space="0" w:color="auto"/>
            </w:tcBorders>
            <w:shd w:val="clear" w:color="auto" w:fill="C6EFCE"/>
            <w:noWrap/>
            <w:hideMark/>
          </w:tcPr>
          <w:p w14:paraId="2E6BCE0C" w14:textId="30E666BB" w:rsidR="00645BC7" w:rsidRPr="00E02B5D" w:rsidRDefault="00645BC7" w:rsidP="00E13D88">
            <w:pPr>
              <w:spacing w:after="120" w:line="240" w:lineRule="auto"/>
              <w:rPr>
                <w:rFonts w:ascii="Times New Roman" w:hAnsi="Times New Roman" w:cs="Times New Roman"/>
                <w:noProof/>
                <w:sz w:val="24"/>
              </w:rPr>
            </w:pPr>
            <w:r>
              <w:rPr>
                <w:noProof/>
                <w:color w:val="006100"/>
                <w:sz w:val="18"/>
              </w:rPr>
              <w:t>Eesmärk</w:t>
            </w:r>
          </w:p>
        </w:tc>
        <w:tc>
          <w:tcPr>
            <w:tcW w:w="1513" w:type="dxa"/>
            <w:tcBorders>
              <w:top w:val="single" w:sz="4" w:space="0" w:color="auto"/>
              <w:left w:val="nil"/>
              <w:bottom w:val="single" w:sz="4" w:space="0" w:color="auto"/>
              <w:right w:val="single" w:sz="4" w:space="0" w:color="auto"/>
            </w:tcBorders>
            <w:shd w:val="clear" w:color="auto" w:fill="C6EFCE"/>
            <w:noWrap/>
            <w:hideMark/>
          </w:tcPr>
          <w:p w14:paraId="78CC7753"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Saarte ühendamine – lõpuleviimine</w:t>
            </w:r>
          </w:p>
        </w:tc>
        <w:tc>
          <w:tcPr>
            <w:tcW w:w="1690" w:type="dxa"/>
            <w:tcBorders>
              <w:top w:val="single" w:sz="4" w:space="0" w:color="auto"/>
              <w:left w:val="nil"/>
              <w:bottom w:val="single" w:sz="4" w:space="0" w:color="auto"/>
              <w:right w:val="single" w:sz="4" w:space="0" w:color="auto"/>
            </w:tcBorders>
            <w:shd w:val="clear" w:color="auto" w:fill="C6EFCE"/>
            <w:noWrap/>
            <w:hideMark/>
          </w:tcPr>
          <w:p w14:paraId="570AAA9B"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IPTO on sertifitseerinud tegevuse/elektrivarustuse eduka alustamise; edukate operatsioonide sertifikaatide väljaandmine</w:t>
            </w:r>
          </w:p>
        </w:tc>
        <w:tc>
          <w:tcPr>
            <w:tcW w:w="951" w:type="dxa"/>
            <w:tcBorders>
              <w:top w:val="single" w:sz="4" w:space="0" w:color="auto"/>
              <w:left w:val="nil"/>
              <w:bottom w:val="single" w:sz="4" w:space="0" w:color="auto"/>
              <w:right w:val="single" w:sz="4" w:space="0" w:color="auto"/>
            </w:tcBorders>
            <w:shd w:val="clear" w:color="auto" w:fill="C6EFCE"/>
            <w:noWrap/>
            <w:hideMark/>
          </w:tcPr>
          <w:p w14:paraId="4F3FD519"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 xml:space="preserve"> </w:t>
            </w:r>
          </w:p>
        </w:tc>
        <w:tc>
          <w:tcPr>
            <w:tcW w:w="1047" w:type="dxa"/>
            <w:tcBorders>
              <w:top w:val="single" w:sz="4" w:space="0" w:color="auto"/>
              <w:left w:val="nil"/>
              <w:bottom w:val="single" w:sz="4" w:space="0" w:color="auto"/>
              <w:right w:val="single" w:sz="4" w:space="0" w:color="auto"/>
            </w:tcBorders>
            <w:shd w:val="clear" w:color="auto" w:fill="C6EFCE"/>
            <w:noWrap/>
            <w:hideMark/>
          </w:tcPr>
          <w:p w14:paraId="5EDF0349"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 xml:space="preserve"> </w:t>
            </w:r>
          </w:p>
        </w:tc>
        <w:tc>
          <w:tcPr>
            <w:tcW w:w="651" w:type="dxa"/>
            <w:tcBorders>
              <w:top w:val="single" w:sz="4" w:space="0" w:color="auto"/>
              <w:left w:val="nil"/>
              <w:bottom w:val="single" w:sz="4" w:space="0" w:color="auto"/>
              <w:right w:val="single" w:sz="4" w:space="0" w:color="auto"/>
            </w:tcBorders>
            <w:shd w:val="clear" w:color="auto" w:fill="C6EFCE"/>
            <w:noWrap/>
            <w:hideMark/>
          </w:tcPr>
          <w:p w14:paraId="2C8DF43E"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 xml:space="preserve"> </w:t>
            </w:r>
          </w:p>
        </w:tc>
        <w:tc>
          <w:tcPr>
            <w:tcW w:w="906" w:type="dxa"/>
            <w:gridSpan w:val="2"/>
            <w:tcBorders>
              <w:top w:val="single" w:sz="4" w:space="0" w:color="auto"/>
              <w:left w:val="nil"/>
              <w:bottom w:val="single" w:sz="4" w:space="0" w:color="auto"/>
              <w:right w:val="single" w:sz="4" w:space="0" w:color="auto"/>
            </w:tcBorders>
            <w:shd w:val="clear" w:color="auto" w:fill="C6EFCE"/>
            <w:noWrap/>
            <w:hideMark/>
          </w:tcPr>
          <w:p w14:paraId="5CDFB781"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4. kv</w:t>
            </w:r>
          </w:p>
        </w:tc>
        <w:tc>
          <w:tcPr>
            <w:tcW w:w="887" w:type="dxa"/>
            <w:tcBorders>
              <w:top w:val="single" w:sz="4" w:space="0" w:color="auto"/>
              <w:left w:val="nil"/>
              <w:bottom w:val="single" w:sz="4" w:space="0" w:color="auto"/>
              <w:right w:val="single" w:sz="4" w:space="0" w:color="auto"/>
            </w:tcBorders>
            <w:shd w:val="clear" w:color="auto" w:fill="C6EFCE"/>
            <w:noWrap/>
            <w:hideMark/>
          </w:tcPr>
          <w:p w14:paraId="0D8FA68F" w14:textId="77777777" w:rsidR="00645BC7" w:rsidRPr="00E02B5D" w:rsidRDefault="00645BC7" w:rsidP="00E13D88">
            <w:pPr>
              <w:spacing w:after="120" w:line="240" w:lineRule="auto"/>
              <w:rPr>
                <w:rFonts w:ascii="Times New Roman" w:hAnsi="Times New Roman" w:cs="Times New Roman"/>
                <w:noProof/>
                <w:sz w:val="24"/>
              </w:rPr>
            </w:pPr>
            <w:r>
              <w:rPr>
                <w:noProof/>
                <w:color w:val="006100"/>
                <w:sz w:val="18"/>
              </w:rPr>
              <w:t>2025 </w:t>
            </w:r>
          </w:p>
        </w:tc>
        <w:tc>
          <w:tcPr>
            <w:tcW w:w="3411" w:type="dxa"/>
            <w:tcBorders>
              <w:top w:val="single" w:sz="4" w:space="0" w:color="auto"/>
              <w:left w:val="nil"/>
              <w:bottom w:val="single" w:sz="4" w:space="0" w:color="auto"/>
              <w:right w:val="single" w:sz="4" w:space="0" w:color="auto"/>
            </w:tcBorders>
            <w:shd w:val="clear" w:color="auto" w:fill="C6EFCE"/>
            <w:noWrap/>
            <w:hideMark/>
          </w:tcPr>
          <w:p w14:paraId="5AF5757E" w14:textId="77777777" w:rsidR="00645BC7" w:rsidRPr="00E02B5D" w:rsidRDefault="00645BC7" w:rsidP="00E13D88">
            <w:pPr>
              <w:spacing w:after="120" w:line="240" w:lineRule="auto"/>
              <w:rPr>
                <w:noProof/>
                <w:color w:val="006100"/>
                <w:sz w:val="18"/>
                <w:szCs w:val="18"/>
              </w:rPr>
            </w:pPr>
            <w:r>
              <w:rPr>
                <w:noProof/>
                <w:color w:val="006100"/>
                <w:sz w:val="18"/>
              </w:rPr>
              <w:t>Kõigi kolme allprojekti (Naxos-Thira ühendus, EHVC Koumoundoros-Korinthos, alajaamad ja muud ühendused) edukas ülevõtmine Kreeka elektritranspordisüsteemi ja selle tegevuse alustamine.</w:t>
            </w:r>
          </w:p>
        </w:tc>
      </w:tr>
    </w:tbl>
    <w:p w14:paraId="1B67039A" w14:textId="77777777" w:rsidR="00645BC7" w:rsidRPr="00E02B5D" w:rsidRDefault="00645BC7" w:rsidP="00645BC7">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Põhireform 1: Taastuvenergia ja soojuse koostootmise konto tulude ümberkorraldamine ja suurendamine – kiirendada uue elektrituru mudeli tõhusat toimimist ja uute taastuvenergiajaamade arendamist, et saavutada riikliku energia- ja kliimakava eesmärgid seiremehhanismi rakendamise, tarbimiskaja kasutamine ja uute taastuvenergiaallikate litsentsimenetluse ulatusliku reformi kaudu</w:t>
      </w:r>
    </w:p>
    <w:tbl>
      <w:tblPr>
        <w:tblpPr w:leftFromText="180" w:rightFromText="180" w:vertAnchor="text" w:tblpX="113" w:tblpY="1"/>
        <w:tblOverlap w:val="never"/>
        <w:tblW w:w="14879" w:type="dxa"/>
        <w:tblLook w:val="04A0" w:firstRow="1" w:lastRow="0" w:firstColumn="1" w:lastColumn="0" w:noHBand="0" w:noVBand="1"/>
      </w:tblPr>
      <w:tblGrid>
        <w:gridCol w:w="1116"/>
        <w:gridCol w:w="2189"/>
        <w:gridCol w:w="1142"/>
        <w:gridCol w:w="1460"/>
        <w:gridCol w:w="1286"/>
        <w:gridCol w:w="1293"/>
        <w:gridCol w:w="994"/>
        <w:gridCol w:w="906"/>
        <w:gridCol w:w="956"/>
        <w:gridCol w:w="656"/>
        <w:gridCol w:w="3165"/>
      </w:tblGrid>
      <w:tr w:rsidR="007B4D63" w:rsidRPr="003B132A" w14:paraId="4F272FCD" w14:textId="77777777" w:rsidTr="000C5439">
        <w:trPr>
          <w:trHeight w:val="558"/>
          <w:tblHead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5A01F127" w14:textId="0B93BBCD" w:rsidR="00645BC7" w:rsidRPr="00E02B5D" w:rsidRDefault="00645BC7" w:rsidP="00E13D88">
            <w:pPr>
              <w:spacing w:after="0" w:line="240" w:lineRule="auto"/>
              <w:jc w:val="center"/>
              <w:rPr>
                <w:rFonts w:eastAsia="Times New Roman" w:cs="Calibri"/>
                <w:noProof/>
                <w:color w:val="006100"/>
                <w:sz w:val="18"/>
                <w:szCs w:val="18"/>
              </w:rPr>
            </w:pPr>
            <w:r>
              <w:rPr>
                <w:rFonts w:ascii="Times New Roman" w:hAnsi="Times New Roman"/>
                <w:b/>
                <w:noProof/>
                <w:sz w:val="18"/>
              </w:rPr>
              <w:t>Järjekorra</w:t>
            </w:r>
            <w:r w:rsidR="000C5439">
              <w:rPr>
                <w:rFonts w:ascii="Times New Roman" w:hAnsi="Times New Roman"/>
                <w:b/>
                <w:noProof/>
                <w:sz w:val="18"/>
              </w:rPr>
              <w:t>-</w:t>
            </w:r>
            <w:r>
              <w:rPr>
                <w:rFonts w:ascii="Times New Roman" w:hAnsi="Times New Roman"/>
                <w:b/>
                <w:noProof/>
                <w:sz w:val="18"/>
              </w:rPr>
              <w:t>number</w:t>
            </w:r>
          </w:p>
        </w:tc>
        <w:tc>
          <w:tcPr>
            <w:tcW w:w="2189"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178D4694" w14:textId="77777777" w:rsidR="00645BC7" w:rsidRPr="00E02B5D" w:rsidRDefault="00645BC7" w:rsidP="00E13D88">
            <w:pPr>
              <w:spacing w:after="0" w:line="240" w:lineRule="auto"/>
              <w:jc w:val="center"/>
              <w:rPr>
                <w:rFonts w:eastAsia="Times New Roman" w:cs="Calibri"/>
                <w:noProof/>
                <w:color w:val="006100"/>
                <w:sz w:val="18"/>
                <w:szCs w:val="18"/>
              </w:rPr>
            </w:pPr>
            <w:r>
              <w:rPr>
                <w:rFonts w:ascii="Times New Roman" w:hAnsi="Times New Roman"/>
                <w:b/>
                <w:noProof/>
                <w:sz w:val="18"/>
              </w:rPr>
              <w:t>Seotud meede (reform või investeering)</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21D95457" w14:textId="77777777" w:rsidR="00645BC7" w:rsidRPr="00E02B5D" w:rsidRDefault="00645BC7" w:rsidP="00E13D88">
            <w:pPr>
              <w:spacing w:after="0" w:line="240" w:lineRule="auto"/>
              <w:jc w:val="center"/>
              <w:rPr>
                <w:rFonts w:eastAsia="Times New Roman" w:cs="Calibri"/>
                <w:noProof/>
                <w:color w:val="006100"/>
                <w:sz w:val="18"/>
                <w:szCs w:val="18"/>
              </w:rPr>
            </w:pPr>
            <w:r>
              <w:rPr>
                <w:rFonts w:ascii="Times New Roman" w:hAnsi="Times New Roman"/>
                <w:b/>
                <w:noProof/>
                <w:sz w:val="18"/>
              </w:rPr>
              <w:t>Eesmärk / siht</w:t>
            </w:r>
          </w:p>
        </w:tc>
        <w:tc>
          <w:tcPr>
            <w:tcW w:w="1460" w:type="dxa"/>
            <w:vMerge w:val="restart"/>
            <w:tcBorders>
              <w:top w:val="single" w:sz="4" w:space="0" w:color="auto"/>
              <w:left w:val="nil"/>
              <w:bottom w:val="single" w:sz="4" w:space="0" w:color="auto"/>
              <w:right w:val="single" w:sz="4" w:space="0" w:color="auto"/>
            </w:tcBorders>
            <w:shd w:val="clear" w:color="auto" w:fill="B8CCE4"/>
            <w:noWrap/>
            <w:vAlign w:val="center"/>
          </w:tcPr>
          <w:p w14:paraId="29854667" w14:textId="77777777" w:rsidR="00645BC7" w:rsidRPr="00E02B5D" w:rsidRDefault="00645BC7" w:rsidP="00E13D88">
            <w:pPr>
              <w:spacing w:after="0" w:line="240" w:lineRule="auto"/>
              <w:jc w:val="center"/>
              <w:rPr>
                <w:rFonts w:eastAsia="Times New Roman" w:cs="Calibri"/>
                <w:noProof/>
                <w:color w:val="006100"/>
                <w:sz w:val="18"/>
                <w:szCs w:val="18"/>
              </w:rPr>
            </w:pPr>
            <w:r>
              <w:rPr>
                <w:rFonts w:ascii="Times New Roman" w:hAnsi="Times New Roman"/>
                <w:b/>
                <w:noProof/>
                <w:sz w:val="18"/>
              </w:rPr>
              <w:t>Nimi</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78EAAB1E" w14:textId="77777777" w:rsidR="00645BC7" w:rsidRPr="00E02B5D" w:rsidRDefault="00645BC7" w:rsidP="00E13D88">
            <w:pPr>
              <w:spacing w:after="0" w:line="240" w:lineRule="auto"/>
              <w:jc w:val="center"/>
              <w:rPr>
                <w:rFonts w:eastAsia="Times New Roman" w:cs="Calibri"/>
                <w:noProof/>
                <w:color w:val="006100"/>
                <w:sz w:val="18"/>
                <w:szCs w:val="18"/>
              </w:rPr>
            </w:pPr>
            <w:r>
              <w:rPr>
                <w:rFonts w:ascii="Times New Roman" w:hAnsi="Times New Roman"/>
                <w:b/>
                <w:noProof/>
                <w:sz w:val="18"/>
              </w:rPr>
              <w:t>Kvalitatiivsed näitajad (eesmärkide puhul)</w:t>
            </w:r>
          </w:p>
        </w:tc>
        <w:tc>
          <w:tcPr>
            <w:tcW w:w="3193" w:type="dxa"/>
            <w:gridSpan w:val="3"/>
            <w:tcBorders>
              <w:top w:val="single" w:sz="4" w:space="0" w:color="auto"/>
              <w:left w:val="nil"/>
              <w:bottom w:val="single" w:sz="4" w:space="0" w:color="auto"/>
              <w:right w:val="single" w:sz="4" w:space="0" w:color="auto"/>
            </w:tcBorders>
            <w:shd w:val="clear" w:color="auto" w:fill="B8CCE4"/>
            <w:noWrap/>
            <w:vAlign w:val="center"/>
          </w:tcPr>
          <w:p w14:paraId="5DB38599" w14:textId="77777777" w:rsidR="00645BC7" w:rsidRPr="00E02B5D" w:rsidRDefault="00645BC7" w:rsidP="00D00694">
            <w:pPr>
              <w:spacing w:after="0" w:line="240" w:lineRule="auto"/>
              <w:jc w:val="center"/>
              <w:rPr>
                <w:rFonts w:eastAsia="Times New Roman" w:cs="Calibri"/>
                <w:noProof/>
                <w:color w:val="006100"/>
                <w:sz w:val="18"/>
                <w:szCs w:val="18"/>
              </w:rPr>
            </w:pPr>
            <w:r>
              <w:rPr>
                <w:rFonts w:ascii="Times New Roman" w:hAnsi="Times New Roman"/>
                <w:b/>
                <w:noProof/>
                <w:sz w:val="18"/>
              </w:rPr>
              <w:t>Kvantitatiivsed näitajad (sihtide puhul)</w:t>
            </w:r>
          </w:p>
        </w:tc>
        <w:tc>
          <w:tcPr>
            <w:tcW w:w="1612" w:type="dxa"/>
            <w:gridSpan w:val="2"/>
            <w:tcBorders>
              <w:top w:val="single" w:sz="4" w:space="0" w:color="auto"/>
              <w:left w:val="nil"/>
              <w:bottom w:val="single" w:sz="4" w:space="0" w:color="auto"/>
              <w:right w:val="single" w:sz="4" w:space="0" w:color="auto"/>
            </w:tcBorders>
            <w:shd w:val="clear" w:color="auto" w:fill="B8CCE4"/>
            <w:noWrap/>
            <w:vAlign w:val="center"/>
          </w:tcPr>
          <w:p w14:paraId="4B192768" w14:textId="77777777" w:rsidR="00645BC7" w:rsidRPr="00E02B5D" w:rsidRDefault="00645BC7" w:rsidP="00D00694">
            <w:pPr>
              <w:spacing w:after="0" w:line="240" w:lineRule="auto"/>
              <w:jc w:val="center"/>
              <w:rPr>
                <w:rFonts w:eastAsia="Times New Roman" w:cs="Calibri"/>
                <w:noProof/>
                <w:color w:val="006100"/>
                <w:sz w:val="18"/>
                <w:szCs w:val="18"/>
              </w:rPr>
            </w:pPr>
            <w:r>
              <w:rPr>
                <w:rFonts w:ascii="Times New Roman" w:hAnsi="Times New Roman"/>
                <w:b/>
                <w:noProof/>
                <w:sz w:val="18"/>
              </w:rPr>
              <w:t>Lõpuleviimise soovituslik ajakava</w:t>
            </w:r>
          </w:p>
        </w:tc>
        <w:tc>
          <w:tcPr>
            <w:tcW w:w="2881" w:type="dxa"/>
            <w:vMerge w:val="restart"/>
            <w:tcBorders>
              <w:top w:val="single" w:sz="4" w:space="0" w:color="auto"/>
              <w:left w:val="nil"/>
              <w:bottom w:val="single" w:sz="4" w:space="0" w:color="auto"/>
              <w:right w:val="single" w:sz="4" w:space="0" w:color="auto"/>
            </w:tcBorders>
            <w:shd w:val="clear" w:color="auto" w:fill="B8CCE4"/>
            <w:noWrap/>
            <w:vAlign w:val="center"/>
          </w:tcPr>
          <w:p w14:paraId="1F099F0B" w14:textId="77777777" w:rsidR="00645BC7" w:rsidRPr="00E02B5D" w:rsidRDefault="00645BC7" w:rsidP="00D00694">
            <w:pPr>
              <w:spacing w:after="0" w:line="240" w:lineRule="auto"/>
              <w:rPr>
                <w:rFonts w:eastAsia="Times New Roman" w:cs="Calibri"/>
                <w:noProof/>
                <w:color w:val="006100"/>
                <w:sz w:val="18"/>
                <w:szCs w:val="18"/>
              </w:rPr>
            </w:pPr>
            <w:r>
              <w:rPr>
                <w:rFonts w:ascii="Times New Roman" w:hAnsi="Times New Roman"/>
                <w:b/>
                <w:noProof/>
                <w:sz w:val="18"/>
              </w:rPr>
              <w:t>Iga eesmärgi ja sihi kirjeldus</w:t>
            </w:r>
          </w:p>
        </w:tc>
      </w:tr>
      <w:tr w:rsidR="007B4D63" w:rsidRPr="00E02B5D" w14:paraId="5E9F5D4D" w14:textId="77777777" w:rsidTr="000C5439">
        <w:trPr>
          <w:trHeight w:val="557"/>
        </w:trPr>
        <w:tc>
          <w:tcPr>
            <w:tcW w:w="1116"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2D61BE44"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2189"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19CCF4AC"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142"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66D32646"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460" w:type="dxa"/>
            <w:vMerge/>
            <w:tcBorders>
              <w:top w:val="single" w:sz="4" w:space="0" w:color="auto"/>
              <w:left w:val="nil"/>
              <w:bottom w:val="single" w:sz="4" w:space="0" w:color="auto"/>
              <w:right w:val="single" w:sz="4" w:space="0" w:color="auto"/>
            </w:tcBorders>
            <w:shd w:val="clear" w:color="auto" w:fill="B8CCE4"/>
            <w:noWrap/>
            <w:vAlign w:val="center"/>
          </w:tcPr>
          <w:p w14:paraId="4D7049AF"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286"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67C79AE2"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293" w:type="dxa"/>
            <w:tcBorders>
              <w:top w:val="single" w:sz="4" w:space="0" w:color="auto"/>
              <w:left w:val="nil"/>
              <w:bottom w:val="single" w:sz="4" w:space="0" w:color="auto"/>
              <w:right w:val="single" w:sz="4" w:space="0" w:color="auto"/>
            </w:tcBorders>
            <w:shd w:val="clear" w:color="auto" w:fill="B8CCE4"/>
            <w:noWrap/>
            <w:vAlign w:val="center"/>
          </w:tcPr>
          <w:p w14:paraId="6F8DC7E9" w14:textId="77777777" w:rsidR="00645BC7" w:rsidRPr="00E02B5D" w:rsidRDefault="00645BC7" w:rsidP="00E13D88">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94" w:type="dxa"/>
            <w:tcBorders>
              <w:top w:val="single" w:sz="4" w:space="0" w:color="auto"/>
              <w:left w:val="nil"/>
              <w:bottom w:val="single" w:sz="4" w:space="0" w:color="auto"/>
              <w:right w:val="single" w:sz="4" w:space="0" w:color="auto"/>
            </w:tcBorders>
            <w:shd w:val="clear" w:color="auto" w:fill="B8CCE4"/>
            <w:vAlign w:val="center"/>
          </w:tcPr>
          <w:p w14:paraId="2D3B207E" w14:textId="77777777" w:rsidR="00645BC7" w:rsidRPr="00E02B5D" w:rsidRDefault="00645BC7" w:rsidP="00E13D88">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906" w:type="dxa"/>
            <w:tcBorders>
              <w:top w:val="single" w:sz="4" w:space="0" w:color="auto"/>
              <w:left w:val="nil"/>
              <w:bottom w:val="single" w:sz="4" w:space="0" w:color="auto"/>
              <w:right w:val="single" w:sz="4" w:space="0" w:color="auto"/>
            </w:tcBorders>
            <w:shd w:val="clear" w:color="auto" w:fill="B8CCE4"/>
            <w:vAlign w:val="center"/>
          </w:tcPr>
          <w:p w14:paraId="505A5C83" w14:textId="77777777" w:rsidR="00645BC7" w:rsidRPr="00E02B5D" w:rsidRDefault="00645BC7" w:rsidP="00E13D88">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956" w:type="dxa"/>
            <w:tcBorders>
              <w:top w:val="single" w:sz="4" w:space="0" w:color="auto"/>
              <w:left w:val="nil"/>
              <w:bottom w:val="single" w:sz="4" w:space="0" w:color="auto"/>
              <w:right w:val="single" w:sz="4" w:space="0" w:color="auto"/>
            </w:tcBorders>
            <w:shd w:val="clear" w:color="auto" w:fill="B8CCE4"/>
            <w:noWrap/>
            <w:vAlign w:val="center"/>
          </w:tcPr>
          <w:p w14:paraId="359BE628" w14:textId="77777777" w:rsidR="00645BC7" w:rsidRPr="00E02B5D" w:rsidRDefault="00645BC7" w:rsidP="00E13D88">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656" w:type="dxa"/>
            <w:tcBorders>
              <w:top w:val="single" w:sz="4" w:space="0" w:color="auto"/>
              <w:left w:val="nil"/>
              <w:bottom w:val="single" w:sz="4" w:space="0" w:color="auto"/>
              <w:right w:val="single" w:sz="4" w:space="0" w:color="auto"/>
            </w:tcBorders>
            <w:shd w:val="clear" w:color="auto" w:fill="B8CCE4"/>
            <w:vAlign w:val="center"/>
          </w:tcPr>
          <w:p w14:paraId="38D95AD5" w14:textId="77777777" w:rsidR="00645BC7" w:rsidRPr="00E02B5D" w:rsidRDefault="00645BC7" w:rsidP="00E13D88">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2881" w:type="dxa"/>
            <w:vMerge/>
            <w:tcBorders>
              <w:top w:val="single" w:sz="4" w:space="0" w:color="auto"/>
              <w:left w:val="nil"/>
              <w:bottom w:val="single" w:sz="4" w:space="0" w:color="auto"/>
              <w:right w:val="single" w:sz="4" w:space="0" w:color="auto"/>
            </w:tcBorders>
            <w:shd w:val="clear" w:color="auto" w:fill="B8CCE4"/>
            <w:noWrap/>
          </w:tcPr>
          <w:p w14:paraId="057E701B" w14:textId="77777777" w:rsidR="00645BC7" w:rsidRPr="00E02B5D" w:rsidRDefault="00645BC7" w:rsidP="00D00694">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1FB5E2FA" w14:textId="77777777" w:rsidTr="000C5439">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2CB343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w:t>
            </w:r>
          </w:p>
        </w:tc>
        <w:tc>
          <w:tcPr>
            <w:tcW w:w="2189" w:type="dxa"/>
            <w:tcBorders>
              <w:top w:val="single" w:sz="4" w:space="0" w:color="auto"/>
              <w:left w:val="nil"/>
              <w:bottom w:val="single" w:sz="4" w:space="0" w:color="auto"/>
              <w:right w:val="single" w:sz="4" w:space="0" w:color="auto"/>
            </w:tcBorders>
            <w:shd w:val="clear" w:color="auto" w:fill="C6EFCE"/>
            <w:noWrap/>
          </w:tcPr>
          <w:p w14:paraId="689F8C6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16865_Restruktureerimine ja taastuvate energiaallikate koostootmiskonto tulude suurendamine</w:t>
            </w:r>
          </w:p>
        </w:tc>
        <w:tc>
          <w:tcPr>
            <w:tcW w:w="1142" w:type="dxa"/>
            <w:tcBorders>
              <w:top w:val="single" w:sz="4" w:space="0" w:color="auto"/>
              <w:left w:val="nil"/>
              <w:bottom w:val="single" w:sz="4" w:space="0" w:color="auto"/>
              <w:right w:val="single" w:sz="4" w:space="0" w:color="auto"/>
            </w:tcBorders>
            <w:shd w:val="clear" w:color="auto" w:fill="C6EFCE"/>
            <w:noWrap/>
          </w:tcPr>
          <w:p w14:paraId="4BDB3F5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460" w:type="dxa"/>
            <w:tcBorders>
              <w:top w:val="single" w:sz="4" w:space="0" w:color="auto"/>
              <w:left w:val="nil"/>
              <w:bottom w:val="single" w:sz="4" w:space="0" w:color="auto"/>
              <w:right w:val="single" w:sz="4" w:space="0" w:color="auto"/>
            </w:tcBorders>
            <w:shd w:val="clear" w:color="auto" w:fill="C6EFCE"/>
            <w:noWrap/>
          </w:tcPr>
          <w:p w14:paraId="351A9FB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Taastuvate energiaallikate konto – õigusakt L. 4001/2011 muutmiseks; ministeeriumide, riikliku reguleeriva asutuse (RAE) ning taastuvate energiaallikate ja päritolutagatiste administraatori (DAPEEP) kõigi asjakohaste otsuste, sealhulgas koodide jõustumine.</w:t>
            </w:r>
          </w:p>
        </w:tc>
        <w:tc>
          <w:tcPr>
            <w:tcW w:w="1286" w:type="dxa"/>
            <w:tcBorders>
              <w:top w:val="single" w:sz="4" w:space="0" w:color="auto"/>
              <w:left w:val="nil"/>
              <w:bottom w:val="single" w:sz="4" w:space="0" w:color="auto"/>
              <w:right w:val="single" w:sz="4" w:space="0" w:color="auto"/>
            </w:tcBorders>
            <w:shd w:val="clear" w:color="auto" w:fill="C6EFCE"/>
            <w:noWrap/>
          </w:tcPr>
          <w:p w14:paraId="596EDE0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Õigusaktide ja asjaomaste täitevotsuste jõustumine.</w:t>
            </w:r>
          </w:p>
        </w:tc>
        <w:tc>
          <w:tcPr>
            <w:tcW w:w="1293" w:type="dxa"/>
            <w:tcBorders>
              <w:top w:val="single" w:sz="4" w:space="0" w:color="auto"/>
              <w:left w:val="nil"/>
              <w:bottom w:val="single" w:sz="4" w:space="0" w:color="auto"/>
              <w:right w:val="single" w:sz="4" w:space="0" w:color="auto"/>
            </w:tcBorders>
            <w:shd w:val="clear" w:color="auto" w:fill="C6EFCE"/>
            <w:noWrap/>
          </w:tcPr>
          <w:p w14:paraId="0D49114F"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94" w:type="dxa"/>
            <w:tcBorders>
              <w:top w:val="single" w:sz="4" w:space="0" w:color="auto"/>
              <w:left w:val="nil"/>
              <w:bottom w:val="single" w:sz="4" w:space="0" w:color="auto"/>
              <w:right w:val="single" w:sz="4" w:space="0" w:color="auto"/>
            </w:tcBorders>
            <w:shd w:val="clear" w:color="auto" w:fill="C6EFCE"/>
            <w:noWrap/>
          </w:tcPr>
          <w:p w14:paraId="4729B7D9"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267EE9DC"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56" w:type="dxa"/>
            <w:tcBorders>
              <w:top w:val="single" w:sz="4" w:space="0" w:color="auto"/>
              <w:left w:val="nil"/>
              <w:bottom w:val="single" w:sz="4" w:space="0" w:color="auto"/>
              <w:right w:val="single" w:sz="4" w:space="0" w:color="auto"/>
            </w:tcBorders>
            <w:shd w:val="clear" w:color="auto" w:fill="C6EFCE"/>
            <w:noWrap/>
          </w:tcPr>
          <w:p w14:paraId="6DDE513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 kv</w:t>
            </w:r>
          </w:p>
        </w:tc>
        <w:tc>
          <w:tcPr>
            <w:tcW w:w="656" w:type="dxa"/>
            <w:tcBorders>
              <w:top w:val="single" w:sz="4" w:space="0" w:color="auto"/>
              <w:left w:val="nil"/>
              <w:bottom w:val="single" w:sz="4" w:space="0" w:color="auto"/>
              <w:right w:val="single" w:sz="4" w:space="0" w:color="auto"/>
            </w:tcBorders>
            <w:shd w:val="clear" w:color="auto" w:fill="C6EFCE"/>
            <w:noWrap/>
          </w:tcPr>
          <w:p w14:paraId="04DEC94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2881" w:type="dxa"/>
            <w:tcBorders>
              <w:top w:val="single" w:sz="4" w:space="0" w:color="auto"/>
              <w:left w:val="nil"/>
              <w:bottom w:val="single" w:sz="4" w:space="0" w:color="auto"/>
              <w:right w:val="single" w:sz="4" w:space="0" w:color="auto"/>
            </w:tcBorders>
            <w:shd w:val="clear" w:color="auto" w:fill="C6EFCE"/>
            <w:noWrap/>
          </w:tcPr>
          <w:p w14:paraId="71DD87D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 alates 1. jaanuarist 2021 tellitud üksuste jaoks uute taastuvate energiaallikate konto loomine, sealhulgas muutvad õigusaktid, ministri otsused ja regulatiivsed otsused (koodid). Uus taastuvate energiaallikate konto hõlmab mehhanisme selle rahalise elujõulisuse tagamiseks, seda ka ettenägematu tasakaalustamatuse korral.</w:t>
            </w:r>
          </w:p>
          <w:p w14:paraId="5AB0CFB1" w14:textId="77777777" w:rsidR="00645BC7" w:rsidRPr="00AD4052" w:rsidRDefault="00645BC7" w:rsidP="00D00694">
            <w:pPr>
              <w:spacing w:after="0" w:line="240" w:lineRule="auto"/>
              <w:rPr>
                <w:rFonts w:eastAsia="Times New Roman" w:cs="Calibri"/>
                <w:noProof/>
                <w:color w:val="006100"/>
                <w:sz w:val="18"/>
                <w:szCs w:val="18"/>
                <w:lang w:eastAsia="en-GB"/>
              </w:rPr>
            </w:pPr>
          </w:p>
          <w:p w14:paraId="4C1CA6E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 jõustunud on päritolutagatiste kauplemissüsteem, mis võimaldab tarbijatel vabatahtlikult toetada taastuvatest energiaallikatest toodetud elektrit.</w:t>
            </w:r>
          </w:p>
          <w:p w14:paraId="023C7B9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Päritolutagatiste süsteem hõlmab järgmist: </w:t>
            </w:r>
          </w:p>
          <w:p w14:paraId="655EDB46" w14:textId="77777777" w:rsidR="00645BC7" w:rsidRPr="00E02B5D" w:rsidRDefault="00645BC7" w:rsidP="00DE1EE5">
            <w:pPr>
              <w:numPr>
                <w:ilvl w:val="0"/>
                <w:numId w:val="29"/>
              </w:numPr>
              <w:spacing w:before="120" w:after="0" w:line="259" w:lineRule="auto"/>
              <w:contextualSpacing/>
              <w:jc w:val="both"/>
              <w:rPr>
                <w:rFonts w:eastAsia="Times New Roman" w:cs="Calibri"/>
                <w:noProof/>
                <w:color w:val="006100"/>
                <w:sz w:val="18"/>
                <w:szCs w:val="18"/>
              </w:rPr>
            </w:pPr>
            <w:r>
              <w:rPr>
                <w:noProof/>
                <w:color w:val="006100"/>
                <w:sz w:val="18"/>
              </w:rPr>
              <w:t>Soodustariifidega seotud päritolutagatiste väljastamise/enampakkumiste kava vastuvõtmine</w:t>
            </w:r>
          </w:p>
          <w:p w14:paraId="030EF0D7" w14:textId="77777777" w:rsidR="00645BC7" w:rsidRPr="00E02B5D" w:rsidRDefault="00645BC7" w:rsidP="00DE1EE5">
            <w:pPr>
              <w:numPr>
                <w:ilvl w:val="0"/>
                <w:numId w:val="29"/>
              </w:numPr>
              <w:spacing w:before="120" w:after="0" w:line="259" w:lineRule="auto"/>
              <w:contextualSpacing/>
              <w:jc w:val="both"/>
              <w:rPr>
                <w:rFonts w:eastAsia="Times New Roman" w:cs="Calibri"/>
                <w:noProof/>
                <w:color w:val="006100"/>
                <w:sz w:val="18"/>
                <w:szCs w:val="18"/>
              </w:rPr>
            </w:pPr>
            <w:r>
              <w:rPr>
                <w:noProof/>
                <w:color w:val="006100"/>
                <w:sz w:val="18"/>
              </w:rPr>
              <w:t>„Roheliste“ jaetoodete akrediteerimine</w:t>
            </w:r>
          </w:p>
          <w:p w14:paraId="6F3A1B81" w14:textId="77777777" w:rsidR="00645BC7" w:rsidRPr="00E02B5D" w:rsidRDefault="00645BC7" w:rsidP="00DE1EE5">
            <w:pPr>
              <w:numPr>
                <w:ilvl w:val="0"/>
                <w:numId w:val="29"/>
              </w:numPr>
              <w:spacing w:before="120" w:after="0" w:line="259" w:lineRule="auto"/>
              <w:contextualSpacing/>
              <w:jc w:val="both"/>
              <w:rPr>
                <w:rFonts w:eastAsia="Times New Roman" w:cs="Calibri"/>
                <w:noProof/>
                <w:color w:val="006100"/>
                <w:sz w:val="18"/>
                <w:szCs w:val="18"/>
              </w:rPr>
            </w:pPr>
            <w:r>
              <w:rPr>
                <w:noProof/>
                <w:color w:val="006100"/>
                <w:sz w:val="18"/>
              </w:rPr>
              <w:t>Keskkonnahoidliku ettevõtluse standardite akrediteerimine.</w:t>
            </w:r>
          </w:p>
          <w:p w14:paraId="233E14E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 </w:t>
            </w:r>
          </w:p>
        </w:tc>
      </w:tr>
      <w:tr w:rsidR="007B4D63" w:rsidRPr="003B132A" w14:paraId="114D527E" w14:textId="77777777" w:rsidTr="000C5439">
        <w:tc>
          <w:tcPr>
            <w:tcW w:w="1116" w:type="dxa"/>
            <w:tcBorders>
              <w:top w:val="nil"/>
              <w:left w:val="single" w:sz="4" w:space="0" w:color="auto"/>
              <w:bottom w:val="single" w:sz="4" w:space="0" w:color="auto"/>
              <w:right w:val="single" w:sz="4" w:space="0" w:color="auto"/>
            </w:tcBorders>
            <w:shd w:val="clear" w:color="auto" w:fill="C6EFCE"/>
            <w:noWrap/>
          </w:tcPr>
          <w:p w14:paraId="1FD1559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5</w:t>
            </w:r>
          </w:p>
        </w:tc>
        <w:tc>
          <w:tcPr>
            <w:tcW w:w="2189" w:type="dxa"/>
            <w:tcBorders>
              <w:top w:val="nil"/>
              <w:left w:val="nil"/>
              <w:bottom w:val="single" w:sz="4" w:space="0" w:color="auto"/>
              <w:right w:val="single" w:sz="4" w:space="0" w:color="auto"/>
            </w:tcBorders>
            <w:shd w:val="clear" w:color="auto" w:fill="C6EFCE"/>
            <w:noWrap/>
          </w:tcPr>
          <w:p w14:paraId="3CCDEB6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16860_Ühtlustada uue elektrituru mudeli tõhusat toimimist ja uute taastuvenergiajaamade arendamist, et saavutada riikliku energia- ja kliimakava eesmärgid, rakendades järelevalvemehhanismi, kasutades tarbimiskaja ja reformides põhjalikult uue taastuvenergia litsentsimismenetlust</w:t>
            </w:r>
          </w:p>
        </w:tc>
        <w:tc>
          <w:tcPr>
            <w:tcW w:w="1142" w:type="dxa"/>
            <w:tcBorders>
              <w:top w:val="nil"/>
              <w:left w:val="nil"/>
              <w:bottom w:val="single" w:sz="4" w:space="0" w:color="auto"/>
              <w:right w:val="single" w:sz="4" w:space="0" w:color="auto"/>
            </w:tcBorders>
            <w:shd w:val="clear" w:color="auto" w:fill="C6EFCE"/>
            <w:noWrap/>
          </w:tcPr>
          <w:p w14:paraId="42CCD54A" w14:textId="77777777" w:rsidR="00645BC7" w:rsidRPr="00E02B5D" w:rsidRDefault="00645BC7" w:rsidP="00D00694">
            <w:pPr>
              <w:spacing w:after="0" w:line="240" w:lineRule="auto"/>
              <w:rPr>
                <w:rFonts w:eastAsia="Times New Roman" w:cs="Calibri"/>
                <w:noProof/>
                <w:color w:val="006100"/>
                <w:sz w:val="18"/>
                <w:szCs w:val="18"/>
                <w:highlight w:val="yellow"/>
              </w:rPr>
            </w:pPr>
            <w:r>
              <w:rPr>
                <w:noProof/>
                <w:color w:val="006100"/>
                <w:sz w:val="18"/>
              </w:rPr>
              <w:t>Eesmärk</w:t>
            </w:r>
          </w:p>
        </w:tc>
        <w:tc>
          <w:tcPr>
            <w:tcW w:w="1460" w:type="dxa"/>
            <w:tcBorders>
              <w:top w:val="nil"/>
              <w:left w:val="nil"/>
              <w:bottom w:val="single" w:sz="4" w:space="0" w:color="auto"/>
              <w:right w:val="single" w:sz="4" w:space="0" w:color="auto"/>
            </w:tcBorders>
            <w:shd w:val="clear" w:color="auto" w:fill="C6EFCE"/>
            <w:noWrap/>
          </w:tcPr>
          <w:p w14:paraId="471F4FE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Taastuvate energiaallikate konto – turureformid ja litsentsimise lihtsustamine</w:t>
            </w:r>
          </w:p>
        </w:tc>
        <w:tc>
          <w:tcPr>
            <w:tcW w:w="1286" w:type="dxa"/>
            <w:tcBorders>
              <w:top w:val="nil"/>
              <w:left w:val="nil"/>
              <w:bottom w:val="single" w:sz="4" w:space="0" w:color="auto"/>
              <w:right w:val="single" w:sz="4" w:space="0" w:color="auto"/>
            </w:tcBorders>
            <w:shd w:val="clear" w:color="auto" w:fill="C6EFCE"/>
            <w:noWrap/>
          </w:tcPr>
          <w:p w14:paraId="1749FAF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RAE ja DAPEEP jõustuvad kõik asjakohased õigusaktid, sealhulgas ministrite otsused, ja reguleeriva raamistiku</w:t>
            </w:r>
          </w:p>
        </w:tc>
        <w:tc>
          <w:tcPr>
            <w:tcW w:w="1293" w:type="dxa"/>
            <w:tcBorders>
              <w:top w:val="nil"/>
              <w:left w:val="nil"/>
              <w:bottom w:val="single" w:sz="4" w:space="0" w:color="auto"/>
              <w:right w:val="single" w:sz="4" w:space="0" w:color="auto"/>
            </w:tcBorders>
            <w:shd w:val="clear" w:color="auto" w:fill="C6EFCE"/>
            <w:noWrap/>
          </w:tcPr>
          <w:p w14:paraId="0C2E5EC1"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94" w:type="dxa"/>
            <w:tcBorders>
              <w:top w:val="nil"/>
              <w:left w:val="nil"/>
              <w:bottom w:val="single" w:sz="4" w:space="0" w:color="auto"/>
              <w:right w:val="single" w:sz="4" w:space="0" w:color="auto"/>
            </w:tcBorders>
            <w:shd w:val="clear" w:color="auto" w:fill="C6EFCE"/>
            <w:noWrap/>
          </w:tcPr>
          <w:p w14:paraId="69F5D758"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175344E1"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56" w:type="dxa"/>
            <w:tcBorders>
              <w:top w:val="nil"/>
              <w:left w:val="nil"/>
              <w:bottom w:val="single" w:sz="4" w:space="0" w:color="auto"/>
              <w:right w:val="single" w:sz="4" w:space="0" w:color="auto"/>
            </w:tcBorders>
            <w:shd w:val="clear" w:color="auto" w:fill="C6EFCE"/>
            <w:noWrap/>
          </w:tcPr>
          <w:p w14:paraId="7086338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 kv</w:t>
            </w:r>
          </w:p>
        </w:tc>
        <w:tc>
          <w:tcPr>
            <w:tcW w:w="656" w:type="dxa"/>
            <w:tcBorders>
              <w:top w:val="nil"/>
              <w:left w:val="nil"/>
              <w:bottom w:val="single" w:sz="4" w:space="0" w:color="auto"/>
              <w:right w:val="single" w:sz="4" w:space="0" w:color="auto"/>
            </w:tcBorders>
            <w:shd w:val="clear" w:color="auto" w:fill="C6EFCE"/>
            <w:noWrap/>
          </w:tcPr>
          <w:p w14:paraId="67734F9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2881" w:type="dxa"/>
            <w:tcBorders>
              <w:top w:val="nil"/>
              <w:left w:val="nil"/>
              <w:bottom w:val="single" w:sz="4" w:space="0" w:color="auto"/>
              <w:right w:val="single" w:sz="4" w:space="0" w:color="auto"/>
            </w:tcBorders>
            <w:shd w:val="clear" w:color="auto" w:fill="C6EFCE"/>
            <w:noWrap/>
          </w:tcPr>
          <w:p w14:paraId="4DC1C28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 turu seire- ja järelevalvemehhanismi loomine ja täielik toimimine ning nõudlusele reageerimise täielik osalemine tasakaalustamisturul.</w:t>
            </w:r>
          </w:p>
          <w:p w14:paraId="1D4F967F" w14:textId="77777777" w:rsidR="00645BC7" w:rsidRPr="00E02B5D" w:rsidRDefault="00645BC7" w:rsidP="00D00694">
            <w:pPr>
              <w:spacing w:after="0" w:line="240" w:lineRule="auto"/>
              <w:rPr>
                <w:rFonts w:eastAsia="Times New Roman" w:cs="Calibri"/>
                <w:noProof/>
                <w:color w:val="006100"/>
                <w:sz w:val="18"/>
                <w:szCs w:val="18"/>
                <w:highlight w:val="yellow"/>
              </w:rPr>
            </w:pPr>
            <w:r>
              <w:rPr>
                <w:noProof/>
                <w:color w:val="006100"/>
                <w:sz w:val="18"/>
              </w:rPr>
              <w:t>2) viia lõpule taastuvenergia litsentsimise lihtsustamise reform, mis hõlmab menetluste lihtsustamist ja digiteerimist, lühikesi ja siduvaid halduslikke reageerimisaegu ja vastutusmenetlusi tarbetute viivituste korral, vajalike dokumentide ja menetluste vähendamist ning avamere taastuvenergiajaamade uut sihtotstarbelist raamistikku.</w:t>
            </w:r>
          </w:p>
        </w:tc>
      </w:tr>
      <w:tr w:rsidR="007B4D63" w:rsidRPr="003B132A" w14:paraId="04E04BCC" w14:textId="77777777" w:rsidTr="000C5439">
        <w:tc>
          <w:tcPr>
            <w:tcW w:w="1116" w:type="dxa"/>
            <w:tcBorders>
              <w:top w:val="nil"/>
              <w:left w:val="single" w:sz="4" w:space="0" w:color="auto"/>
              <w:bottom w:val="single" w:sz="4" w:space="0" w:color="auto"/>
              <w:right w:val="single" w:sz="4" w:space="0" w:color="auto"/>
            </w:tcBorders>
            <w:shd w:val="clear" w:color="auto" w:fill="C6EFCE"/>
            <w:noWrap/>
          </w:tcPr>
          <w:p w14:paraId="5E6262C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6</w:t>
            </w:r>
          </w:p>
        </w:tc>
        <w:tc>
          <w:tcPr>
            <w:tcW w:w="2189" w:type="dxa"/>
            <w:tcBorders>
              <w:top w:val="nil"/>
              <w:left w:val="nil"/>
              <w:bottom w:val="single" w:sz="4" w:space="0" w:color="auto"/>
              <w:right w:val="single" w:sz="4" w:space="0" w:color="auto"/>
            </w:tcBorders>
            <w:shd w:val="clear" w:color="auto" w:fill="C6EFCE"/>
            <w:noWrap/>
          </w:tcPr>
          <w:p w14:paraId="7F7405D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16865_Restruktureerimine ja taastuvate energiaallikate koostootmiskonto tulude suurendamine</w:t>
            </w:r>
          </w:p>
        </w:tc>
        <w:tc>
          <w:tcPr>
            <w:tcW w:w="1142" w:type="dxa"/>
            <w:tcBorders>
              <w:top w:val="nil"/>
              <w:left w:val="nil"/>
              <w:bottom w:val="single" w:sz="4" w:space="0" w:color="auto"/>
              <w:right w:val="single" w:sz="4" w:space="0" w:color="auto"/>
            </w:tcBorders>
            <w:shd w:val="clear" w:color="auto" w:fill="C6EFCE"/>
            <w:noWrap/>
          </w:tcPr>
          <w:p w14:paraId="211106F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Siht</w:t>
            </w:r>
          </w:p>
        </w:tc>
        <w:tc>
          <w:tcPr>
            <w:tcW w:w="1460" w:type="dxa"/>
            <w:tcBorders>
              <w:top w:val="nil"/>
              <w:left w:val="nil"/>
              <w:bottom w:val="single" w:sz="4" w:space="0" w:color="auto"/>
              <w:right w:val="single" w:sz="4" w:space="0" w:color="auto"/>
            </w:tcBorders>
            <w:shd w:val="clear" w:color="auto" w:fill="C6EFCE"/>
            <w:noWrap/>
          </w:tcPr>
          <w:p w14:paraId="2545D16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Taastuvate energiaallikate konto – võimsuse suurendamise eesmärk 1</w:t>
            </w:r>
          </w:p>
        </w:tc>
        <w:tc>
          <w:tcPr>
            <w:tcW w:w="1286" w:type="dxa"/>
            <w:tcBorders>
              <w:top w:val="nil"/>
              <w:left w:val="nil"/>
              <w:bottom w:val="single" w:sz="4" w:space="0" w:color="auto"/>
              <w:right w:val="single" w:sz="4" w:space="0" w:color="auto"/>
            </w:tcBorders>
            <w:shd w:val="clear" w:color="auto" w:fill="C6EFCE"/>
            <w:noWrap/>
          </w:tcPr>
          <w:p w14:paraId="027E5C4B"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1293" w:type="dxa"/>
            <w:tcBorders>
              <w:top w:val="nil"/>
              <w:left w:val="nil"/>
              <w:bottom w:val="single" w:sz="4" w:space="0" w:color="auto"/>
              <w:right w:val="single" w:sz="4" w:space="0" w:color="auto"/>
            </w:tcBorders>
            <w:shd w:val="clear" w:color="auto" w:fill="C6EFCE"/>
            <w:noWrap/>
          </w:tcPr>
          <w:p w14:paraId="44A76BD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Kasutusele võetud taastuvate energiaallikate uus võimsus (GW)</w:t>
            </w:r>
          </w:p>
        </w:tc>
        <w:tc>
          <w:tcPr>
            <w:tcW w:w="994" w:type="dxa"/>
            <w:tcBorders>
              <w:top w:val="nil"/>
              <w:left w:val="nil"/>
              <w:bottom w:val="single" w:sz="4" w:space="0" w:color="auto"/>
              <w:right w:val="single" w:sz="4" w:space="0" w:color="auto"/>
            </w:tcBorders>
            <w:shd w:val="clear" w:color="auto" w:fill="C6EFCE"/>
            <w:noWrap/>
          </w:tcPr>
          <w:p w14:paraId="65E19CC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0</w:t>
            </w:r>
          </w:p>
        </w:tc>
        <w:tc>
          <w:tcPr>
            <w:tcW w:w="906" w:type="dxa"/>
            <w:tcBorders>
              <w:top w:val="nil"/>
              <w:left w:val="nil"/>
              <w:bottom w:val="single" w:sz="4" w:space="0" w:color="auto"/>
              <w:right w:val="single" w:sz="4" w:space="0" w:color="auto"/>
            </w:tcBorders>
            <w:shd w:val="clear" w:color="auto" w:fill="C6EFCE"/>
            <w:noWrap/>
          </w:tcPr>
          <w:p w14:paraId="1B47940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w:t>
            </w:r>
          </w:p>
        </w:tc>
        <w:tc>
          <w:tcPr>
            <w:tcW w:w="956" w:type="dxa"/>
            <w:tcBorders>
              <w:top w:val="nil"/>
              <w:left w:val="nil"/>
              <w:bottom w:val="single" w:sz="4" w:space="0" w:color="auto"/>
              <w:right w:val="single" w:sz="4" w:space="0" w:color="auto"/>
            </w:tcBorders>
            <w:shd w:val="clear" w:color="auto" w:fill="C6EFCE"/>
            <w:noWrap/>
          </w:tcPr>
          <w:p w14:paraId="2407547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 kv</w:t>
            </w:r>
          </w:p>
        </w:tc>
        <w:tc>
          <w:tcPr>
            <w:tcW w:w="656" w:type="dxa"/>
            <w:tcBorders>
              <w:top w:val="nil"/>
              <w:left w:val="nil"/>
              <w:bottom w:val="single" w:sz="4" w:space="0" w:color="auto"/>
              <w:right w:val="single" w:sz="4" w:space="0" w:color="auto"/>
            </w:tcBorders>
            <w:shd w:val="clear" w:color="auto" w:fill="C6EFCE"/>
            <w:noWrap/>
          </w:tcPr>
          <w:p w14:paraId="48405DB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2881" w:type="dxa"/>
            <w:tcBorders>
              <w:top w:val="nil"/>
              <w:left w:val="nil"/>
              <w:bottom w:val="single" w:sz="4" w:space="0" w:color="auto"/>
              <w:right w:val="single" w:sz="4" w:space="0" w:color="auto"/>
            </w:tcBorders>
            <w:shd w:val="clear" w:color="auto" w:fill="C6EFCE"/>
            <w:noWrap/>
          </w:tcPr>
          <w:p w14:paraId="6857A19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Taastuvate energiaallikate uus installeeritud ja toimiv võimsus</w:t>
            </w:r>
          </w:p>
        </w:tc>
      </w:tr>
      <w:tr w:rsidR="007B4D63" w:rsidRPr="003B132A" w14:paraId="49D38A46" w14:textId="77777777" w:rsidTr="000C5439">
        <w:tc>
          <w:tcPr>
            <w:tcW w:w="1116" w:type="dxa"/>
            <w:tcBorders>
              <w:top w:val="nil"/>
              <w:left w:val="single" w:sz="4" w:space="0" w:color="auto"/>
              <w:bottom w:val="single" w:sz="4" w:space="0" w:color="auto"/>
              <w:right w:val="single" w:sz="4" w:space="0" w:color="auto"/>
            </w:tcBorders>
            <w:shd w:val="clear" w:color="auto" w:fill="C6EFCE"/>
            <w:noWrap/>
            <w:hideMark/>
          </w:tcPr>
          <w:p w14:paraId="2BC88E5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7</w:t>
            </w:r>
          </w:p>
        </w:tc>
        <w:tc>
          <w:tcPr>
            <w:tcW w:w="2189" w:type="dxa"/>
            <w:tcBorders>
              <w:top w:val="nil"/>
              <w:left w:val="nil"/>
              <w:bottom w:val="single" w:sz="4" w:space="0" w:color="auto"/>
              <w:right w:val="single" w:sz="4" w:space="0" w:color="auto"/>
            </w:tcBorders>
            <w:shd w:val="clear" w:color="auto" w:fill="C6EFCE"/>
            <w:noWrap/>
          </w:tcPr>
          <w:p w14:paraId="4808EF5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16865_Restruktureerimine ja taastuvate energiaallikate koostootmiskonto tulude suurendamine</w:t>
            </w:r>
          </w:p>
        </w:tc>
        <w:tc>
          <w:tcPr>
            <w:tcW w:w="1142" w:type="dxa"/>
            <w:tcBorders>
              <w:top w:val="nil"/>
              <w:left w:val="nil"/>
              <w:bottom w:val="single" w:sz="4" w:space="0" w:color="auto"/>
              <w:right w:val="single" w:sz="4" w:space="0" w:color="auto"/>
            </w:tcBorders>
            <w:shd w:val="clear" w:color="auto" w:fill="C6EFCE"/>
            <w:noWrap/>
            <w:hideMark/>
          </w:tcPr>
          <w:p w14:paraId="19D32A7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Siht</w:t>
            </w:r>
          </w:p>
        </w:tc>
        <w:tc>
          <w:tcPr>
            <w:tcW w:w="1460" w:type="dxa"/>
            <w:tcBorders>
              <w:top w:val="nil"/>
              <w:left w:val="nil"/>
              <w:bottom w:val="single" w:sz="4" w:space="0" w:color="auto"/>
              <w:right w:val="single" w:sz="4" w:space="0" w:color="auto"/>
            </w:tcBorders>
            <w:shd w:val="clear" w:color="auto" w:fill="C6EFCE"/>
            <w:noWrap/>
            <w:hideMark/>
          </w:tcPr>
          <w:p w14:paraId="550FBCE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Taastuvate energiaallikate konto – võimsuse suurendamise eesmärk 2</w:t>
            </w:r>
          </w:p>
        </w:tc>
        <w:tc>
          <w:tcPr>
            <w:tcW w:w="1286" w:type="dxa"/>
            <w:tcBorders>
              <w:top w:val="nil"/>
              <w:left w:val="nil"/>
              <w:bottom w:val="single" w:sz="4" w:space="0" w:color="auto"/>
              <w:right w:val="single" w:sz="4" w:space="0" w:color="auto"/>
            </w:tcBorders>
            <w:shd w:val="clear" w:color="auto" w:fill="C6EFCE"/>
            <w:noWrap/>
            <w:hideMark/>
          </w:tcPr>
          <w:p w14:paraId="57CE452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 </w:t>
            </w:r>
          </w:p>
        </w:tc>
        <w:tc>
          <w:tcPr>
            <w:tcW w:w="1293" w:type="dxa"/>
            <w:tcBorders>
              <w:top w:val="nil"/>
              <w:left w:val="nil"/>
              <w:bottom w:val="single" w:sz="4" w:space="0" w:color="auto"/>
              <w:right w:val="single" w:sz="4" w:space="0" w:color="auto"/>
            </w:tcBorders>
            <w:shd w:val="clear" w:color="auto" w:fill="C6EFCE"/>
            <w:noWrap/>
            <w:hideMark/>
          </w:tcPr>
          <w:p w14:paraId="1F3ED5B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Kasutusele võetud taastuvate energiaallikate uus võimsus (GW)</w:t>
            </w:r>
          </w:p>
        </w:tc>
        <w:tc>
          <w:tcPr>
            <w:tcW w:w="994" w:type="dxa"/>
            <w:tcBorders>
              <w:top w:val="nil"/>
              <w:left w:val="nil"/>
              <w:bottom w:val="single" w:sz="4" w:space="0" w:color="auto"/>
              <w:right w:val="single" w:sz="4" w:space="0" w:color="auto"/>
            </w:tcBorders>
            <w:shd w:val="clear" w:color="auto" w:fill="C6EFCE"/>
            <w:noWrap/>
            <w:hideMark/>
          </w:tcPr>
          <w:p w14:paraId="48996EF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1</w:t>
            </w:r>
          </w:p>
        </w:tc>
        <w:tc>
          <w:tcPr>
            <w:tcW w:w="906" w:type="dxa"/>
            <w:tcBorders>
              <w:top w:val="nil"/>
              <w:left w:val="nil"/>
              <w:bottom w:val="single" w:sz="4" w:space="0" w:color="auto"/>
              <w:right w:val="single" w:sz="4" w:space="0" w:color="auto"/>
            </w:tcBorders>
            <w:shd w:val="clear" w:color="auto" w:fill="C6EFCE"/>
            <w:noWrap/>
            <w:hideMark/>
          </w:tcPr>
          <w:p w14:paraId="414327B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2</w:t>
            </w:r>
          </w:p>
        </w:tc>
        <w:tc>
          <w:tcPr>
            <w:tcW w:w="956" w:type="dxa"/>
            <w:tcBorders>
              <w:top w:val="nil"/>
              <w:left w:val="nil"/>
              <w:bottom w:val="single" w:sz="4" w:space="0" w:color="auto"/>
              <w:right w:val="single" w:sz="4" w:space="0" w:color="auto"/>
            </w:tcBorders>
            <w:shd w:val="clear" w:color="auto" w:fill="C6EFCE"/>
            <w:noWrap/>
            <w:hideMark/>
          </w:tcPr>
          <w:p w14:paraId="4857687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 kv</w:t>
            </w:r>
          </w:p>
        </w:tc>
        <w:tc>
          <w:tcPr>
            <w:tcW w:w="656" w:type="dxa"/>
            <w:tcBorders>
              <w:top w:val="nil"/>
              <w:left w:val="nil"/>
              <w:bottom w:val="single" w:sz="4" w:space="0" w:color="auto"/>
              <w:right w:val="single" w:sz="4" w:space="0" w:color="auto"/>
            </w:tcBorders>
            <w:shd w:val="clear" w:color="auto" w:fill="C6EFCE"/>
            <w:noWrap/>
            <w:hideMark/>
          </w:tcPr>
          <w:p w14:paraId="5C4FF7B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2024</w:t>
            </w:r>
          </w:p>
        </w:tc>
        <w:tc>
          <w:tcPr>
            <w:tcW w:w="2881" w:type="dxa"/>
            <w:tcBorders>
              <w:top w:val="nil"/>
              <w:left w:val="nil"/>
              <w:bottom w:val="single" w:sz="4" w:space="0" w:color="auto"/>
              <w:right w:val="single" w:sz="4" w:space="0" w:color="auto"/>
            </w:tcBorders>
            <w:shd w:val="clear" w:color="auto" w:fill="C6EFCE"/>
            <w:noWrap/>
            <w:hideMark/>
          </w:tcPr>
          <w:p w14:paraId="02DF412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Taastuvate energiaallikate uus installeeritud ja toimiv võimsus</w:t>
            </w:r>
          </w:p>
        </w:tc>
      </w:tr>
      <w:tr w:rsidR="007B4D63" w:rsidRPr="003B132A" w14:paraId="0960AE76" w14:textId="77777777" w:rsidTr="000C5439">
        <w:trPr>
          <w:trHeight w:val="1362"/>
        </w:trPr>
        <w:tc>
          <w:tcPr>
            <w:tcW w:w="1116" w:type="dxa"/>
            <w:tcBorders>
              <w:top w:val="nil"/>
              <w:left w:val="single" w:sz="4" w:space="0" w:color="auto"/>
              <w:bottom w:val="single" w:sz="4" w:space="0" w:color="auto"/>
              <w:right w:val="single" w:sz="4" w:space="0" w:color="auto"/>
            </w:tcBorders>
            <w:shd w:val="clear" w:color="auto" w:fill="C6EFCE"/>
            <w:noWrap/>
            <w:hideMark/>
          </w:tcPr>
          <w:p w14:paraId="536C8B1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8</w:t>
            </w:r>
          </w:p>
        </w:tc>
        <w:tc>
          <w:tcPr>
            <w:tcW w:w="2189" w:type="dxa"/>
            <w:tcBorders>
              <w:top w:val="nil"/>
              <w:left w:val="nil"/>
              <w:bottom w:val="single" w:sz="4" w:space="0" w:color="auto"/>
              <w:right w:val="single" w:sz="4" w:space="0" w:color="auto"/>
            </w:tcBorders>
            <w:shd w:val="clear" w:color="auto" w:fill="C6EFCE"/>
            <w:noWrap/>
          </w:tcPr>
          <w:p w14:paraId="062155F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16865_Restruktureerimine ja taastuvate energiaallikate koostootmiskonto tulude suurendamine</w:t>
            </w:r>
          </w:p>
        </w:tc>
        <w:tc>
          <w:tcPr>
            <w:tcW w:w="1142" w:type="dxa"/>
            <w:tcBorders>
              <w:top w:val="nil"/>
              <w:left w:val="nil"/>
              <w:bottom w:val="single" w:sz="4" w:space="0" w:color="auto"/>
              <w:right w:val="single" w:sz="4" w:space="0" w:color="auto"/>
            </w:tcBorders>
            <w:shd w:val="clear" w:color="auto" w:fill="C6EFCE"/>
            <w:noWrap/>
            <w:hideMark/>
          </w:tcPr>
          <w:p w14:paraId="47EB9F5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Siht</w:t>
            </w:r>
          </w:p>
        </w:tc>
        <w:tc>
          <w:tcPr>
            <w:tcW w:w="1460" w:type="dxa"/>
            <w:tcBorders>
              <w:top w:val="nil"/>
              <w:left w:val="nil"/>
              <w:bottom w:val="single" w:sz="4" w:space="0" w:color="auto"/>
              <w:right w:val="single" w:sz="4" w:space="0" w:color="auto"/>
            </w:tcBorders>
            <w:shd w:val="clear" w:color="auto" w:fill="C6EFCE"/>
            <w:noWrap/>
            <w:hideMark/>
          </w:tcPr>
          <w:p w14:paraId="354C0EA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Taastuvate energiaallikate konto – võimsuse suurendamise eesmärk 3 </w:t>
            </w:r>
          </w:p>
        </w:tc>
        <w:tc>
          <w:tcPr>
            <w:tcW w:w="1286" w:type="dxa"/>
            <w:tcBorders>
              <w:top w:val="nil"/>
              <w:left w:val="nil"/>
              <w:bottom w:val="single" w:sz="4" w:space="0" w:color="auto"/>
              <w:right w:val="single" w:sz="4" w:space="0" w:color="auto"/>
            </w:tcBorders>
            <w:shd w:val="clear" w:color="auto" w:fill="C6EFCE"/>
            <w:noWrap/>
            <w:hideMark/>
          </w:tcPr>
          <w:p w14:paraId="41DA7B1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 </w:t>
            </w:r>
          </w:p>
        </w:tc>
        <w:tc>
          <w:tcPr>
            <w:tcW w:w="1293" w:type="dxa"/>
            <w:tcBorders>
              <w:top w:val="nil"/>
              <w:left w:val="nil"/>
              <w:bottom w:val="single" w:sz="4" w:space="0" w:color="auto"/>
              <w:right w:val="single" w:sz="4" w:space="0" w:color="auto"/>
            </w:tcBorders>
            <w:shd w:val="clear" w:color="auto" w:fill="C6EFCE"/>
            <w:noWrap/>
            <w:hideMark/>
          </w:tcPr>
          <w:p w14:paraId="75B15FE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Kasutusele võetud taastuvate energiaallikate uus võimsus (GW)</w:t>
            </w:r>
          </w:p>
        </w:tc>
        <w:tc>
          <w:tcPr>
            <w:tcW w:w="994" w:type="dxa"/>
            <w:tcBorders>
              <w:top w:val="nil"/>
              <w:left w:val="nil"/>
              <w:bottom w:val="single" w:sz="4" w:space="0" w:color="auto"/>
              <w:right w:val="single" w:sz="4" w:space="0" w:color="auto"/>
            </w:tcBorders>
            <w:shd w:val="clear" w:color="auto" w:fill="C6EFCE"/>
            <w:noWrap/>
            <w:hideMark/>
          </w:tcPr>
          <w:p w14:paraId="30B8D10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2</w:t>
            </w:r>
          </w:p>
        </w:tc>
        <w:tc>
          <w:tcPr>
            <w:tcW w:w="906" w:type="dxa"/>
            <w:tcBorders>
              <w:top w:val="nil"/>
              <w:left w:val="nil"/>
              <w:bottom w:val="single" w:sz="4" w:space="0" w:color="auto"/>
              <w:right w:val="single" w:sz="4" w:space="0" w:color="auto"/>
            </w:tcBorders>
            <w:shd w:val="clear" w:color="auto" w:fill="C6EFCE"/>
            <w:noWrap/>
            <w:hideMark/>
          </w:tcPr>
          <w:p w14:paraId="3D379E5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3</w:t>
            </w:r>
          </w:p>
        </w:tc>
        <w:tc>
          <w:tcPr>
            <w:tcW w:w="956" w:type="dxa"/>
            <w:tcBorders>
              <w:top w:val="nil"/>
              <w:left w:val="nil"/>
              <w:bottom w:val="single" w:sz="4" w:space="0" w:color="auto"/>
              <w:right w:val="single" w:sz="4" w:space="0" w:color="auto"/>
            </w:tcBorders>
            <w:shd w:val="clear" w:color="auto" w:fill="C6EFCE"/>
            <w:noWrap/>
            <w:hideMark/>
          </w:tcPr>
          <w:p w14:paraId="19C203D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 kv</w:t>
            </w:r>
          </w:p>
        </w:tc>
        <w:tc>
          <w:tcPr>
            <w:tcW w:w="656" w:type="dxa"/>
            <w:tcBorders>
              <w:top w:val="nil"/>
              <w:left w:val="nil"/>
              <w:bottom w:val="single" w:sz="4" w:space="0" w:color="auto"/>
              <w:right w:val="single" w:sz="4" w:space="0" w:color="auto"/>
            </w:tcBorders>
            <w:shd w:val="clear" w:color="auto" w:fill="C6EFCE"/>
            <w:noWrap/>
            <w:hideMark/>
          </w:tcPr>
          <w:p w14:paraId="431A043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2881" w:type="dxa"/>
            <w:tcBorders>
              <w:top w:val="nil"/>
              <w:left w:val="nil"/>
              <w:bottom w:val="single" w:sz="4" w:space="0" w:color="auto"/>
              <w:right w:val="single" w:sz="4" w:space="0" w:color="auto"/>
            </w:tcBorders>
            <w:shd w:val="clear" w:color="auto" w:fill="C6EFCE"/>
            <w:noWrap/>
            <w:hideMark/>
          </w:tcPr>
          <w:p w14:paraId="58211CF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Taastuvate energiaallikate uus installeeritud ja toimiv võimsus</w:t>
            </w:r>
          </w:p>
        </w:tc>
      </w:tr>
    </w:tbl>
    <w:p w14:paraId="5D1194F8" w14:textId="77777777" w:rsidR="00645BC7" w:rsidRPr="00E02B5D" w:rsidRDefault="00645BC7" w:rsidP="00685365">
      <w:pPr>
        <w:rPr>
          <w:rFonts w:ascii="Cambria" w:hAnsi="Cambria"/>
          <w:noProof/>
          <w:color w:val="365F91"/>
          <w:sz w:val="24"/>
          <w:lang w:val="en-GB"/>
        </w:rPr>
      </w:pPr>
    </w:p>
    <w:p w14:paraId="068CDF77" w14:textId="77777777" w:rsidR="00645BC7" w:rsidRPr="00E02B5D" w:rsidRDefault="00645BC7"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1: Energeetika</w:t>
      </w:r>
    </w:p>
    <w:p w14:paraId="656584E3"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Sellesse rühma kuuluvad järgmised meetmed:</w:t>
      </w:r>
    </w:p>
    <w:p w14:paraId="02A7DC33"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salvestamissüsteemide paigaldamise toetamine taastuvate energiaallikate osakaalu suurendamiseks (ID: 16926)</w:t>
      </w:r>
    </w:p>
    <w:p w14:paraId="7CB73AEF"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Kõige enam mõjutatud territooriumide (õiglase ülemineku territooriumid) taaselustamismeetmed (ID: 16871)</w:t>
      </w:r>
    </w:p>
    <w:p w14:paraId="1C5CDBB0"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HEDNO võrgu-uuendused, mille eesmärk on suurendada vastupidavust ja kaitsta keskkonda (ID: 16901)</w:t>
      </w:r>
    </w:p>
    <w:p w14:paraId="3164B8E5"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HEDNO õhuliini uuendamine metsaaladel (ID: 16900)</w:t>
      </w:r>
    </w:p>
    <w:p w14:paraId="0015E763"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Kreeka elektrijaotusvõrgu operaatori (HEDNO) installeeritud võimsuse suurendamine HV/MV alajaamades uue taastuvenergiaühenduse jaoks (ID: 16899)</w:t>
      </w:r>
    </w:p>
    <w:tbl>
      <w:tblPr>
        <w:tblW w:w="1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502"/>
        <w:gridCol w:w="1094"/>
        <w:gridCol w:w="1543"/>
        <w:gridCol w:w="2182"/>
        <w:gridCol w:w="1338"/>
        <w:gridCol w:w="966"/>
        <w:gridCol w:w="906"/>
        <w:gridCol w:w="922"/>
        <w:gridCol w:w="720"/>
        <w:gridCol w:w="3004"/>
      </w:tblGrid>
      <w:tr w:rsidR="007B4D63" w:rsidRPr="003B132A" w14:paraId="4AF45036" w14:textId="77777777" w:rsidTr="000C5439">
        <w:trPr>
          <w:trHeight w:val="927"/>
          <w:tblHeader/>
          <w:jc w:val="center"/>
        </w:trPr>
        <w:tc>
          <w:tcPr>
            <w:tcW w:w="1120" w:type="dxa"/>
            <w:vMerge w:val="restart"/>
            <w:shd w:val="clear" w:color="auto" w:fill="BDD7EE"/>
            <w:vAlign w:val="center"/>
            <w:hideMark/>
          </w:tcPr>
          <w:p w14:paraId="635A6B4C" w14:textId="40040BD1"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0C5439">
              <w:rPr>
                <w:rFonts w:ascii="Times New Roman" w:hAnsi="Times New Roman"/>
                <w:b/>
                <w:noProof/>
                <w:sz w:val="18"/>
              </w:rPr>
              <w:t>-</w:t>
            </w:r>
            <w:r>
              <w:rPr>
                <w:rFonts w:ascii="Times New Roman" w:hAnsi="Times New Roman"/>
                <w:b/>
                <w:noProof/>
                <w:sz w:val="18"/>
              </w:rPr>
              <w:t>number</w:t>
            </w:r>
          </w:p>
        </w:tc>
        <w:tc>
          <w:tcPr>
            <w:tcW w:w="2502" w:type="dxa"/>
            <w:vMerge w:val="restart"/>
            <w:shd w:val="clear" w:color="auto" w:fill="BDD7EE"/>
            <w:vAlign w:val="center"/>
            <w:hideMark/>
          </w:tcPr>
          <w:p w14:paraId="1ED33481"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094" w:type="dxa"/>
            <w:vMerge w:val="restart"/>
            <w:shd w:val="clear" w:color="auto" w:fill="BDD7EE"/>
            <w:vAlign w:val="center"/>
            <w:hideMark/>
          </w:tcPr>
          <w:p w14:paraId="2791FD93"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543" w:type="dxa"/>
            <w:vMerge w:val="restart"/>
            <w:shd w:val="clear" w:color="auto" w:fill="BDD7EE"/>
            <w:vAlign w:val="center"/>
            <w:hideMark/>
          </w:tcPr>
          <w:p w14:paraId="26B9B989"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2182" w:type="dxa"/>
            <w:vMerge w:val="restart"/>
            <w:shd w:val="clear" w:color="auto" w:fill="BDD7EE"/>
            <w:vAlign w:val="center"/>
            <w:hideMark/>
          </w:tcPr>
          <w:p w14:paraId="3E0F7B09"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210" w:type="dxa"/>
            <w:gridSpan w:val="3"/>
            <w:shd w:val="clear" w:color="auto" w:fill="BDD7EE"/>
            <w:vAlign w:val="center"/>
            <w:hideMark/>
          </w:tcPr>
          <w:p w14:paraId="72EFDFEF"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642" w:type="dxa"/>
            <w:gridSpan w:val="2"/>
            <w:shd w:val="clear" w:color="auto" w:fill="BDD7EE"/>
            <w:vAlign w:val="center"/>
            <w:hideMark/>
          </w:tcPr>
          <w:p w14:paraId="776EC197"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004" w:type="dxa"/>
            <w:vMerge w:val="restart"/>
            <w:shd w:val="clear" w:color="auto" w:fill="BDD7EE"/>
            <w:vAlign w:val="center"/>
            <w:hideMark/>
          </w:tcPr>
          <w:p w14:paraId="6F05C21A"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6E0EA2" w:rsidRPr="00E02B5D" w14:paraId="7EF62856" w14:textId="77777777" w:rsidTr="000C5439">
        <w:trPr>
          <w:trHeight w:val="1013"/>
          <w:jc w:val="center"/>
        </w:trPr>
        <w:tc>
          <w:tcPr>
            <w:tcW w:w="1120" w:type="dxa"/>
            <w:vMerge/>
            <w:vAlign w:val="center"/>
            <w:hideMark/>
          </w:tcPr>
          <w:p w14:paraId="19B60FB2"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2502" w:type="dxa"/>
            <w:vMerge/>
            <w:vAlign w:val="center"/>
            <w:hideMark/>
          </w:tcPr>
          <w:p w14:paraId="7884DE9A"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094" w:type="dxa"/>
            <w:vMerge/>
            <w:vAlign w:val="center"/>
            <w:hideMark/>
          </w:tcPr>
          <w:p w14:paraId="1C5CA9F7"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543" w:type="dxa"/>
            <w:vMerge/>
            <w:vAlign w:val="center"/>
            <w:hideMark/>
          </w:tcPr>
          <w:p w14:paraId="29F1317D"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2182" w:type="dxa"/>
            <w:vMerge/>
            <w:vAlign w:val="center"/>
            <w:hideMark/>
          </w:tcPr>
          <w:p w14:paraId="25044A33"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338" w:type="dxa"/>
            <w:shd w:val="clear" w:color="auto" w:fill="BDD7EE"/>
            <w:vAlign w:val="center"/>
            <w:hideMark/>
          </w:tcPr>
          <w:p w14:paraId="309F4C70"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shd w:val="clear" w:color="auto" w:fill="BDD7EE"/>
            <w:vAlign w:val="center"/>
            <w:hideMark/>
          </w:tcPr>
          <w:p w14:paraId="6A442A38"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shd w:val="clear" w:color="auto" w:fill="BDD7EE"/>
            <w:vAlign w:val="center"/>
            <w:hideMark/>
          </w:tcPr>
          <w:p w14:paraId="541495C3"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922" w:type="dxa"/>
            <w:shd w:val="clear" w:color="auto" w:fill="BDD7EE"/>
            <w:vAlign w:val="center"/>
            <w:hideMark/>
          </w:tcPr>
          <w:p w14:paraId="34C23780"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20" w:type="dxa"/>
            <w:shd w:val="clear" w:color="auto" w:fill="BDD7EE"/>
            <w:vAlign w:val="center"/>
            <w:hideMark/>
          </w:tcPr>
          <w:p w14:paraId="19D8054A"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004" w:type="dxa"/>
            <w:vMerge/>
            <w:vAlign w:val="center"/>
            <w:hideMark/>
          </w:tcPr>
          <w:p w14:paraId="0F4FAEEB" w14:textId="77777777" w:rsidR="00645BC7" w:rsidRPr="00E02B5D" w:rsidRDefault="00645BC7" w:rsidP="00D00694">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25E231E9" w14:textId="77777777" w:rsidTr="000C5439">
        <w:trPr>
          <w:jc w:val="center"/>
        </w:trPr>
        <w:tc>
          <w:tcPr>
            <w:tcW w:w="1120" w:type="dxa"/>
            <w:shd w:val="clear" w:color="auto" w:fill="C6EFCE"/>
            <w:noWrap/>
          </w:tcPr>
          <w:p w14:paraId="4476699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9</w:t>
            </w:r>
          </w:p>
        </w:tc>
        <w:tc>
          <w:tcPr>
            <w:tcW w:w="2502" w:type="dxa"/>
            <w:shd w:val="clear" w:color="auto" w:fill="C6EFCE"/>
            <w:noWrap/>
          </w:tcPr>
          <w:p w14:paraId="0DBCE97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16871_Taaselustamismeetmed kõige enam mõjutatud territooriumidel (õiglase ülemineku piirkonnad)</w:t>
            </w:r>
          </w:p>
        </w:tc>
        <w:tc>
          <w:tcPr>
            <w:tcW w:w="1094" w:type="dxa"/>
            <w:shd w:val="clear" w:color="auto" w:fill="C6EFCE"/>
            <w:noWrap/>
          </w:tcPr>
          <w:p w14:paraId="23557BD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543" w:type="dxa"/>
            <w:shd w:val="clear" w:color="auto" w:fill="C6EFCE"/>
            <w:noWrap/>
          </w:tcPr>
          <w:p w14:paraId="217D638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Maa taastamine – raamseadus</w:t>
            </w:r>
          </w:p>
        </w:tc>
        <w:tc>
          <w:tcPr>
            <w:tcW w:w="2182" w:type="dxa"/>
            <w:shd w:val="clear" w:color="auto" w:fill="C6EFCE"/>
            <w:noWrap/>
          </w:tcPr>
          <w:p w14:paraId="62607CF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Jõustumine</w:t>
            </w:r>
          </w:p>
        </w:tc>
        <w:tc>
          <w:tcPr>
            <w:tcW w:w="1338" w:type="dxa"/>
            <w:shd w:val="clear" w:color="auto" w:fill="C6EFCE"/>
            <w:noWrap/>
          </w:tcPr>
          <w:p w14:paraId="2AA64B9F"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66" w:type="dxa"/>
            <w:shd w:val="clear" w:color="auto" w:fill="C6EFCE"/>
            <w:noWrap/>
          </w:tcPr>
          <w:p w14:paraId="48AFE854"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06" w:type="dxa"/>
            <w:shd w:val="clear" w:color="auto" w:fill="C6EFCE"/>
            <w:noWrap/>
          </w:tcPr>
          <w:p w14:paraId="1F70C8FE"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22" w:type="dxa"/>
            <w:shd w:val="clear" w:color="auto" w:fill="C6EFCE"/>
            <w:noWrap/>
          </w:tcPr>
          <w:p w14:paraId="44DB700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 kv</w:t>
            </w:r>
          </w:p>
        </w:tc>
        <w:tc>
          <w:tcPr>
            <w:tcW w:w="720" w:type="dxa"/>
            <w:shd w:val="clear" w:color="auto" w:fill="C6EFCE"/>
            <w:noWrap/>
          </w:tcPr>
          <w:p w14:paraId="31654F0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3004" w:type="dxa"/>
            <w:shd w:val="clear" w:color="auto" w:fill="C6EFCE"/>
            <w:noWrap/>
          </w:tcPr>
          <w:p w14:paraId="16967A6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Programmi raamlepingu seaduse heakskiitmine ja jõustumine, millega määratakse kindlaks riigi energiakorporatsioonilt riigile ülekantavad geograafilised piirkonnad, projektiuuringute sisu, vastutuse jaotus kõigi asjaosaliste vahel, juhtimiskord, rakendamise ajakava ja eelarve.</w:t>
            </w:r>
          </w:p>
        </w:tc>
      </w:tr>
      <w:tr w:rsidR="007B4D63" w:rsidRPr="003B132A" w14:paraId="342971C3" w14:textId="77777777" w:rsidTr="000C5439">
        <w:trPr>
          <w:jc w:val="center"/>
        </w:trPr>
        <w:tc>
          <w:tcPr>
            <w:tcW w:w="1120" w:type="dxa"/>
            <w:shd w:val="clear" w:color="auto" w:fill="C6EFCE"/>
            <w:noWrap/>
          </w:tcPr>
          <w:p w14:paraId="71A17A7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10</w:t>
            </w:r>
          </w:p>
        </w:tc>
        <w:tc>
          <w:tcPr>
            <w:tcW w:w="2502" w:type="dxa"/>
            <w:shd w:val="clear" w:color="auto" w:fill="C6EFCE"/>
            <w:noWrap/>
          </w:tcPr>
          <w:p w14:paraId="5AE49B6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16871_Taaselustamismeetmed kõige enam mõjutatud territooriumidel (õiglase ülemineku piirkonnad)</w:t>
            </w:r>
          </w:p>
        </w:tc>
        <w:tc>
          <w:tcPr>
            <w:tcW w:w="1094" w:type="dxa"/>
            <w:shd w:val="clear" w:color="auto" w:fill="C6EFCE"/>
            <w:noWrap/>
          </w:tcPr>
          <w:p w14:paraId="0F2B56E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543" w:type="dxa"/>
            <w:shd w:val="clear" w:color="auto" w:fill="C6EFCE"/>
            <w:noWrap/>
          </w:tcPr>
          <w:p w14:paraId="0CB0A4A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Maa taastamine – linnaplaneeringud</w:t>
            </w:r>
          </w:p>
        </w:tc>
        <w:tc>
          <w:tcPr>
            <w:tcW w:w="2182" w:type="dxa"/>
            <w:shd w:val="clear" w:color="auto" w:fill="C6EFCE"/>
            <w:noWrap/>
          </w:tcPr>
          <w:p w14:paraId="6FA91C8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Keskkonnaministeerium kinnitab kõigi linnaarengu erikavade heakskiitmist;</w:t>
            </w:r>
          </w:p>
          <w:p w14:paraId="45B8C8B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Lepingute sõlmimisest teatamine</w:t>
            </w:r>
          </w:p>
        </w:tc>
        <w:tc>
          <w:tcPr>
            <w:tcW w:w="1338" w:type="dxa"/>
            <w:shd w:val="clear" w:color="auto" w:fill="C6EFCE"/>
            <w:noWrap/>
          </w:tcPr>
          <w:p w14:paraId="5CF9654E"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66" w:type="dxa"/>
            <w:shd w:val="clear" w:color="auto" w:fill="C6EFCE"/>
            <w:noWrap/>
          </w:tcPr>
          <w:p w14:paraId="66B04417"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06" w:type="dxa"/>
            <w:shd w:val="clear" w:color="auto" w:fill="C6EFCE"/>
            <w:noWrap/>
          </w:tcPr>
          <w:p w14:paraId="13310FA2"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22" w:type="dxa"/>
            <w:shd w:val="clear" w:color="auto" w:fill="C6EFCE"/>
            <w:noWrap/>
          </w:tcPr>
          <w:p w14:paraId="5C31753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 kv</w:t>
            </w:r>
          </w:p>
        </w:tc>
        <w:tc>
          <w:tcPr>
            <w:tcW w:w="720" w:type="dxa"/>
            <w:shd w:val="clear" w:color="auto" w:fill="C6EFCE"/>
            <w:noWrap/>
          </w:tcPr>
          <w:p w14:paraId="7069D39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2024</w:t>
            </w:r>
          </w:p>
        </w:tc>
        <w:tc>
          <w:tcPr>
            <w:tcW w:w="3004" w:type="dxa"/>
            <w:shd w:val="clear" w:color="auto" w:fill="C6EFCE"/>
            <w:noWrap/>
          </w:tcPr>
          <w:p w14:paraId="26E7D65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 Linna erikavade heakskiitmine presidendi dekreediga. Linnade erikavades määratakse kindlaks lubatud maakasutus, üldised ehitustingimused ja -piirangud ning mis tahes muud nõutavad meetmed, terminid või piirangud.</w:t>
            </w:r>
          </w:p>
          <w:p w14:paraId="2716E3AF" w14:textId="29EFB8FB"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2) PPC SA (seadusega 4956/2022 ratifitseeritud raamlepingu § 6.5.3 kohaselt) lepinguosalistele teatamine 5 438 ha taastatud või häirimata maa üleandmisest. </w:t>
            </w:r>
          </w:p>
        </w:tc>
      </w:tr>
      <w:tr w:rsidR="007B4D63" w:rsidRPr="003B132A" w14:paraId="7FF4CDD4" w14:textId="77777777" w:rsidTr="000C5439">
        <w:trPr>
          <w:jc w:val="center"/>
        </w:trPr>
        <w:tc>
          <w:tcPr>
            <w:tcW w:w="1120" w:type="dxa"/>
            <w:shd w:val="clear" w:color="auto" w:fill="C6EFCE"/>
            <w:noWrap/>
          </w:tcPr>
          <w:p w14:paraId="34FE20B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w:t>
            </w:r>
          </w:p>
        </w:tc>
        <w:tc>
          <w:tcPr>
            <w:tcW w:w="2502" w:type="dxa"/>
            <w:shd w:val="clear" w:color="auto" w:fill="C6EFCE"/>
            <w:noWrap/>
          </w:tcPr>
          <w:p w14:paraId="143A661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16926_Salvestamissüsteemide paigaldamise toetamine taastuvate energiaallikate osakaalu suurendamiseks</w:t>
            </w:r>
          </w:p>
        </w:tc>
        <w:tc>
          <w:tcPr>
            <w:tcW w:w="1094" w:type="dxa"/>
            <w:shd w:val="clear" w:color="auto" w:fill="C6EFCE"/>
            <w:noWrap/>
          </w:tcPr>
          <w:p w14:paraId="1F6AACF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543" w:type="dxa"/>
            <w:shd w:val="clear" w:color="auto" w:fill="C6EFCE"/>
            <w:noWrap/>
          </w:tcPr>
          <w:p w14:paraId="5A7A2CD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Ladustamine – lepingud</w:t>
            </w:r>
          </w:p>
        </w:tc>
        <w:tc>
          <w:tcPr>
            <w:tcW w:w="2182" w:type="dxa"/>
            <w:shd w:val="clear" w:color="auto" w:fill="C6EFCE"/>
            <w:noWrap/>
          </w:tcPr>
          <w:p w14:paraId="1C16F4E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Teade kõigi lepingute sõlmimise kohta</w:t>
            </w:r>
          </w:p>
        </w:tc>
        <w:tc>
          <w:tcPr>
            <w:tcW w:w="1338" w:type="dxa"/>
            <w:shd w:val="clear" w:color="auto" w:fill="C6EFCE"/>
            <w:noWrap/>
          </w:tcPr>
          <w:p w14:paraId="37BEB9C8"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66" w:type="dxa"/>
            <w:shd w:val="clear" w:color="auto" w:fill="C6EFCE"/>
            <w:noWrap/>
          </w:tcPr>
          <w:p w14:paraId="2AEA0267"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06" w:type="dxa"/>
            <w:shd w:val="clear" w:color="auto" w:fill="C6EFCE"/>
            <w:noWrap/>
          </w:tcPr>
          <w:p w14:paraId="6E6AED9A"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22" w:type="dxa"/>
            <w:shd w:val="clear" w:color="auto" w:fill="C6EFCE"/>
            <w:noWrap/>
          </w:tcPr>
          <w:p w14:paraId="172A120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 kv</w:t>
            </w:r>
          </w:p>
        </w:tc>
        <w:tc>
          <w:tcPr>
            <w:tcW w:w="720" w:type="dxa"/>
            <w:shd w:val="clear" w:color="auto" w:fill="C6EFCE"/>
            <w:noWrap/>
          </w:tcPr>
          <w:p w14:paraId="44024B5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3004" w:type="dxa"/>
            <w:shd w:val="clear" w:color="auto" w:fill="C6EFCE"/>
            <w:noWrap/>
          </w:tcPr>
          <w:p w14:paraId="2712312A" w14:textId="77777777" w:rsidR="00645BC7" w:rsidRPr="00E02B5D" w:rsidRDefault="00645BC7" w:rsidP="00D00694">
            <w:pPr>
              <w:spacing w:after="0" w:line="240" w:lineRule="auto"/>
              <w:rPr>
                <w:rFonts w:eastAsia="Times New Roman" w:cs="Calibri"/>
                <w:noProof/>
                <w:color w:val="006100"/>
                <w:sz w:val="18"/>
                <w:szCs w:val="18"/>
                <w:highlight w:val="yellow"/>
              </w:rPr>
            </w:pPr>
            <w:r>
              <w:rPr>
                <w:noProof/>
                <w:color w:val="006100"/>
                <w:sz w:val="18"/>
              </w:rPr>
              <w:t>Teade kõikide lepingute sõlmimise kohta väljavalitud projektide puhul (st lisaks pikaajalisele Amfilochia pumphüdroakumulatsioonile, mis valitakse välja individuaalse protsessi abil) võimsusega kuni 700 MW (ja minimaalse võimsusega 500 MW).</w:t>
            </w:r>
          </w:p>
        </w:tc>
      </w:tr>
      <w:tr w:rsidR="007B4D63" w:rsidRPr="003B132A" w14:paraId="4F427C33" w14:textId="77777777" w:rsidTr="000C5439">
        <w:trPr>
          <w:jc w:val="center"/>
        </w:trPr>
        <w:tc>
          <w:tcPr>
            <w:tcW w:w="1120" w:type="dxa"/>
            <w:shd w:val="clear" w:color="auto" w:fill="C6EFCE"/>
            <w:noWrap/>
          </w:tcPr>
          <w:p w14:paraId="6D89395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12</w:t>
            </w:r>
          </w:p>
        </w:tc>
        <w:tc>
          <w:tcPr>
            <w:tcW w:w="2502" w:type="dxa"/>
            <w:shd w:val="clear" w:color="auto" w:fill="C6EFCE"/>
            <w:noWrap/>
          </w:tcPr>
          <w:p w14:paraId="4469E49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16901_HEDNO võrgu-uuendused, mille eesmärk on suurendada vastupidavust ja kaitsta keskkonda</w:t>
            </w:r>
          </w:p>
        </w:tc>
        <w:tc>
          <w:tcPr>
            <w:tcW w:w="1094" w:type="dxa"/>
            <w:shd w:val="clear" w:color="auto" w:fill="C6EFCE"/>
            <w:noWrap/>
          </w:tcPr>
          <w:p w14:paraId="2D729BC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543" w:type="dxa"/>
            <w:shd w:val="clear" w:color="auto" w:fill="C6EFCE"/>
            <w:noWrap/>
          </w:tcPr>
          <w:p w14:paraId="20CE892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HEDNO – lepingud 1</w:t>
            </w:r>
          </w:p>
        </w:tc>
        <w:tc>
          <w:tcPr>
            <w:tcW w:w="2182" w:type="dxa"/>
            <w:shd w:val="clear" w:color="auto" w:fill="C6EFCE"/>
            <w:noWrap/>
          </w:tcPr>
          <w:p w14:paraId="2E70FDB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Teade kõigi lepingute sõlmimise kohta</w:t>
            </w:r>
          </w:p>
        </w:tc>
        <w:tc>
          <w:tcPr>
            <w:tcW w:w="1338" w:type="dxa"/>
            <w:shd w:val="clear" w:color="auto" w:fill="C6EFCE"/>
            <w:noWrap/>
          </w:tcPr>
          <w:p w14:paraId="3FC2B0DF"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66" w:type="dxa"/>
            <w:shd w:val="clear" w:color="auto" w:fill="C6EFCE"/>
            <w:noWrap/>
          </w:tcPr>
          <w:p w14:paraId="2B082EDC"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06" w:type="dxa"/>
            <w:shd w:val="clear" w:color="auto" w:fill="C6EFCE"/>
            <w:noWrap/>
          </w:tcPr>
          <w:p w14:paraId="73FA6B36"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22" w:type="dxa"/>
            <w:shd w:val="clear" w:color="auto" w:fill="C6EFCE"/>
            <w:noWrap/>
          </w:tcPr>
          <w:p w14:paraId="68EFE6C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20" w:type="dxa"/>
            <w:shd w:val="clear" w:color="auto" w:fill="C6EFCE"/>
            <w:noWrap/>
          </w:tcPr>
          <w:p w14:paraId="567583B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3004" w:type="dxa"/>
            <w:shd w:val="clear" w:color="auto" w:fill="C6EFCE"/>
            <w:noWrap/>
          </w:tcPr>
          <w:p w14:paraId="754ABD06" w14:textId="5D1115EA" w:rsidR="00645BC7" w:rsidRPr="00E02B5D" w:rsidRDefault="38C6ED78" w:rsidP="00D00694">
            <w:pPr>
              <w:spacing w:after="0" w:line="240" w:lineRule="auto"/>
              <w:rPr>
                <w:rFonts w:eastAsia="Times New Roman" w:cs="Calibri"/>
                <w:noProof/>
                <w:color w:val="006100"/>
                <w:sz w:val="18"/>
                <w:szCs w:val="18"/>
              </w:rPr>
            </w:pPr>
            <w:r>
              <w:rPr>
                <w:noProof/>
                <w:color w:val="006100"/>
                <w:sz w:val="18"/>
              </w:rPr>
              <w:t>Teade kõigi lepingute sõlmimise kohta, mis on seotud Kreeka elektrijaotusvõrgu halduri (HEDNO) projektidega, mis käsitlevad vastupidavust ja keskkonda suurendavaid uuendusi, mille eesmärk on hõlbustada taastuvenergia edasist kasutuselevõttu ning parandada võrgu usaldusväärsust ja vastupidavust, kaitstes samal ajal keskkonda.</w:t>
            </w:r>
          </w:p>
        </w:tc>
      </w:tr>
      <w:tr w:rsidR="007B4D63" w:rsidRPr="003B132A" w14:paraId="2F30EFE5" w14:textId="77777777" w:rsidTr="000C5439">
        <w:trPr>
          <w:jc w:val="center"/>
        </w:trPr>
        <w:tc>
          <w:tcPr>
            <w:tcW w:w="1120" w:type="dxa"/>
            <w:shd w:val="clear" w:color="auto" w:fill="C6EFCE"/>
            <w:noWrap/>
          </w:tcPr>
          <w:p w14:paraId="44A3957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13</w:t>
            </w:r>
          </w:p>
        </w:tc>
        <w:tc>
          <w:tcPr>
            <w:tcW w:w="2502" w:type="dxa"/>
            <w:shd w:val="clear" w:color="auto" w:fill="C6EFCE"/>
            <w:noWrap/>
          </w:tcPr>
          <w:p w14:paraId="52A976A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16900_HEDNO õhuliini uuendamine metsaaladel</w:t>
            </w:r>
          </w:p>
        </w:tc>
        <w:tc>
          <w:tcPr>
            <w:tcW w:w="1094" w:type="dxa"/>
            <w:shd w:val="clear" w:color="auto" w:fill="C6EFCE"/>
            <w:noWrap/>
          </w:tcPr>
          <w:p w14:paraId="4A3ACE7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543" w:type="dxa"/>
            <w:shd w:val="clear" w:color="auto" w:fill="C6EFCE"/>
            <w:noWrap/>
          </w:tcPr>
          <w:p w14:paraId="4D10BD7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HEDNO – lepingud 2</w:t>
            </w:r>
          </w:p>
        </w:tc>
        <w:tc>
          <w:tcPr>
            <w:tcW w:w="2182" w:type="dxa"/>
            <w:shd w:val="clear" w:color="auto" w:fill="C6EFCE"/>
            <w:noWrap/>
          </w:tcPr>
          <w:p w14:paraId="16409A0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Teade kõigi lepingute sõlmimise kohta</w:t>
            </w:r>
          </w:p>
        </w:tc>
        <w:tc>
          <w:tcPr>
            <w:tcW w:w="1338" w:type="dxa"/>
            <w:shd w:val="clear" w:color="auto" w:fill="C6EFCE"/>
            <w:noWrap/>
          </w:tcPr>
          <w:p w14:paraId="4762C42E"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66" w:type="dxa"/>
            <w:shd w:val="clear" w:color="auto" w:fill="C6EFCE"/>
            <w:noWrap/>
          </w:tcPr>
          <w:p w14:paraId="330D0249"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06" w:type="dxa"/>
            <w:shd w:val="clear" w:color="auto" w:fill="C6EFCE"/>
            <w:noWrap/>
          </w:tcPr>
          <w:p w14:paraId="151D81BD"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22" w:type="dxa"/>
            <w:shd w:val="clear" w:color="auto" w:fill="C6EFCE"/>
            <w:noWrap/>
          </w:tcPr>
          <w:p w14:paraId="2806F39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20" w:type="dxa"/>
            <w:shd w:val="clear" w:color="auto" w:fill="C6EFCE"/>
            <w:noWrap/>
          </w:tcPr>
          <w:p w14:paraId="2DBCEAF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3004" w:type="dxa"/>
            <w:shd w:val="clear" w:color="auto" w:fill="C6EFCE"/>
            <w:noWrap/>
          </w:tcPr>
          <w:p w14:paraId="438DBA4D" w14:textId="7382973C" w:rsidR="00645BC7" w:rsidRPr="00E02B5D" w:rsidRDefault="00645BC7" w:rsidP="00D00694">
            <w:pPr>
              <w:spacing w:after="0" w:line="240" w:lineRule="auto"/>
              <w:rPr>
                <w:rFonts w:eastAsia="Times New Roman" w:cs="Calibri"/>
                <w:noProof/>
                <w:color w:val="006100"/>
                <w:sz w:val="18"/>
                <w:szCs w:val="18"/>
              </w:rPr>
            </w:pPr>
            <w:r>
              <w:rPr>
                <w:noProof/>
                <w:color w:val="006100"/>
                <w:sz w:val="18"/>
              </w:rPr>
              <w:t>Teade kõigi lepingute sõlmimise kohta, mis on seotud HEDNO projektidega metsaalade üldvõrgus, mille eesmärk on hõlbustada taastuvenergia edasist levikut ning parandada võrgu usaldusväärsust ja vastupidavust, kaitstes samal ajal keskkonda.</w:t>
            </w:r>
          </w:p>
        </w:tc>
      </w:tr>
      <w:tr w:rsidR="007B4D63" w:rsidRPr="003B132A" w14:paraId="411F7792" w14:textId="77777777" w:rsidTr="000C5439">
        <w:trPr>
          <w:jc w:val="center"/>
        </w:trPr>
        <w:tc>
          <w:tcPr>
            <w:tcW w:w="1120" w:type="dxa"/>
            <w:shd w:val="clear" w:color="auto" w:fill="C6EFCE"/>
            <w:noWrap/>
          </w:tcPr>
          <w:p w14:paraId="036FE87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14</w:t>
            </w:r>
          </w:p>
        </w:tc>
        <w:tc>
          <w:tcPr>
            <w:tcW w:w="2502" w:type="dxa"/>
            <w:shd w:val="clear" w:color="auto" w:fill="C6EFCE"/>
            <w:noWrap/>
          </w:tcPr>
          <w:p w14:paraId="77356FD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16899_Ettevõtte Hellenic Electricity Distribution Network Operator (HEDNO) HV/MV alajaama võimsuse suurendamine uue taastuvenergia ühenduse jaoks</w:t>
            </w:r>
          </w:p>
        </w:tc>
        <w:tc>
          <w:tcPr>
            <w:tcW w:w="1094" w:type="dxa"/>
            <w:shd w:val="clear" w:color="auto" w:fill="C6EFCE"/>
            <w:noWrap/>
          </w:tcPr>
          <w:p w14:paraId="580FC8A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543" w:type="dxa"/>
            <w:shd w:val="clear" w:color="auto" w:fill="C6EFCE"/>
            <w:noWrap/>
          </w:tcPr>
          <w:p w14:paraId="7091376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HEDNO – lepingud 3</w:t>
            </w:r>
          </w:p>
        </w:tc>
        <w:tc>
          <w:tcPr>
            <w:tcW w:w="2182" w:type="dxa"/>
            <w:shd w:val="clear" w:color="auto" w:fill="C6EFCE"/>
            <w:noWrap/>
          </w:tcPr>
          <w:p w14:paraId="0E0880D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Teade kõigi lepingute sõlmimise kohta</w:t>
            </w:r>
          </w:p>
        </w:tc>
        <w:tc>
          <w:tcPr>
            <w:tcW w:w="1338" w:type="dxa"/>
            <w:shd w:val="clear" w:color="auto" w:fill="C6EFCE"/>
            <w:noWrap/>
          </w:tcPr>
          <w:p w14:paraId="7743273E"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66" w:type="dxa"/>
            <w:shd w:val="clear" w:color="auto" w:fill="C6EFCE"/>
            <w:noWrap/>
          </w:tcPr>
          <w:p w14:paraId="66457ABE"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06" w:type="dxa"/>
            <w:shd w:val="clear" w:color="auto" w:fill="C6EFCE"/>
            <w:noWrap/>
          </w:tcPr>
          <w:p w14:paraId="1282C9BB"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22" w:type="dxa"/>
            <w:shd w:val="clear" w:color="auto" w:fill="C6EFCE"/>
            <w:noWrap/>
          </w:tcPr>
          <w:p w14:paraId="3E81C45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20" w:type="dxa"/>
            <w:shd w:val="clear" w:color="auto" w:fill="C6EFCE"/>
            <w:noWrap/>
          </w:tcPr>
          <w:p w14:paraId="1355A99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3004" w:type="dxa"/>
            <w:shd w:val="clear" w:color="auto" w:fill="C6EFCE"/>
            <w:noWrap/>
          </w:tcPr>
          <w:p w14:paraId="58583FAD" w14:textId="48DADD86" w:rsidR="00645BC7" w:rsidRPr="00E02B5D" w:rsidRDefault="00645BC7" w:rsidP="00D00694">
            <w:pPr>
              <w:spacing w:after="0" w:line="240" w:lineRule="auto"/>
              <w:rPr>
                <w:rFonts w:eastAsia="Times New Roman" w:cs="Calibri"/>
                <w:noProof/>
                <w:color w:val="006100"/>
                <w:sz w:val="18"/>
                <w:szCs w:val="18"/>
              </w:rPr>
            </w:pPr>
            <w:r>
              <w:rPr>
                <w:noProof/>
                <w:color w:val="006100"/>
                <w:sz w:val="18"/>
              </w:rPr>
              <w:t>Teade kõigist lepingute sõlmimisest, mis on seotud HEDNO projektidega kõrgepinge/keskpinge alajaamade võimsuse suurendamise kohta, mille eesmärk on hõlbustada taastuvenergia edasist kasutuselevõttu ning parandada võrgu usaldusväärsust ja vastupidavust, kaitstes samal ajal keskkonda.</w:t>
            </w:r>
          </w:p>
          <w:p w14:paraId="4C8FBBAB" w14:textId="77777777" w:rsidR="00645BC7" w:rsidRPr="00AD4052" w:rsidRDefault="00645BC7" w:rsidP="00D00694">
            <w:pPr>
              <w:spacing w:after="0" w:line="240" w:lineRule="auto"/>
              <w:rPr>
                <w:rFonts w:eastAsia="Times New Roman" w:cs="Calibri"/>
                <w:noProof/>
                <w:color w:val="006100"/>
                <w:sz w:val="18"/>
                <w:szCs w:val="18"/>
                <w:lang w:eastAsia="en-GB"/>
              </w:rPr>
            </w:pPr>
          </w:p>
        </w:tc>
      </w:tr>
      <w:tr w:rsidR="007B4D63" w:rsidRPr="003B132A" w14:paraId="0D5E3D08" w14:textId="77777777" w:rsidTr="000C5439">
        <w:trPr>
          <w:jc w:val="center"/>
        </w:trPr>
        <w:tc>
          <w:tcPr>
            <w:tcW w:w="1120" w:type="dxa"/>
            <w:shd w:val="clear" w:color="auto" w:fill="C6EFCE"/>
            <w:noWrap/>
          </w:tcPr>
          <w:p w14:paraId="6F3AFDD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15</w:t>
            </w:r>
          </w:p>
        </w:tc>
        <w:tc>
          <w:tcPr>
            <w:tcW w:w="2502" w:type="dxa"/>
            <w:shd w:val="clear" w:color="auto" w:fill="C6EFCE"/>
            <w:noWrap/>
          </w:tcPr>
          <w:p w14:paraId="45283CB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16871_Taaselustamismeetmed kõige enam mõjutatud territooriumidel (õiglase ülemineku piirkonnad)</w:t>
            </w:r>
          </w:p>
        </w:tc>
        <w:tc>
          <w:tcPr>
            <w:tcW w:w="1094" w:type="dxa"/>
            <w:shd w:val="clear" w:color="auto" w:fill="C6EFCE"/>
            <w:noWrap/>
          </w:tcPr>
          <w:p w14:paraId="33AD8FF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Siht</w:t>
            </w:r>
          </w:p>
          <w:p w14:paraId="2478067D" w14:textId="77777777" w:rsidR="00645BC7" w:rsidRPr="00E02B5D" w:rsidRDefault="00645BC7" w:rsidP="00D00694">
            <w:pPr>
              <w:spacing w:after="0" w:line="240" w:lineRule="auto"/>
              <w:rPr>
                <w:rFonts w:eastAsia="Times New Roman" w:cs="Calibri"/>
                <w:noProof/>
                <w:color w:val="006100"/>
                <w:sz w:val="18"/>
                <w:szCs w:val="18"/>
                <w:lang w:val="en-GB" w:eastAsia="en-GB"/>
              </w:rPr>
            </w:pPr>
          </w:p>
          <w:p w14:paraId="2B9DBF81"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1543" w:type="dxa"/>
            <w:shd w:val="clear" w:color="auto" w:fill="C6EFCE"/>
            <w:noWrap/>
          </w:tcPr>
          <w:p w14:paraId="5DC8866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Maa taastamine – lõpuleviimine</w:t>
            </w:r>
          </w:p>
        </w:tc>
        <w:tc>
          <w:tcPr>
            <w:tcW w:w="2182" w:type="dxa"/>
            <w:shd w:val="clear" w:color="auto" w:fill="C6EFCE"/>
            <w:noWrap/>
          </w:tcPr>
          <w:p w14:paraId="70D86B97" w14:textId="77777777" w:rsidR="00645BC7" w:rsidRPr="00E02B5D" w:rsidRDefault="00645BC7" w:rsidP="00D00694">
            <w:pPr>
              <w:spacing w:before="120" w:after="0" w:line="240" w:lineRule="auto"/>
              <w:jc w:val="both"/>
              <w:rPr>
                <w:rFonts w:eastAsia="Times New Roman" w:cs="Calibri"/>
                <w:noProof/>
                <w:color w:val="006100"/>
                <w:sz w:val="18"/>
                <w:szCs w:val="18"/>
                <w:lang w:val="en-GB" w:eastAsia="en-GB"/>
              </w:rPr>
            </w:pPr>
          </w:p>
        </w:tc>
        <w:tc>
          <w:tcPr>
            <w:tcW w:w="1338" w:type="dxa"/>
            <w:shd w:val="clear" w:color="auto" w:fill="C6EFCE"/>
            <w:noWrap/>
          </w:tcPr>
          <w:p w14:paraId="39A461B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Maa taastamine (ha) sõltumatu sertifitseerija poolt lõpule viidud ja sertifitseeritud</w:t>
            </w:r>
          </w:p>
        </w:tc>
        <w:tc>
          <w:tcPr>
            <w:tcW w:w="966" w:type="dxa"/>
            <w:shd w:val="clear" w:color="auto" w:fill="C6EFCE"/>
            <w:noWrap/>
          </w:tcPr>
          <w:p w14:paraId="724565A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0</w:t>
            </w:r>
          </w:p>
        </w:tc>
        <w:tc>
          <w:tcPr>
            <w:tcW w:w="906" w:type="dxa"/>
            <w:shd w:val="clear" w:color="auto" w:fill="C6EFCE"/>
            <w:noWrap/>
          </w:tcPr>
          <w:p w14:paraId="6B5965AC" w14:textId="77777777" w:rsidR="00645BC7" w:rsidRPr="00E02B5D" w:rsidRDefault="5F02C731" w:rsidP="00D00694">
            <w:pPr>
              <w:spacing w:after="0" w:line="240" w:lineRule="auto"/>
              <w:rPr>
                <w:rFonts w:eastAsia="Times New Roman" w:cs="Calibri"/>
                <w:noProof/>
                <w:color w:val="006100"/>
                <w:sz w:val="18"/>
                <w:szCs w:val="18"/>
              </w:rPr>
            </w:pPr>
            <w:r>
              <w:rPr>
                <w:noProof/>
                <w:color w:val="006100"/>
                <w:sz w:val="18"/>
              </w:rPr>
              <w:t>9 700</w:t>
            </w:r>
          </w:p>
        </w:tc>
        <w:tc>
          <w:tcPr>
            <w:tcW w:w="922" w:type="dxa"/>
            <w:shd w:val="clear" w:color="auto" w:fill="C6EFCE"/>
            <w:noWrap/>
          </w:tcPr>
          <w:p w14:paraId="5F9E65B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20" w:type="dxa"/>
            <w:shd w:val="clear" w:color="auto" w:fill="C6EFCE"/>
            <w:noWrap/>
          </w:tcPr>
          <w:p w14:paraId="5AB08BB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3004" w:type="dxa"/>
            <w:shd w:val="clear" w:color="auto" w:fill="C6EFCE"/>
            <w:noWrap/>
          </w:tcPr>
          <w:p w14:paraId="41ED102C" w14:textId="2A4D48A8" w:rsidR="00645BC7" w:rsidRPr="00E02B5D" w:rsidRDefault="00645BC7" w:rsidP="00D00694">
            <w:pPr>
              <w:spacing w:after="0" w:line="240" w:lineRule="auto"/>
              <w:rPr>
                <w:rFonts w:eastAsia="Times New Roman" w:cs="Calibri"/>
                <w:noProof/>
                <w:color w:val="006100"/>
                <w:sz w:val="18"/>
                <w:szCs w:val="18"/>
              </w:rPr>
            </w:pPr>
            <w:r>
              <w:rPr>
                <w:noProof/>
                <w:color w:val="006100"/>
                <w:sz w:val="18"/>
              </w:rPr>
              <w:t>Lääne-Makedoonia ja Megalopolise maa taastamise projektide lõpuleviimine (9 700 ha)</w:t>
            </w:r>
          </w:p>
          <w:p w14:paraId="3E924B44" w14:textId="77777777" w:rsidR="00645BC7" w:rsidRPr="00AD4052" w:rsidRDefault="00645BC7" w:rsidP="00D00694">
            <w:pPr>
              <w:spacing w:after="0" w:line="240" w:lineRule="auto"/>
              <w:rPr>
                <w:rFonts w:eastAsia="Times New Roman" w:cs="Calibri"/>
                <w:noProof/>
                <w:color w:val="006100"/>
                <w:sz w:val="18"/>
                <w:szCs w:val="18"/>
                <w:lang w:eastAsia="en-GB"/>
              </w:rPr>
            </w:pPr>
          </w:p>
        </w:tc>
      </w:tr>
      <w:tr w:rsidR="007B4D63" w:rsidRPr="003B132A" w14:paraId="42E859AC" w14:textId="77777777" w:rsidTr="000C5439">
        <w:trPr>
          <w:jc w:val="center"/>
        </w:trPr>
        <w:tc>
          <w:tcPr>
            <w:tcW w:w="1120" w:type="dxa"/>
            <w:shd w:val="clear" w:color="auto" w:fill="C6EFCE"/>
            <w:noWrap/>
          </w:tcPr>
          <w:p w14:paraId="735820C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16</w:t>
            </w:r>
          </w:p>
        </w:tc>
        <w:tc>
          <w:tcPr>
            <w:tcW w:w="2502" w:type="dxa"/>
            <w:shd w:val="clear" w:color="auto" w:fill="C6EFCE"/>
            <w:noWrap/>
          </w:tcPr>
          <w:p w14:paraId="16EDD64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16926_Salvestamissüsteemide paigaldamise toetamine taastuvate energiaallikate osakaalu suurendamiseks</w:t>
            </w:r>
          </w:p>
        </w:tc>
        <w:tc>
          <w:tcPr>
            <w:tcW w:w="1094" w:type="dxa"/>
            <w:shd w:val="clear" w:color="auto" w:fill="C6EFCE"/>
            <w:noWrap/>
          </w:tcPr>
          <w:p w14:paraId="3D41F19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543" w:type="dxa"/>
            <w:shd w:val="clear" w:color="auto" w:fill="C6EFCE"/>
            <w:noWrap/>
          </w:tcPr>
          <w:p w14:paraId="25DE874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Energia salvestamine – lõpuleviimine</w:t>
            </w:r>
          </w:p>
        </w:tc>
        <w:tc>
          <w:tcPr>
            <w:tcW w:w="2182" w:type="dxa"/>
            <w:shd w:val="clear" w:color="auto" w:fill="C6EFCE"/>
            <w:noWrap/>
          </w:tcPr>
          <w:p w14:paraId="64F94D1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IPTO tõendab kuni 1 380 MW paigaldatud energiasalvestusprojektide käivitamist</w:t>
            </w:r>
          </w:p>
        </w:tc>
        <w:tc>
          <w:tcPr>
            <w:tcW w:w="1338" w:type="dxa"/>
            <w:shd w:val="clear" w:color="auto" w:fill="C6EFCE"/>
            <w:noWrap/>
          </w:tcPr>
          <w:p w14:paraId="4B0F6D6E"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66" w:type="dxa"/>
            <w:shd w:val="clear" w:color="auto" w:fill="C6EFCE"/>
            <w:noWrap/>
          </w:tcPr>
          <w:p w14:paraId="29E5FB64"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06" w:type="dxa"/>
            <w:shd w:val="clear" w:color="auto" w:fill="C6EFCE"/>
            <w:noWrap/>
          </w:tcPr>
          <w:p w14:paraId="76E9EA6A"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22" w:type="dxa"/>
            <w:shd w:val="clear" w:color="auto" w:fill="C6EFCE"/>
            <w:noWrap/>
          </w:tcPr>
          <w:p w14:paraId="06D2E27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20" w:type="dxa"/>
            <w:shd w:val="clear" w:color="auto" w:fill="C6EFCE"/>
            <w:noWrap/>
          </w:tcPr>
          <w:p w14:paraId="6346AFB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3004" w:type="dxa"/>
            <w:shd w:val="clear" w:color="auto" w:fill="C6EFCE"/>
            <w:noWrap/>
          </w:tcPr>
          <w:p w14:paraId="29D0F4E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Kõigi IPTO poolt sertifitseeritud kuni 1 380 MW energiasalvestusprojektide (sealhulgas Amfilochia) käivitamine. </w:t>
            </w:r>
          </w:p>
          <w:p w14:paraId="5050E6F6" w14:textId="77777777" w:rsidR="00645BC7" w:rsidRPr="00AD4052" w:rsidRDefault="00645BC7" w:rsidP="00D00694">
            <w:pPr>
              <w:spacing w:after="0" w:line="240" w:lineRule="auto"/>
              <w:rPr>
                <w:rFonts w:eastAsia="Times New Roman" w:cs="Calibri"/>
                <w:noProof/>
                <w:color w:val="006100"/>
                <w:sz w:val="18"/>
                <w:szCs w:val="18"/>
                <w:lang w:eastAsia="en-GB"/>
              </w:rPr>
            </w:pPr>
          </w:p>
          <w:p w14:paraId="4AB9546B" w14:textId="77777777" w:rsidR="00645BC7" w:rsidRPr="00AD4052" w:rsidRDefault="00645BC7" w:rsidP="00D00694">
            <w:pPr>
              <w:spacing w:after="0" w:line="240" w:lineRule="auto"/>
              <w:rPr>
                <w:rFonts w:eastAsia="Times New Roman" w:cs="Calibri"/>
                <w:noProof/>
                <w:color w:val="006100"/>
                <w:sz w:val="18"/>
                <w:szCs w:val="18"/>
                <w:lang w:eastAsia="en-GB"/>
              </w:rPr>
            </w:pPr>
          </w:p>
        </w:tc>
      </w:tr>
      <w:tr w:rsidR="007B4D63" w:rsidRPr="003B132A" w14:paraId="5DA84821" w14:textId="77777777" w:rsidTr="000C5439">
        <w:trPr>
          <w:jc w:val="center"/>
        </w:trPr>
        <w:tc>
          <w:tcPr>
            <w:tcW w:w="1120" w:type="dxa"/>
            <w:shd w:val="clear" w:color="auto" w:fill="C6EFCE"/>
            <w:noWrap/>
          </w:tcPr>
          <w:p w14:paraId="66C4FC4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17</w:t>
            </w:r>
          </w:p>
        </w:tc>
        <w:tc>
          <w:tcPr>
            <w:tcW w:w="2502" w:type="dxa"/>
            <w:shd w:val="clear" w:color="auto" w:fill="C6EFCE"/>
            <w:noWrap/>
          </w:tcPr>
          <w:p w14:paraId="2E0F96C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16901_HEDNO võrgu-uuendused, mille eesmärk on suurendada vastupidavust ja kaitsta keskkonda</w:t>
            </w:r>
          </w:p>
        </w:tc>
        <w:tc>
          <w:tcPr>
            <w:tcW w:w="1094" w:type="dxa"/>
            <w:shd w:val="clear" w:color="auto" w:fill="C6EFCE"/>
            <w:noWrap/>
          </w:tcPr>
          <w:p w14:paraId="2718E9E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543" w:type="dxa"/>
            <w:shd w:val="clear" w:color="auto" w:fill="C6EFCE"/>
            <w:noWrap/>
          </w:tcPr>
          <w:p w14:paraId="01D1011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HEDNO – 1. lõpetamine</w:t>
            </w:r>
          </w:p>
        </w:tc>
        <w:tc>
          <w:tcPr>
            <w:tcW w:w="2182" w:type="dxa"/>
            <w:shd w:val="clear" w:color="auto" w:fill="C6EFCE"/>
            <w:noWrap/>
          </w:tcPr>
          <w:p w14:paraId="4A2339C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HEDNO esitab tõendid projekti lõpuleviimise kohta kõigi sekkumiste puhul, mis on seotud vastupanuvõime ja keskkonna parandamisega, ning kasutuselevõtu sertifikaatide kohta.</w:t>
            </w:r>
          </w:p>
        </w:tc>
        <w:tc>
          <w:tcPr>
            <w:tcW w:w="1338" w:type="dxa"/>
            <w:shd w:val="clear" w:color="auto" w:fill="C6EFCE"/>
            <w:noWrap/>
          </w:tcPr>
          <w:p w14:paraId="446C5525"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66" w:type="dxa"/>
            <w:shd w:val="clear" w:color="auto" w:fill="C6EFCE"/>
            <w:noWrap/>
          </w:tcPr>
          <w:p w14:paraId="0B0B52B9"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06" w:type="dxa"/>
            <w:shd w:val="clear" w:color="auto" w:fill="C6EFCE"/>
            <w:noWrap/>
          </w:tcPr>
          <w:p w14:paraId="4C71345C"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22" w:type="dxa"/>
            <w:shd w:val="clear" w:color="auto" w:fill="C6EFCE"/>
            <w:noWrap/>
          </w:tcPr>
          <w:p w14:paraId="2DF28D4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20" w:type="dxa"/>
            <w:shd w:val="clear" w:color="auto" w:fill="C6EFCE"/>
            <w:noWrap/>
          </w:tcPr>
          <w:p w14:paraId="4D21DCA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3004" w:type="dxa"/>
            <w:shd w:val="clear" w:color="auto" w:fill="C6EFCE"/>
            <w:noWrap/>
          </w:tcPr>
          <w:p w14:paraId="271B4EB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Lõpuleviidud ja töös olevad meetmed, mis on seotud võrgu ajakohastamisega vastupidavuse ja keskkonna tagamiseks. </w:t>
            </w:r>
          </w:p>
        </w:tc>
      </w:tr>
      <w:tr w:rsidR="007B4D63" w:rsidRPr="003B132A" w14:paraId="6B696750" w14:textId="77777777" w:rsidTr="000C5439">
        <w:trPr>
          <w:jc w:val="center"/>
        </w:trPr>
        <w:tc>
          <w:tcPr>
            <w:tcW w:w="1120" w:type="dxa"/>
            <w:shd w:val="clear" w:color="auto" w:fill="C6EFCE"/>
            <w:noWrap/>
          </w:tcPr>
          <w:p w14:paraId="1BE3FEE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18</w:t>
            </w:r>
          </w:p>
        </w:tc>
        <w:tc>
          <w:tcPr>
            <w:tcW w:w="2502" w:type="dxa"/>
            <w:shd w:val="clear" w:color="auto" w:fill="C6EFCE"/>
            <w:noWrap/>
          </w:tcPr>
          <w:p w14:paraId="14B74A8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16900_HEDNO õhuliini uuendamine metsaaladel</w:t>
            </w:r>
          </w:p>
        </w:tc>
        <w:tc>
          <w:tcPr>
            <w:tcW w:w="1094" w:type="dxa"/>
            <w:shd w:val="clear" w:color="auto" w:fill="C6EFCE"/>
            <w:noWrap/>
          </w:tcPr>
          <w:p w14:paraId="56B3BA2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543" w:type="dxa"/>
            <w:shd w:val="clear" w:color="auto" w:fill="C6EFCE"/>
            <w:noWrap/>
          </w:tcPr>
          <w:p w14:paraId="47F8FCC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HEDNO – 2. etapp</w:t>
            </w:r>
          </w:p>
        </w:tc>
        <w:tc>
          <w:tcPr>
            <w:tcW w:w="2182" w:type="dxa"/>
            <w:shd w:val="clear" w:color="auto" w:fill="C6EFCE"/>
            <w:noWrap/>
          </w:tcPr>
          <w:p w14:paraId="36052D6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HEDNO esitab tõendid projekti lõpuleviimise kohta kõigi sekkumiste puhul, mis on seotud metsaalade üldvõrgu uuendamise ja kasutuselevõtu sertifikaatidega.</w:t>
            </w:r>
          </w:p>
        </w:tc>
        <w:tc>
          <w:tcPr>
            <w:tcW w:w="1338" w:type="dxa"/>
            <w:shd w:val="clear" w:color="auto" w:fill="C6EFCE"/>
            <w:noWrap/>
          </w:tcPr>
          <w:p w14:paraId="7FAB0E6C"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66" w:type="dxa"/>
            <w:shd w:val="clear" w:color="auto" w:fill="C6EFCE"/>
            <w:noWrap/>
          </w:tcPr>
          <w:p w14:paraId="60552ECF"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06" w:type="dxa"/>
            <w:shd w:val="clear" w:color="auto" w:fill="C6EFCE"/>
            <w:noWrap/>
          </w:tcPr>
          <w:p w14:paraId="3EF1927E"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22" w:type="dxa"/>
            <w:shd w:val="clear" w:color="auto" w:fill="C6EFCE"/>
            <w:noWrap/>
          </w:tcPr>
          <w:p w14:paraId="548DB6B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20" w:type="dxa"/>
            <w:shd w:val="clear" w:color="auto" w:fill="C6EFCE"/>
            <w:noWrap/>
          </w:tcPr>
          <w:p w14:paraId="5BA6E37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3004" w:type="dxa"/>
            <w:shd w:val="clear" w:color="auto" w:fill="C6EFCE"/>
            <w:noWrap/>
          </w:tcPr>
          <w:p w14:paraId="2C704DE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Meetmed, mis on seotud metsaalade võrgustiku ajakohastamisega lõpule viidud ja töös.</w:t>
            </w:r>
          </w:p>
        </w:tc>
      </w:tr>
      <w:tr w:rsidR="007B4D63" w:rsidRPr="003B132A" w14:paraId="298944D9" w14:textId="77777777" w:rsidTr="000C5439">
        <w:trPr>
          <w:jc w:val="center"/>
        </w:trPr>
        <w:tc>
          <w:tcPr>
            <w:tcW w:w="1120" w:type="dxa"/>
            <w:shd w:val="clear" w:color="auto" w:fill="C6EFCE"/>
            <w:noWrap/>
          </w:tcPr>
          <w:p w14:paraId="45AD647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19</w:t>
            </w:r>
          </w:p>
        </w:tc>
        <w:tc>
          <w:tcPr>
            <w:tcW w:w="2502" w:type="dxa"/>
            <w:shd w:val="clear" w:color="auto" w:fill="C6EFCE"/>
            <w:noWrap/>
          </w:tcPr>
          <w:p w14:paraId="27F330F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1-1.1. Energeetika – 16899_Ettevõtte Hellenic Electricity Distribution Network Operator (HEDNO) HV/MV alajaama võimsuse suurendamine uue taastuvenergia ühenduse jaoks</w:t>
            </w:r>
          </w:p>
        </w:tc>
        <w:tc>
          <w:tcPr>
            <w:tcW w:w="1094" w:type="dxa"/>
            <w:shd w:val="clear" w:color="auto" w:fill="C6EFCE"/>
            <w:noWrap/>
          </w:tcPr>
          <w:p w14:paraId="37AA85D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543" w:type="dxa"/>
            <w:shd w:val="clear" w:color="auto" w:fill="C6EFCE"/>
            <w:noWrap/>
          </w:tcPr>
          <w:p w14:paraId="23DD6A9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HEDNO – 3. lõpetamine</w:t>
            </w:r>
          </w:p>
        </w:tc>
        <w:tc>
          <w:tcPr>
            <w:tcW w:w="2182" w:type="dxa"/>
            <w:shd w:val="clear" w:color="auto" w:fill="C6EFCE"/>
            <w:noWrap/>
          </w:tcPr>
          <w:p w14:paraId="004EE26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HEDNO esitab tõendid projekti lõpuleviimise kohta kõigi sekkumiste puhul, mis on seotud HV/MV alajaamade võimsuse suurendamisega ja kasutuselevõtu sertifikaatidega.</w:t>
            </w:r>
          </w:p>
        </w:tc>
        <w:tc>
          <w:tcPr>
            <w:tcW w:w="1338" w:type="dxa"/>
            <w:shd w:val="clear" w:color="auto" w:fill="C6EFCE"/>
            <w:noWrap/>
          </w:tcPr>
          <w:p w14:paraId="6D5017BA"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66" w:type="dxa"/>
            <w:shd w:val="clear" w:color="auto" w:fill="C6EFCE"/>
            <w:noWrap/>
          </w:tcPr>
          <w:p w14:paraId="34AB2F03"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06" w:type="dxa"/>
            <w:shd w:val="clear" w:color="auto" w:fill="C6EFCE"/>
            <w:noWrap/>
          </w:tcPr>
          <w:p w14:paraId="2637524B"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22" w:type="dxa"/>
            <w:shd w:val="clear" w:color="auto" w:fill="C6EFCE"/>
            <w:noWrap/>
          </w:tcPr>
          <w:p w14:paraId="335CD6A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20" w:type="dxa"/>
            <w:shd w:val="clear" w:color="auto" w:fill="C6EFCE"/>
            <w:noWrap/>
          </w:tcPr>
          <w:p w14:paraId="0BA44CA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3004" w:type="dxa"/>
            <w:shd w:val="clear" w:color="auto" w:fill="C6EFCE"/>
            <w:noWrap/>
          </w:tcPr>
          <w:p w14:paraId="391D065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Sekkumised, mis on seotud HV/MV alajaamade läbilaskevõime suurendamisega, mis on lõpule viidud ja töös.</w:t>
            </w:r>
          </w:p>
        </w:tc>
      </w:tr>
    </w:tbl>
    <w:p w14:paraId="396D45C0" w14:textId="77777777" w:rsidR="00645BC7" w:rsidRPr="00AD4052" w:rsidRDefault="00645BC7" w:rsidP="00645BC7">
      <w:pPr>
        <w:spacing w:before="120" w:after="120" w:line="240" w:lineRule="auto"/>
        <w:rPr>
          <w:rFonts w:ascii="Times New Roman" w:hAnsi="Times New Roman" w:cs="Times New Roman"/>
          <w:noProof/>
          <w:sz w:val="24"/>
        </w:rPr>
        <w:sectPr w:rsidR="00645BC7" w:rsidRPr="00AD4052" w:rsidSect="00271D33">
          <w:headerReference w:type="even" r:id="rId26"/>
          <w:headerReference w:type="default" r:id="rId27"/>
          <w:footerReference w:type="even" r:id="rId28"/>
          <w:footerReference w:type="default" r:id="rId29"/>
          <w:headerReference w:type="first" r:id="rId30"/>
          <w:footerReference w:type="first" r:id="rId31"/>
          <w:pgSz w:w="16839" w:h="11907" w:orient="landscape"/>
          <w:pgMar w:top="1134" w:right="1134" w:bottom="1134" w:left="1134" w:header="567" w:footer="567" w:gutter="0"/>
          <w:cols w:space="720"/>
          <w:docGrid w:linePitch="360"/>
        </w:sectPr>
      </w:pPr>
    </w:p>
    <w:p w14:paraId="3019A607" w14:textId="77777777" w:rsidR="00645BC7" w:rsidRPr="00E02B5D" w:rsidRDefault="00645BC7"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B. KOMPONENT 1.2. RENOVEERIMINE</w:t>
      </w:r>
    </w:p>
    <w:p w14:paraId="630314C3"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renoveerimiskomponent rohelise samba raames suurendab energiatõhusust, suurendab majanduskasvu, loob töövõimalusi ja edendab sotsiaalset vastupanuvõimet. See hõlmab sihipäraseid reforme ja investeeringuid CO</w:t>
      </w:r>
      <w:r>
        <w:rPr>
          <w:rFonts w:ascii="Times New Roman" w:hAnsi="Times New Roman"/>
          <w:noProof/>
          <w:sz w:val="24"/>
          <w:vertAlign w:val="subscript"/>
        </w:rPr>
        <w:t>2</w:t>
      </w:r>
      <w:r>
        <w:rPr>
          <w:rFonts w:ascii="Times New Roman" w:hAnsi="Times New Roman"/>
          <w:noProof/>
          <w:sz w:val="24"/>
        </w:rPr>
        <w:t xml:space="preserve"> heite vähendamiseks, linnapiirkondade kliimaneutraalsuse saavutamise toetamist ning linnade ja nende hoonete vastupanuvõime suurendamist kliimamuutustele. Komponendiga nähakse ette stiimulid hoonete renoveerimiseks ja energia ajakohastamiseks, mis on olulised linnapiirkondade taaselustamisel ja kütteostuvõimetuse leevendamisel, ning see aitab kaasa Kreeka riiklikus energia- ja kliimakavas sätestatud eesmärkide saavutamisele. See komponent toetab 2020. aasta riigipõhist soovitust 3 ja 2019. aasta riigipõhist soovitust 2 avaliku ja erasektori investeeringute kohta.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08405BDA" w14:textId="77777777" w:rsidR="00645BC7" w:rsidRPr="00E02B5D" w:rsidRDefault="00645BC7" w:rsidP="00645BC7">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B.1. </w:t>
      </w:r>
      <w:r>
        <w:rPr>
          <w:noProof/>
        </w:rPr>
        <w:tab/>
      </w:r>
      <w:r>
        <w:rPr>
          <w:rFonts w:ascii="Times New Roman" w:hAnsi="Times New Roman"/>
          <w:b/>
          <w:noProof/>
          <w:sz w:val="24"/>
          <w:u w:val="single"/>
        </w:rPr>
        <w:t>Tagastamatu rahalise toetusega seotud reformide ja investeeringute kirjeldus</w:t>
      </w:r>
    </w:p>
    <w:p w14:paraId="281079F6"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Energiaostuvõimetuse tegevuskava (meetme ID: 16920)</w:t>
      </w:r>
    </w:p>
    <w:p w14:paraId="1B239BF3"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 seisneb energiaostuvõimetuse probleemi lahendamise tegevuskava vastuvõtmises. 2019. aastal ei suutnud umbes 18 % kogu elanikkonnast oma kodu kütta, samas kui majanduslikult haavatava elanikkonna hulgas oli see näitaja ligikaudu 34 % (Eurostat, sissetulekuid ja elamistingimusi käsitlev uuring EU-SILC). Strateegias esitatakse sihipärased poliitikameetmed elamute energiatõhususe parandamiseks majanduslikult haavatavates kodumajapidamistes. Reformi rakendamine viiakse lõpule 30. september 2021.</w:t>
      </w:r>
    </w:p>
    <w:p w14:paraId="40227AFD"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Eluhoonete energiatõhusaks renoveerimine (meetme ID: 16872)</w:t>
      </w:r>
    </w:p>
    <w:p w14:paraId="05D52138" w14:textId="7A2BDD79" w:rsidR="00645BC7" w:rsidRPr="00E02B5D" w:rsidRDefault="38C6ED78" w:rsidP="13CC7524">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Investeeringuga parandatakse elamute energiatõhusust. See hõlmab renoveerimist, millega saavutatakse märkimisväärne primaarenergia sääst, aidates seega saavutada riikliku energia- ja kliimakava asjakohaseid eesmärke. Sekkumised hõlmavad näiteks energia lõpptarbimise digitaliseerimise parandamist energiajuhtimissüsteemide kaudu ja elektromobiilsuse taristu, näiteks elektrisõidukite laadimisjaamade kasutuselevõtu edendamist. Samuti nähakse sellega ette sihtotstarbelised vahendid, mis on suunatud kütteostuvõimetutele eluruumidele, luues seega seose reformiga, mille eesmärk on koostada kütteostuvõimetuse tegevuskava.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5C6804A2"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Sekkumised elamupiirkondades ja hoonefondis (meetme ID: 16873)</w:t>
      </w:r>
    </w:p>
    <w:p w14:paraId="029DB7BB" w14:textId="779E2FC3" w:rsidR="00EF26F4" w:rsidRDefault="00645BC7" w:rsidP="00EF26F4">
      <w:pPr>
        <w:spacing w:before="120" w:after="120" w:line="240" w:lineRule="auto"/>
        <w:jc w:val="both"/>
        <w:rPr>
          <w:rFonts w:ascii="Times New Roman" w:hAnsi="Times New Roman"/>
          <w:noProof/>
          <w:sz w:val="24"/>
        </w:rPr>
      </w:pPr>
      <w:r>
        <w:rPr>
          <w:rFonts w:ascii="Times New Roman" w:hAnsi="Times New Roman"/>
          <w:noProof/>
          <w:sz w:val="24"/>
        </w:rPr>
        <w:t xml:space="preserve">See investeering hõlmab järgmist: 1) kliimamuutustega kohanemine ja nende leevendamine 16 linna- ja rannikupiirkonnas, näiteks olulise tähtsusega linnatähiste kaitse ja linnade kliimaneutraalsuse edendamine; </w:t>
      </w:r>
      <w:r>
        <w:rPr>
          <w:rFonts w:ascii="Times New Roman" w:hAnsi="Times New Roman"/>
          <w:noProof/>
          <w:sz w:val="24"/>
        </w:rPr>
        <w:br w:type="page"/>
      </w:r>
    </w:p>
    <w:p w14:paraId="1D86A9E6" w14:textId="5FF2D9E3"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2) Votanikose/Elaionase endise tööstuspiirkonna taaselustamine Ateena südames; 3) mereääre uuendamine, et muuta see Ateena (Ateena Riviera) rannikul jalgratturitele ja jalakäijatele juurdepääsetavaks; ning 4) muud strateegilised sekkumised, mis valitakse välja avatud projektikonkursi kaudu omavalitsustele, kes edendavad kliimamuutustega kohanemist ning aitavad kaasa primaarenergia säästmisele ja CO</w:t>
      </w:r>
      <w:r>
        <w:rPr>
          <w:rFonts w:ascii="Times New Roman" w:hAnsi="Times New Roman"/>
          <w:noProof/>
          <w:sz w:val="24"/>
          <w:vertAlign w:val="subscript"/>
        </w:rPr>
        <w:t>2</w:t>
      </w:r>
      <w:r>
        <w:rPr>
          <w:rFonts w:ascii="Times New Roman" w:hAnsi="Times New Roman"/>
          <w:noProof/>
          <w:sz w:val="24"/>
        </w:rPr>
        <w:t xml:space="preserve"> heite vähendamisele.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5230975F" w14:textId="77777777"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Investeering</w:t>
      </w:r>
      <w:r>
        <w:rPr>
          <w:rFonts w:ascii="Times New Roman" w:hAnsi="Times New Roman"/>
          <w:noProof/>
          <w:sz w:val="24"/>
        </w:rPr>
        <w:t>: Energeetika ja ettevõtlus (meetme ID: 16874)</w:t>
      </w:r>
    </w:p>
    <w:p w14:paraId="2D2C07E8" w14:textId="649F40AA"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Investeeringuga antakse eraettevõtetele rahalist toetust hoonete ja protsesside energiatõhusaks renoveerimiseks. See hõlmab kahte allprogrammi: a) väga väikeste, väikeste, keskmise suurusega ja suurettevõtjate energiatõhusaks renoveerimine ning b) energiatõhusate seadmete paigaldamine väga väikestele, väikestele, keskmise suurusega ja suurtele ettevõtjatele. Tänu energiatõhusate seadmete ja süsteemide paigaldamisele energia säästmiseks tootmises, salvestamises ja jaotamises ning ettevõtete tegevusele aitab see meede suurendada hoonete, protsesside ja/või üksikseadmete energiatõhusust kooskõlas riiklikus energia- ja kliimakavas sätestatud eesmärkidega ning vähendada kasvuhoonegaaside heidet. </w:t>
      </w:r>
    </w:p>
    <w:p w14:paraId="1AF694DF" w14:textId="00B9EE1B" w:rsidR="00EF26F4" w:rsidRDefault="00645BC7" w:rsidP="00EF26F4">
      <w:pPr>
        <w:spacing w:before="120" w:after="120" w:line="240" w:lineRule="auto"/>
        <w:jc w:val="both"/>
        <w:rPr>
          <w:rFonts w:ascii="Times New Roman" w:hAnsi="Times New Roman"/>
          <w:noProof/>
          <w:sz w:val="24"/>
        </w:rPr>
      </w:pPr>
      <w:r>
        <w:rPr>
          <w:rFonts w:ascii="Times New Roman" w:hAnsi="Times New Roman"/>
          <w:noProof/>
          <w:sz w:val="24"/>
        </w:rPr>
        <w:t>Tagamaks, et meede vastab tehnilistele suunistele põhimõtte „ei kahjusta oluliselt“ (edaspidi „DNSH-põhimõte“) kohaldamise kohta (2021/C58/01), jäetakse konkursikutsetes esitatud abikõlblikkuse kriteeriumide hulgast välja järgmised tegevused:</w:t>
      </w:r>
      <w:r>
        <w:rPr>
          <w:rFonts w:ascii="Times New Roman" w:hAnsi="Times New Roman"/>
          <w:noProof/>
          <w:color w:val="FF0000"/>
          <w:sz w:val="24"/>
        </w:rPr>
        <w:t xml:space="preserve"> </w:t>
      </w:r>
      <w:r>
        <w:rPr>
          <w:rFonts w:ascii="Times New Roman" w:hAnsi="Times New Roman"/>
          <w:noProof/>
          <w:sz w:val="24"/>
        </w:rPr>
        <w:t>i) fossiilkütustega seotud tegevus, sealhulgas allkasutus tootmisahela järgmistes etappides</w:t>
      </w:r>
      <w:r w:rsidRPr="00E02B5D">
        <w:rPr>
          <w:rFonts w:ascii="Times New Roman" w:hAnsi="Times New Roman" w:cs="Times New Roman"/>
          <w:noProof/>
          <w:sz w:val="24"/>
          <w:vertAlign w:val="superscript"/>
          <w:lang w:val="en-GB"/>
        </w:rPr>
        <w:footnoteReference w:id="2"/>
      </w:r>
      <w:r>
        <w:rPr>
          <w:rFonts w:ascii="Times New Roman" w:hAnsi="Times New Roman"/>
          <w:noProof/>
          <w:sz w:val="24"/>
        </w:rPr>
        <w:t>; ii) ELi heitkogustega kauplemise süsteemi (HKS) raames toimuv tegevus, mille prognoositav kasvuhoonegaaside heide ei ole asjaomastest võrdlusalustest</w:t>
      </w:r>
      <w:r w:rsidRPr="00E02B5D">
        <w:rPr>
          <w:rFonts w:ascii="Times New Roman" w:hAnsi="Times New Roman" w:cs="Times New Roman"/>
          <w:noProof/>
          <w:sz w:val="24"/>
          <w:vertAlign w:val="superscript"/>
          <w:lang w:val="en-GB"/>
        </w:rPr>
        <w:footnoteReference w:id="3"/>
      </w:r>
      <w:r>
        <w:rPr>
          <w:rFonts w:ascii="Times New Roman" w:hAnsi="Times New Roman"/>
          <w:noProof/>
          <w:sz w:val="24"/>
        </w:rPr>
        <w:t xml:space="preserve"> madalam; iii) prügilate, jäätmepõletustehaste</w:t>
      </w:r>
      <w:r w:rsidRPr="00E02B5D">
        <w:rPr>
          <w:rFonts w:ascii="Times New Roman" w:hAnsi="Times New Roman" w:cs="Times New Roman"/>
          <w:noProof/>
          <w:sz w:val="24"/>
          <w:vertAlign w:val="superscript"/>
          <w:lang w:val="en-GB"/>
        </w:rPr>
        <w:footnoteReference w:id="4"/>
      </w:r>
      <w:r>
        <w:rPr>
          <w:rFonts w:ascii="Times New Roman" w:hAnsi="Times New Roman"/>
          <w:noProof/>
          <w:sz w:val="24"/>
        </w:rPr>
        <w:t xml:space="preserve"> ja mehhaanilis-bioloogilise töötlemise jaamadega</w:t>
      </w:r>
      <w:r w:rsidRPr="00E02B5D">
        <w:rPr>
          <w:rFonts w:ascii="Times New Roman" w:hAnsi="Times New Roman" w:cs="Times New Roman"/>
          <w:noProof/>
          <w:sz w:val="24"/>
          <w:vertAlign w:val="superscript"/>
          <w:lang w:val="en-GB"/>
        </w:rPr>
        <w:footnoteReference w:id="5"/>
      </w:r>
      <w:r>
        <w:rPr>
          <w:rFonts w:ascii="Times New Roman" w:hAnsi="Times New Roman"/>
          <w:noProof/>
          <w:sz w:val="24"/>
        </w:rPr>
        <w:t xml:space="preserve"> seotud tegevus; iv) tegevused, mille puhul jäätmete pikaajaline kõrvaldamine võib kahjustada keskkonda. </w:t>
      </w:r>
      <w:r>
        <w:rPr>
          <w:rFonts w:ascii="Times New Roman" w:hAnsi="Times New Roman"/>
          <w:noProof/>
          <w:sz w:val="24"/>
        </w:rPr>
        <w:br w:type="page"/>
      </w:r>
    </w:p>
    <w:p w14:paraId="0D381472" w14:textId="1ABB3540"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Peale selle peab konkursitingimustes olema sätestatud, et valida võib ainult tegevusi, mis vastavad asjakohastele ELi ja riiklikele keskkonnaalastele õigusaktidele. Investeering peab vastama ka tehnilistele suunistele põhimõtte „ei kahjusta oluliselt“ kohaldamise kohta seoses ehitusjäätmete ringlussevõttu käsitlevate ringmajanduse põhimõtetega ja kooskõlas hoonete energiatõhususe direktiiviga (2010/31/EL). Investeeringu rakendamine viiakse lõpule 31. detsembriks 2025.</w:t>
      </w:r>
    </w:p>
    <w:p w14:paraId="767411CA"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Avaliku sektori hoonete energiatõhususe suurendamine (meetme ID: 16876)</w:t>
      </w:r>
    </w:p>
    <w:p w14:paraId="5DDB6EEA" w14:textId="77777777"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See investeering hõlmab avaliku sektori hoonete renoveerimist, et suurendada nende energiatõhusust energiasäästuettevõtete (ESCO) kaasamise kaudu. Investeering hõlmab ka tänavavalgustuse infrastruktuuri energiauuendust. Selle investeeringu eesmärk on aidata kaasa riiklikus energia- ja kliimakavas vastu võetud energiatõhususe eesmärkide saavutamisele ja CO</w:t>
      </w:r>
      <w:r>
        <w:rPr>
          <w:rFonts w:ascii="Times New Roman" w:hAnsi="Times New Roman"/>
          <w:noProof/>
          <w:sz w:val="24"/>
          <w:vertAlign w:val="subscript"/>
        </w:rPr>
        <w:t>2</w:t>
      </w:r>
      <w:r>
        <w:rPr>
          <w:rFonts w:ascii="Times New Roman" w:hAnsi="Times New Roman"/>
          <w:noProof/>
          <w:sz w:val="24"/>
        </w:rPr>
        <w:t xml:space="preserve"> heite vähendamisele.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463ADCA7"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Taristu arendamine ja hoonete restaureerimine Tatois (meetme ID: 16875)</w:t>
      </w:r>
    </w:p>
    <w:p w14:paraId="5B2FBDBF"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hõlmab hoonete renoveerimist ning nende energiatõhususe ja taristuvõrgustike uuendamist Tatoi piirkonnas ning jalgsi- ja jalgrattateede loomist selle läheduses. Projektiga luuakse Atika elanikele roheline, renoveeritud ja vabalt ligipääsetav puhkeala ning turistidele uus teetähis, mida külastada.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54E2C712" w14:textId="77777777" w:rsidR="00EF26F4" w:rsidRDefault="00EF26F4">
      <w:pPr>
        <w:rPr>
          <w:rFonts w:ascii="Times New Roman" w:hAnsi="Times New Roman"/>
          <w:b/>
          <w:noProof/>
          <w:sz w:val="24"/>
        </w:rPr>
      </w:pPr>
      <w:r>
        <w:rPr>
          <w:noProof/>
        </w:rPr>
        <w:br w:type="page"/>
      </w:r>
    </w:p>
    <w:p w14:paraId="518F2260" w14:textId="77F03309"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Ateena olümpiaspordikeskus (meetme ID: 16932)</w:t>
      </w:r>
    </w:p>
    <w:p w14:paraId="7B269C7B" w14:textId="77777777"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Ateena olümpiaspordikeskusesse tehtud investeeringu eesmärk on pikendada selle kasutusaega, taastada maine, vähendada jooksvaid/energiakulusid ning tagada selle rahaline jätkusuutlikkus, muutes keskuse kaasaegseks ja elavaks linna kergejõustikuks ja vaba aja veetmise sihtkohaks, eesmärgiga anda keskus üle Kreeka varade ja osaluste ametile.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134E1233"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Linnaarengu kavade ettevalmistamine linnapoliitika reformi elluviimiseks (meetme ID: 16879)</w:t>
      </w:r>
    </w:p>
    <w:p w14:paraId="351CD737" w14:textId="030A2474" w:rsidR="00645BC7" w:rsidRPr="00E02B5D" w:rsidRDefault="38C6ED78" w:rsidP="008AECE0">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Reform koosneb viiest meetmest: a) kohalike linnakavade ettevalmistamine (hõlmab omavalitsusi või munitsipaalüksusi), b) spetsiaalsete linnakavade ettevalmistamine (kavad, mis võivad hõlmata rohkem kui ühte omavalitsust), c) arendusõiguste üleandmise piirkondade määratlemine, d) asulate piiritlemise lõpuleviimine, 5) (omavalitsuste) teedele juurdepääsu tunnustamisega seotud maakasutusküsimuste käsitlemine. Reformi eesmärk on kõrvaldada puudused ja lüngad tsoonideks jaotamises ja maakasutuses, et edendada jätkusuutlikku majandustegevust ja kaitsta keskkonda. Kohalikud linnakavad sisaldavad eraldi peatükki kliimamuutustega seotud meetmete ning kliimaga seotud riskide ennetamise ja juhtimise kohta. Üldiselt koostatakse kohalikud linnakavad 700 omavalitsuse või munitsipaalüksuse kohta; koostatakse viis linna erikava, arendusõiguste üleandmise piirkonnad määratakse kindlaks 50 munitsipaalüksuses, asulate piirid määratakse kindlaks 50 munitsipaalüksuses ja munitsipaalteed 120 munitsipaalüksuses. </w:t>
      </w:r>
    </w:p>
    <w:p w14:paraId="2E7924A9"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rakendamine viiakse lõpule 31. detsembriks 2025.</w:t>
      </w:r>
    </w:p>
    <w:p w14:paraId="78802C66"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Uue mereala ruumilise planeerimise kehtestamine (meetme ID: 16891).</w:t>
      </w:r>
    </w:p>
    <w:p w14:paraId="6834506B" w14:textId="77777777"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eesmärk on luua merekeskkonna riiklik ruumiline strateegia. Reformiga käsitletakse mere- ja rannikualade säästvat arengut, kaitstes samal ajal merekeskkonda ja bioloogilist mitmekesisust. Reformi rakendamine viiakse lõpule 31. detsembriks 2025.</w:t>
      </w:r>
    </w:p>
    <w:p w14:paraId="39FE1361"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Uue spetsiaalse ruumilise planeerimise raamistiku loomine taastuvenergia, tööstuse, turismi ja vesiviljeluse jaoks (meetme ID: 16894). Reformi rakendamine viiakse lõpule 31. detsembriks 2025.</w:t>
      </w:r>
    </w:p>
    <w:p w14:paraId="633A4967" w14:textId="77777777" w:rsidR="009D7919"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Reformiga luuakse taastuvenergia, tööstuse, turismi ja vesiviljeluse jaoks uued ruumilised eriraamistikud, et edendada kliimamuutuste leevendamist ja nendega kohanemist, bioloogilise mitmekesisuse kaitset, majanduskasvu ja töökohtade loomist.</w:t>
      </w:r>
    </w:p>
    <w:p w14:paraId="4E1ED41A" w14:textId="77777777" w:rsidR="00645BC7" w:rsidRPr="00AD4052" w:rsidRDefault="00645BC7" w:rsidP="00645BC7">
      <w:pPr>
        <w:spacing w:before="120" w:after="120" w:line="240" w:lineRule="auto"/>
        <w:ind w:left="709"/>
        <w:jc w:val="both"/>
        <w:rPr>
          <w:rFonts w:ascii="Times New Roman" w:hAnsi="Times New Roman" w:cs="Times New Roman"/>
          <w:b/>
          <w:bCs/>
          <w:noProof/>
          <w:sz w:val="24"/>
          <w:u w:val="single"/>
        </w:rPr>
      </w:pPr>
    </w:p>
    <w:p w14:paraId="34649841" w14:textId="77777777" w:rsidR="00645BC7" w:rsidRPr="00AD4052" w:rsidRDefault="00645BC7" w:rsidP="00645BC7">
      <w:pPr>
        <w:spacing w:before="120" w:after="120" w:line="240" w:lineRule="auto"/>
        <w:ind w:left="709"/>
        <w:jc w:val="both"/>
        <w:rPr>
          <w:rFonts w:ascii="Times New Roman" w:hAnsi="Times New Roman" w:cs="Times New Roman"/>
          <w:noProof/>
          <w:sz w:val="24"/>
        </w:rPr>
        <w:sectPr w:rsidR="00645BC7" w:rsidRPr="00AD4052" w:rsidSect="00271D33">
          <w:headerReference w:type="even" r:id="rId32"/>
          <w:headerReference w:type="default" r:id="rId33"/>
          <w:footerReference w:type="even" r:id="rId34"/>
          <w:footerReference w:type="default" r:id="rId35"/>
          <w:headerReference w:type="first" r:id="rId36"/>
          <w:footerReference w:type="first" r:id="rId37"/>
          <w:pgSz w:w="11907" w:h="16839"/>
          <w:pgMar w:top="1134" w:right="1134" w:bottom="1134" w:left="1134" w:header="567" w:footer="567" w:gutter="0"/>
          <w:cols w:space="720"/>
          <w:docGrid w:linePitch="360"/>
        </w:sectPr>
      </w:pPr>
    </w:p>
    <w:p w14:paraId="1231B3E2" w14:textId="77777777" w:rsidR="00645BC7" w:rsidRPr="00E02B5D" w:rsidRDefault="00645BC7" w:rsidP="00645BC7">
      <w:pPr>
        <w:keepNext/>
        <w:keepLines/>
        <w:spacing w:before="40" w:after="0" w:line="240" w:lineRule="auto"/>
        <w:jc w:val="both"/>
        <w:outlineLvl w:val="4"/>
        <w:rPr>
          <w:rFonts w:ascii="Cambria" w:eastAsia="Times New Roman" w:hAnsi="Cambria"/>
          <w:noProof/>
          <w:color w:val="365F91"/>
          <w:sz w:val="24"/>
        </w:rPr>
      </w:pPr>
      <w:r>
        <w:rPr>
          <w:rFonts w:ascii="Times New Roman" w:hAnsi="Times New Roman"/>
          <w:b/>
          <w:noProof/>
          <w:sz w:val="24"/>
          <w:u w:val="single"/>
        </w:rPr>
        <w:t xml:space="preserve">B.2. </w:t>
      </w:r>
      <w:r>
        <w:rPr>
          <w:noProof/>
        </w:rPr>
        <w:tab/>
      </w:r>
      <w:r>
        <w:rPr>
          <w:rFonts w:ascii="Times New Roman" w:hAnsi="Times New Roman"/>
          <w:b/>
          <w:noProof/>
          <w:sz w:val="24"/>
          <w:u w:val="single"/>
        </w:rPr>
        <w:t>Tagastamatu rahalise toetuse eesmärgid, sihid, näitajad ning seire ja rakendamise ajakava</w:t>
      </w:r>
      <w:r>
        <w:rPr>
          <w:rFonts w:ascii="Cambria" w:hAnsi="Cambria"/>
          <w:noProof/>
          <w:color w:val="365F91"/>
          <w:sz w:val="24"/>
        </w:rPr>
        <w:t xml:space="preserve"> </w:t>
      </w:r>
    </w:p>
    <w:p w14:paraId="17CE9668" w14:textId="77777777" w:rsidR="00645BC7" w:rsidRPr="00AD4052" w:rsidRDefault="00645BC7" w:rsidP="00685365">
      <w:pPr>
        <w:rPr>
          <w:noProof/>
        </w:rPr>
      </w:pPr>
    </w:p>
    <w:p w14:paraId="6B6CDB30" w14:textId="77777777" w:rsidR="00645BC7" w:rsidRPr="00E02B5D" w:rsidRDefault="00645BC7" w:rsidP="00645BC7">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sz w:val="24"/>
        </w:rPr>
        <w:t>Peamised investeeringud 2: Elamute energiatõhusamaks muutmine</w:t>
      </w:r>
    </w:p>
    <w:tbl>
      <w:tblPr>
        <w:tblW w:w="153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834"/>
        <w:gridCol w:w="966"/>
        <w:gridCol w:w="1972"/>
        <w:gridCol w:w="1649"/>
        <w:gridCol w:w="1756"/>
        <w:gridCol w:w="966"/>
        <w:gridCol w:w="906"/>
        <w:gridCol w:w="816"/>
        <w:gridCol w:w="659"/>
        <w:gridCol w:w="2693"/>
      </w:tblGrid>
      <w:tr w:rsidR="007B4D63" w:rsidRPr="003B132A" w14:paraId="2E434670" w14:textId="77777777" w:rsidTr="00746BE8">
        <w:trPr>
          <w:trHeight w:val="927"/>
          <w:tblHeader/>
        </w:trPr>
        <w:tc>
          <w:tcPr>
            <w:tcW w:w="1116" w:type="dxa"/>
            <w:vMerge w:val="restart"/>
            <w:shd w:val="clear" w:color="auto" w:fill="BDD7EE"/>
            <w:vAlign w:val="center"/>
            <w:hideMark/>
          </w:tcPr>
          <w:p w14:paraId="4A219E3F" w14:textId="69E2F592"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746BE8">
              <w:rPr>
                <w:rFonts w:ascii="Times New Roman" w:hAnsi="Times New Roman"/>
                <w:b/>
                <w:noProof/>
                <w:sz w:val="18"/>
              </w:rPr>
              <w:t>-</w:t>
            </w:r>
            <w:r>
              <w:rPr>
                <w:rFonts w:ascii="Times New Roman" w:hAnsi="Times New Roman"/>
                <w:b/>
                <w:noProof/>
                <w:sz w:val="18"/>
              </w:rPr>
              <w:t>number</w:t>
            </w:r>
          </w:p>
        </w:tc>
        <w:tc>
          <w:tcPr>
            <w:tcW w:w="1834" w:type="dxa"/>
            <w:vMerge w:val="restart"/>
            <w:shd w:val="clear" w:color="auto" w:fill="BDD7EE"/>
            <w:vAlign w:val="center"/>
            <w:hideMark/>
          </w:tcPr>
          <w:p w14:paraId="06C0C09D"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6" w:type="dxa"/>
            <w:vMerge w:val="restart"/>
            <w:shd w:val="clear" w:color="auto" w:fill="BDD7EE"/>
            <w:vAlign w:val="center"/>
            <w:hideMark/>
          </w:tcPr>
          <w:p w14:paraId="2BAA05D4"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972" w:type="dxa"/>
            <w:vMerge w:val="restart"/>
            <w:shd w:val="clear" w:color="auto" w:fill="BDD7EE"/>
            <w:vAlign w:val="center"/>
            <w:hideMark/>
          </w:tcPr>
          <w:p w14:paraId="34AE51BC"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649" w:type="dxa"/>
            <w:vMerge w:val="restart"/>
            <w:shd w:val="clear" w:color="auto" w:fill="BDD7EE"/>
            <w:vAlign w:val="center"/>
            <w:hideMark/>
          </w:tcPr>
          <w:p w14:paraId="1E826A39"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628" w:type="dxa"/>
            <w:gridSpan w:val="3"/>
            <w:shd w:val="clear" w:color="auto" w:fill="BDD7EE"/>
            <w:vAlign w:val="center"/>
            <w:hideMark/>
          </w:tcPr>
          <w:p w14:paraId="0C31C6C8"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475" w:type="dxa"/>
            <w:gridSpan w:val="2"/>
            <w:shd w:val="clear" w:color="auto" w:fill="BDD7EE"/>
            <w:vAlign w:val="center"/>
            <w:hideMark/>
          </w:tcPr>
          <w:p w14:paraId="6CA3915D"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2693" w:type="dxa"/>
            <w:vMerge w:val="restart"/>
            <w:shd w:val="clear" w:color="auto" w:fill="BDD7EE"/>
            <w:vAlign w:val="center"/>
            <w:hideMark/>
          </w:tcPr>
          <w:p w14:paraId="5A0C8B27"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6E0EA2" w:rsidRPr="00E02B5D" w14:paraId="60AF2A2E" w14:textId="77777777" w:rsidTr="00746BE8">
        <w:trPr>
          <w:trHeight w:val="1013"/>
          <w:tblHeader/>
        </w:trPr>
        <w:tc>
          <w:tcPr>
            <w:tcW w:w="1116" w:type="dxa"/>
            <w:vMerge/>
            <w:vAlign w:val="center"/>
            <w:hideMark/>
          </w:tcPr>
          <w:p w14:paraId="65F20669"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834" w:type="dxa"/>
            <w:vMerge/>
            <w:vAlign w:val="center"/>
            <w:hideMark/>
          </w:tcPr>
          <w:p w14:paraId="10ECCE2D"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966" w:type="dxa"/>
            <w:vMerge/>
            <w:vAlign w:val="center"/>
            <w:hideMark/>
          </w:tcPr>
          <w:p w14:paraId="67AE5AA1"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972" w:type="dxa"/>
            <w:vMerge/>
            <w:vAlign w:val="center"/>
            <w:hideMark/>
          </w:tcPr>
          <w:p w14:paraId="26D7BADE"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649" w:type="dxa"/>
            <w:vMerge/>
            <w:vAlign w:val="center"/>
            <w:hideMark/>
          </w:tcPr>
          <w:p w14:paraId="3D288B19"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756" w:type="dxa"/>
            <w:shd w:val="clear" w:color="auto" w:fill="BDD7EE"/>
            <w:vAlign w:val="center"/>
            <w:hideMark/>
          </w:tcPr>
          <w:p w14:paraId="576D1D9D"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shd w:val="clear" w:color="auto" w:fill="BDD7EE"/>
            <w:vAlign w:val="center"/>
            <w:hideMark/>
          </w:tcPr>
          <w:p w14:paraId="10160095"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shd w:val="clear" w:color="auto" w:fill="BDD7EE"/>
            <w:vAlign w:val="center"/>
            <w:hideMark/>
          </w:tcPr>
          <w:p w14:paraId="372100DD"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16" w:type="dxa"/>
            <w:shd w:val="clear" w:color="auto" w:fill="BDD7EE"/>
            <w:vAlign w:val="center"/>
            <w:hideMark/>
          </w:tcPr>
          <w:p w14:paraId="082AE2A0"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659" w:type="dxa"/>
            <w:shd w:val="clear" w:color="auto" w:fill="BDD7EE"/>
            <w:vAlign w:val="center"/>
            <w:hideMark/>
          </w:tcPr>
          <w:p w14:paraId="7044BA69"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2693" w:type="dxa"/>
            <w:vMerge/>
            <w:vAlign w:val="center"/>
            <w:hideMark/>
          </w:tcPr>
          <w:p w14:paraId="17B04762" w14:textId="77777777" w:rsidR="00645BC7" w:rsidRPr="00E02B5D" w:rsidRDefault="00645BC7" w:rsidP="00D00694">
            <w:pPr>
              <w:spacing w:after="0" w:line="240" w:lineRule="auto"/>
              <w:rPr>
                <w:rFonts w:ascii="Times New Roman" w:eastAsia="Times New Roman" w:hAnsi="Times New Roman" w:cs="Times New Roman"/>
                <w:b/>
                <w:bCs/>
                <w:noProof/>
                <w:sz w:val="18"/>
                <w:szCs w:val="18"/>
                <w:lang w:val="en-GB" w:eastAsia="en-GB"/>
              </w:rPr>
            </w:pPr>
          </w:p>
        </w:tc>
      </w:tr>
      <w:tr w:rsidR="007B4D63" w:rsidRPr="00E02B5D" w14:paraId="1214F64F" w14:textId="77777777" w:rsidTr="00746BE8">
        <w:trPr>
          <w:trHeight w:val="309"/>
        </w:trPr>
        <w:tc>
          <w:tcPr>
            <w:tcW w:w="1116" w:type="dxa"/>
            <w:shd w:val="clear" w:color="auto" w:fill="C6EFCE"/>
            <w:noWrap/>
            <w:hideMark/>
          </w:tcPr>
          <w:p w14:paraId="3AF20DA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w:t>
            </w:r>
          </w:p>
        </w:tc>
        <w:tc>
          <w:tcPr>
            <w:tcW w:w="1834" w:type="dxa"/>
            <w:shd w:val="clear" w:color="auto" w:fill="C6EFCE"/>
            <w:noWrap/>
            <w:hideMark/>
          </w:tcPr>
          <w:p w14:paraId="7302FC4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16872_Elamuhoonete renoveerimine</w:t>
            </w:r>
          </w:p>
        </w:tc>
        <w:tc>
          <w:tcPr>
            <w:tcW w:w="966" w:type="dxa"/>
            <w:shd w:val="clear" w:color="auto" w:fill="C6EFCE"/>
            <w:noWrap/>
            <w:hideMark/>
          </w:tcPr>
          <w:p w14:paraId="5494777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972" w:type="dxa"/>
            <w:shd w:val="clear" w:color="auto" w:fill="C6EFCE"/>
            <w:noWrap/>
            <w:hideMark/>
          </w:tcPr>
          <w:p w14:paraId="5EB739D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Elamute renoveerimine – 1. etapi käivitamine</w:t>
            </w:r>
          </w:p>
        </w:tc>
        <w:tc>
          <w:tcPr>
            <w:tcW w:w="1649" w:type="dxa"/>
            <w:shd w:val="clear" w:color="auto" w:fill="C6EFCE"/>
            <w:noWrap/>
            <w:hideMark/>
          </w:tcPr>
          <w:p w14:paraId="3632B66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Ministrite ühisotsuse jõustumine </w:t>
            </w:r>
          </w:p>
        </w:tc>
        <w:tc>
          <w:tcPr>
            <w:tcW w:w="1756" w:type="dxa"/>
            <w:shd w:val="clear" w:color="auto" w:fill="C6EFCE"/>
            <w:noWrap/>
            <w:hideMark/>
          </w:tcPr>
          <w:p w14:paraId="528BC02B"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66" w:type="dxa"/>
            <w:shd w:val="clear" w:color="auto" w:fill="C6EFCE"/>
            <w:noWrap/>
            <w:hideMark/>
          </w:tcPr>
          <w:p w14:paraId="5658010B"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06" w:type="dxa"/>
            <w:shd w:val="clear" w:color="auto" w:fill="C6EFCE"/>
            <w:noWrap/>
            <w:hideMark/>
          </w:tcPr>
          <w:p w14:paraId="092CF185"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16" w:type="dxa"/>
            <w:shd w:val="clear" w:color="auto" w:fill="C6EFCE"/>
            <w:noWrap/>
            <w:hideMark/>
          </w:tcPr>
          <w:p w14:paraId="1C3A2BB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659" w:type="dxa"/>
            <w:shd w:val="clear" w:color="auto" w:fill="C6EFCE"/>
            <w:noWrap/>
            <w:hideMark/>
          </w:tcPr>
          <w:p w14:paraId="7EAC18B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2020</w:t>
            </w:r>
          </w:p>
        </w:tc>
        <w:tc>
          <w:tcPr>
            <w:tcW w:w="2693" w:type="dxa"/>
            <w:shd w:val="clear" w:color="auto" w:fill="C6EFCE"/>
            <w:noWrap/>
            <w:hideMark/>
          </w:tcPr>
          <w:p w14:paraId="2B3D33B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Jõustub ministrite ühisotsus, millega käivitatakse esimese renoveerimisvooru programm, sealhulgas kehtestatakse valikumenetlus, millega tagatakse, et elamute primaarenergiatarbimist vähendatakse vähemalt 30 % võrreldes hoone esialgse jõudlusega, mis on arvutatud kilovatt-tundides ruutmeetri kohta. </w:t>
            </w:r>
          </w:p>
          <w:p w14:paraId="65F6E540" w14:textId="77777777" w:rsidR="00645BC7" w:rsidRPr="00AD4052" w:rsidRDefault="00645BC7" w:rsidP="00D00694">
            <w:pPr>
              <w:spacing w:after="0" w:line="240" w:lineRule="auto"/>
              <w:rPr>
                <w:rFonts w:eastAsia="Times New Roman" w:cs="Calibri"/>
                <w:noProof/>
                <w:color w:val="006100"/>
                <w:sz w:val="18"/>
                <w:szCs w:val="18"/>
                <w:lang w:eastAsia="en-GB"/>
              </w:rPr>
            </w:pPr>
          </w:p>
          <w:p w14:paraId="4BC5B14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Ministrite ühisotsuses sätestatakse:</w:t>
            </w:r>
          </w:p>
          <w:p w14:paraId="7A2FA3C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Rakendusmehhanism;</w:t>
            </w:r>
          </w:p>
          <w:p w14:paraId="10AAC3B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Valikuprotsess seatud primaarenergia säästmise eesmärgi saavutamiseks;</w:t>
            </w:r>
          </w:p>
          <w:p w14:paraId="0223F73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Sertifitseerimismehhanism saavutatud tegeliku primaarenergia säästu kontrollimiseks (sh üksikasjad võimalike parandusmeetmete kohta, millega tagatakse primaarenergia säästmise eesmärgi täitmine); ning</w:t>
            </w:r>
          </w:p>
          <w:p w14:paraId="38CFAC6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Kronoloogia.</w:t>
            </w:r>
          </w:p>
        </w:tc>
      </w:tr>
      <w:tr w:rsidR="007B4D63" w:rsidRPr="003B132A" w14:paraId="05077BE3" w14:textId="77777777" w:rsidTr="00746BE8">
        <w:trPr>
          <w:trHeight w:val="309"/>
        </w:trPr>
        <w:tc>
          <w:tcPr>
            <w:tcW w:w="1116" w:type="dxa"/>
            <w:shd w:val="clear" w:color="auto" w:fill="C6EFCE"/>
            <w:noWrap/>
            <w:hideMark/>
          </w:tcPr>
          <w:p w14:paraId="493A02D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w:t>
            </w:r>
          </w:p>
        </w:tc>
        <w:tc>
          <w:tcPr>
            <w:tcW w:w="1834" w:type="dxa"/>
            <w:shd w:val="clear" w:color="auto" w:fill="C6EFCE"/>
            <w:noWrap/>
            <w:hideMark/>
          </w:tcPr>
          <w:p w14:paraId="518C29F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16872_Elamuhoonete renoveerimine</w:t>
            </w:r>
          </w:p>
        </w:tc>
        <w:tc>
          <w:tcPr>
            <w:tcW w:w="966" w:type="dxa"/>
            <w:shd w:val="clear" w:color="auto" w:fill="C6EFCE"/>
            <w:noWrap/>
          </w:tcPr>
          <w:p w14:paraId="09335249" w14:textId="77777777" w:rsidR="00645BC7" w:rsidRDefault="00645BC7" w:rsidP="00D00694">
            <w:pPr>
              <w:spacing w:after="0" w:line="240" w:lineRule="auto"/>
              <w:rPr>
                <w:noProof/>
                <w:color w:val="006100"/>
                <w:sz w:val="18"/>
              </w:rPr>
            </w:pPr>
            <w:r>
              <w:rPr>
                <w:noProof/>
                <w:color w:val="006100"/>
                <w:sz w:val="18"/>
              </w:rPr>
              <w:t>Eesmärk</w:t>
            </w:r>
          </w:p>
          <w:p w14:paraId="10E874AB" w14:textId="77777777" w:rsidR="00C34E4F" w:rsidRPr="00C34E4F" w:rsidRDefault="00C34E4F" w:rsidP="00C34E4F">
            <w:pPr>
              <w:rPr>
                <w:rFonts w:eastAsia="Times New Roman" w:cs="Calibri"/>
                <w:noProof/>
                <w:sz w:val="18"/>
                <w:szCs w:val="18"/>
                <w:lang w:val="en-GB"/>
              </w:rPr>
            </w:pPr>
          </w:p>
          <w:p w14:paraId="40D075CD" w14:textId="77777777" w:rsidR="00C34E4F" w:rsidRPr="00C34E4F" w:rsidRDefault="00C34E4F" w:rsidP="00C34E4F">
            <w:pPr>
              <w:rPr>
                <w:rFonts w:eastAsia="Times New Roman" w:cs="Calibri"/>
                <w:noProof/>
                <w:sz w:val="18"/>
                <w:szCs w:val="18"/>
                <w:lang w:val="en-GB"/>
              </w:rPr>
            </w:pPr>
          </w:p>
          <w:p w14:paraId="1843FD5C" w14:textId="77777777" w:rsidR="00C34E4F" w:rsidRPr="00C34E4F" w:rsidRDefault="00C34E4F" w:rsidP="00C34E4F">
            <w:pPr>
              <w:rPr>
                <w:rFonts w:eastAsia="Times New Roman" w:cs="Calibri"/>
                <w:noProof/>
                <w:sz w:val="18"/>
                <w:szCs w:val="18"/>
                <w:lang w:val="en-GB"/>
              </w:rPr>
            </w:pPr>
          </w:p>
          <w:p w14:paraId="035B7BA1" w14:textId="77777777" w:rsidR="00C34E4F" w:rsidRPr="00C34E4F" w:rsidRDefault="00C34E4F" w:rsidP="00C34E4F">
            <w:pPr>
              <w:rPr>
                <w:rFonts w:eastAsia="Times New Roman" w:cs="Calibri"/>
                <w:noProof/>
                <w:sz w:val="18"/>
                <w:szCs w:val="18"/>
                <w:lang w:val="en-GB"/>
              </w:rPr>
            </w:pPr>
          </w:p>
          <w:p w14:paraId="67A294B8" w14:textId="77777777" w:rsidR="00C34E4F" w:rsidRPr="00C34E4F" w:rsidRDefault="00C34E4F" w:rsidP="00C34E4F">
            <w:pPr>
              <w:rPr>
                <w:rFonts w:eastAsia="Times New Roman" w:cs="Calibri"/>
                <w:noProof/>
                <w:sz w:val="18"/>
                <w:szCs w:val="18"/>
                <w:lang w:val="en-GB"/>
              </w:rPr>
            </w:pPr>
          </w:p>
          <w:p w14:paraId="633050C0" w14:textId="77777777" w:rsidR="00C34E4F" w:rsidRPr="00C34E4F" w:rsidRDefault="00C34E4F" w:rsidP="00C34E4F">
            <w:pPr>
              <w:rPr>
                <w:rFonts w:eastAsia="Times New Roman" w:cs="Calibri"/>
                <w:noProof/>
                <w:sz w:val="18"/>
                <w:szCs w:val="18"/>
                <w:lang w:val="en-GB"/>
              </w:rPr>
            </w:pPr>
          </w:p>
          <w:p w14:paraId="4F96C3E5" w14:textId="77777777" w:rsidR="00C34E4F" w:rsidRPr="00C34E4F" w:rsidRDefault="00C34E4F" w:rsidP="00C34E4F">
            <w:pPr>
              <w:rPr>
                <w:rFonts w:eastAsia="Times New Roman" w:cs="Calibri"/>
                <w:noProof/>
                <w:sz w:val="18"/>
                <w:szCs w:val="18"/>
                <w:lang w:val="en-GB"/>
              </w:rPr>
            </w:pPr>
          </w:p>
        </w:tc>
        <w:tc>
          <w:tcPr>
            <w:tcW w:w="1972" w:type="dxa"/>
            <w:shd w:val="clear" w:color="auto" w:fill="C6EFCE"/>
            <w:noWrap/>
          </w:tcPr>
          <w:p w14:paraId="65E6027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Elamute renoveerimine  – 2. etapi käivitamine, sh kütteostuvõimetud kodumajapidamised</w:t>
            </w:r>
          </w:p>
        </w:tc>
        <w:tc>
          <w:tcPr>
            <w:tcW w:w="1649" w:type="dxa"/>
            <w:shd w:val="clear" w:color="auto" w:fill="C6EFCE"/>
            <w:noWrap/>
          </w:tcPr>
          <w:p w14:paraId="43F9FDC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Ministrite ühisotsuse jõustumine </w:t>
            </w:r>
          </w:p>
        </w:tc>
        <w:tc>
          <w:tcPr>
            <w:tcW w:w="1756" w:type="dxa"/>
            <w:shd w:val="clear" w:color="auto" w:fill="C6EFCE"/>
            <w:noWrap/>
          </w:tcPr>
          <w:p w14:paraId="688A887F"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66" w:type="dxa"/>
            <w:shd w:val="clear" w:color="auto" w:fill="C6EFCE"/>
            <w:noWrap/>
          </w:tcPr>
          <w:p w14:paraId="25A366FA"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06" w:type="dxa"/>
            <w:shd w:val="clear" w:color="auto" w:fill="C6EFCE"/>
            <w:noWrap/>
          </w:tcPr>
          <w:p w14:paraId="08B23B72"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16" w:type="dxa"/>
            <w:shd w:val="clear" w:color="auto" w:fill="C6EFCE"/>
            <w:noWrap/>
          </w:tcPr>
          <w:p w14:paraId="389F47D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 kv</w:t>
            </w:r>
          </w:p>
        </w:tc>
        <w:tc>
          <w:tcPr>
            <w:tcW w:w="659" w:type="dxa"/>
            <w:shd w:val="clear" w:color="auto" w:fill="C6EFCE"/>
            <w:noWrap/>
          </w:tcPr>
          <w:p w14:paraId="51943BF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2693" w:type="dxa"/>
            <w:shd w:val="clear" w:color="auto" w:fill="C6EFCE"/>
            <w:noWrap/>
          </w:tcPr>
          <w:p w14:paraId="3ECCDD9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Jõustub ministrite ühisotsus, millega käivitatakse teise renoveerimisvooru programm ja kütteostuvõimetute elamute programm, sealhulgas kehtestatakse valikumenetlus, millega tagatakse, et elamute primaarenergiatarbimist vähendatakse vähemalt 30 % võrreldes hoone esialgse jõudlusega, mis on arvutatud kilovatt-tundides ruutmeetri kohta. </w:t>
            </w:r>
          </w:p>
          <w:p w14:paraId="545E2E3E" w14:textId="77777777" w:rsidR="00645BC7" w:rsidRPr="00AD4052" w:rsidRDefault="00645BC7" w:rsidP="00D00694">
            <w:pPr>
              <w:spacing w:after="0" w:line="240" w:lineRule="auto"/>
              <w:rPr>
                <w:rFonts w:eastAsia="Times New Roman" w:cs="Calibri"/>
                <w:noProof/>
                <w:color w:val="006100"/>
                <w:sz w:val="18"/>
                <w:szCs w:val="18"/>
                <w:lang w:eastAsia="en-GB"/>
              </w:rPr>
            </w:pPr>
          </w:p>
          <w:p w14:paraId="3C20DD6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Ministrite ühisotsuses sätestatakse:</w:t>
            </w:r>
          </w:p>
          <w:p w14:paraId="53DBCE2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Rakendusmehhanism;</w:t>
            </w:r>
          </w:p>
          <w:p w14:paraId="32809E6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Valikuprotsess seatud primaarenergia säästmise eesmärgi saavutamiseks;</w:t>
            </w:r>
          </w:p>
          <w:p w14:paraId="0B49FFB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Sätted kütteostuvõimetute elamute kohta vastavalt kriteeriumidele, mis on sätestatud vastuvõetud kütteostuvõimetuse tegevuskava sertifitseerimismehhanismis, et kontrollida tegelikku primaarenergia säästmist (sh üksikasjad võimalike parandusmeetmete kohta, millega tagatakse primaarenergia säästmise eesmärgi täitmine); ning</w:t>
            </w:r>
          </w:p>
          <w:p w14:paraId="30E47DC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Kronoloogia.</w:t>
            </w:r>
          </w:p>
          <w:p w14:paraId="48B92044" w14:textId="77777777" w:rsidR="00645BC7" w:rsidRPr="00AD4052" w:rsidRDefault="00645BC7" w:rsidP="00D00694">
            <w:pPr>
              <w:spacing w:after="0" w:line="240" w:lineRule="auto"/>
              <w:rPr>
                <w:rFonts w:eastAsia="Times New Roman" w:cs="Calibri"/>
                <w:noProof/>
                <w:color w:val="006100"/>
                <w:sz w:val="18"/>
                <w:szCs w:val="18"/>
                <w:lang w:eastAsia="en-GB"/>
              </w:rPr>
            </w:pPr>
          </w:p>
          <w:p w14:paraId="0117B1A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Erisäte energiaostuvõimetutele eluruumidele suunatud sihtotstarbeliste vahendite kohta, mis on määratletud energiaostuvõimetuse tegevuskava kriteeriumidega. </w:t>
            </w:r>
          </w:p>
        </w:tc>
      </w:tr>
      <w:tr w:rsidR="007B4D63" w:rsidRPr="003B132A" w14:paraId="180A7629" w14:textId="77777777" w:rsidTr="00746BE8">
        <w:trPr>
          <w:trHeight w:val="309"/>
        </w:trPr>
        <w:tc>
          <w:tcPr>
            <w:tcW w:w="1116" w:type="dxa"/>
            <w:shd w:val="clear" w:color="auto" w:fill="C6EFCE"/>
            <w:noWrap/>
            <w:hideMark/>
          </w:tcPr>
          <w:p w14:paraId="0B285EA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22</w:t>
            </w:r>
          </w:p>
        </w:tc>
        <w:tc>
          <w:tcPr>
            <w:tcW w:w="1834" w:type="dxa"/>
            <w:shd w:val="clear" w:color="auto" w:fill="C6EFCE"/>
            <w:noWrap/>
            <w:hideMark/>
          </w:tcPr>
          <w:p w14:paraId="26C2F71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16872_Elamuhoonete renoveerimine</w:t>
            </w:r>
          </w:p>
        </w:tc>
        <w:tc>
          <w:tcPr>
            <w:tcW w:w="966" w:type="dxa"/>
            <w:shd w:val="clear" w:color="auto" w:fill="C6EFCE"/>
            <w:noWrap/>
            <w:hideMark/>
          </w:tcPr>
          <w:p w14:paraId="208D716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972" w:type="dxa"/>
            <w:shd w:val="clear" w:color="auto" w:fill="C6EFCE"/>
            <w:noWrap/>
            <w:hideMark/>
          </w:tcPr>
          <w:p w14:paraId="6D44056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Elamute renoveerimine  – 3. etapi käivitamine, sh kütteostuvõimetud kodumajapidamised</w:t>
            </w:r>
          </w:p>
        </w:tc>
        <w:tc>
          <w:tcPr>
            <w:tcW w:w="1649" w:type="dxa"/>
            <w:shd w:val="clear" w:color="auto" w:fill="C6EFCE"/>
            <w:noWrap/>
            <w:hideMark/>
          </w:tcPr>
          <w:p w14:paraId="65905F3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Ministrite ühisotsuse jõustumine</w:t>
            </w:r>
          </w:p>
        </w:tc>
        <w:tc>
          <w:tcPr>
            <w:tcW w:w="1756" w:type="dxa"/>
            <w:shd w:val="clear" w:color="auto" w:fill="C6EFCE"/>
            <w:noWrap/>
            <w:hideMark/>
          </w:tcPr>
          <w:p w14:paraId="6EA0B0BE"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66" w:type="dxa"/>
            <w:shd w:val="clear" w:color="auto" w:fill="C6EFCE"/>
            <w:noWrap/>
            <w:hideMark/>
          </w:tcPr>
          <w:p w14:paraId="25A94FFA"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06" w:type="dxa"/>
            <w:shd w:val="clear" w:color="auto" w:fill="C6EFCE"/>
            <w:noWrap/>
            <w:hideMark/>
          </w:tcPr>
          <w:p w14:paraId="6B6DF379"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16" w:type="dxa"/>
            <w:shd w:val="clear" w:color="auto" w:fill="C6EFCE"/>
            <w:noWrap/>
            <w:hideMark/>
          </w:tcPr>
          <w:p w14:paraId="742257F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659" w:type="dxa"/>
            <w:shd w:val="clear" w:color="auto" w:fill="C6EFCE"/>
            <w:noWrap/>
            <w:hideMark/>
          </w:tcPr>
          <w:p w14:paraId="6496D95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2693" w:type="dxa"/>
            <w:shd w:val="clear" w:color="auto" w:fill="C6EFCE"/>
            <w:noWrap/>
            <w:hideMark/>
          </w:tcPr>
          <w:p w14:paraId="0A1C69E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Jõustub ministrite ühisotsus, millega käivitatakse kolmanda renoveerimisvooru programm, sealhulgas kehtestatakse valikumenetlus, millega tagatakse, et eluruumide primaarenergiatarbimist vähendatakse vähemalt 30 % võrreldes eluruumide algse jõudlusega, mis on arvutatud kWh/m².</w:t>
            </w:r>
          </w:p>
          <w:p w14:paraId="7F18469E" w14:textId="77777777" w:rsidR="00645BC7" w:rsidRPr="00AD4052" w:rsidRDefault="00645BC7" w:rsidP="00D00694">
            <w:pPr>
              <w:spacing w:after="0" w:line="240" w:lineRule="auto"/>
              <w:rPr>
                <w:rFonts w:eastAsia="Times New Roman" w:cs="Calibri"/>
                <w:noProof/>
                <w:color w:val="006100"/>
                <w:sz w:val="18"/>
                <w:szCs w:val="18"/>
                <w:lang w:eastAsia="en-GB"/>
              </w:rPr>
            </w:pPr>
          </w:p>
          <w:p w14:paraId="615A0AF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Ministrite ühisotsuses sätestatakse:</w:t>
            </w:r>
          </w:p>
          <w:p w14:paraId="5663916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Rakendusmehhanism;</w:t>
            </w:r>
          </w:p>
          <w:p w14:paraId="44CDF6E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 Valikuprotsess seatud primaarenergia säästmise eesmärgi saavutamiseks; </w:t>
            </w:r>
          </w:p>
          <w:p w14:paraId="2C86F27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Energiavaeseid eluruume käsitlevad sätted vastavalt vastuvõetud energiaostuvõimetuse tegevuskavas sätestatud kriteeriumidele;</w:t>
            </w:r>
          </w:p>
          <w:p w14:paraId="501159B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Sertifitseerimismehhanism saavutatud tegeliku primaarenergia säästu kontrollimiseks (sh üksikasjad võimalike parandusmeetmete kohta, millega tagatakse primaarenergia säästmise eesmärgi täitmine); ning</w:t>
            </w:r>
          </w:p>
          <w:p w14:paraId="44AB6CB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Kronoloogia.</w:t>
            </w:r>
          </w:p>
          <w:p w14:paraId="7F767AE6" w14:textId="77777777" w:rsidR="00645BC7" w:rsidRPr="00AD4052" w:rsidRDefault="00645BC7" w:rsidP="00D00694">
            <w:pPr>
              <w:spacing w:after="0" w:line="240" w:lineRule="auto"/>
              <w:rPr>
                <w:rFonts w:eastAsia="Times New Roman" w:cs="Calibri"/>
                <w:noProof/>
                <w:color w:val="006100"/>
                <w:sz w:val="18"/>
                <w:szCs w:val="18"/>
                <w:lang w:eastAsia="en-GB"/>
              </w:rPr>
            </w:pPr>
          </w:p>
          <w:p w14:paraId="7F55C24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Erisäte energiaostuvõimetutele eluruumidele suunatud sihtotstarbeliste vahendite kohta, mis on määratletud energiaostuvõimetuse tegevuskava kriteeriumidega.</w:t>
            </w:r>
          </w:p>
        </w:tc>
      </w:tr>
      <w:tr w:rsidR="007B4D63" w:rsidRPr="003B132A" w14:paraId="6FCCD7EE" w14:textId="77777777" w:rsidTr="00746BE8">
        <w:trPr>
          <w:trHeight w:val="309"/>
        </w:trPr>
        <w:tc>
          <w:tcPr>
            <w:tcW w:w="1116" w:type="dxa"/>
            <w:shd w:val="clear" w:color="auto" w:fill="C6EFCE"/>
            <w:noWrap/>
            <w:hideMark/>
          </w:tcPr>
          <w:p w14:paraId="6463B31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23</w:t>
            </w:r>
          </w:p>
        </w:tc>
        <w:tc>
          <w:tcPr>
            <w:tcW w:w="1834" w:type="dxa"/>
            <w:shd w:val="clear" w:color="auto" w:fill="C6EFCE"/>
            <w:noWrap/>
            <w:hideMark/>
          </w:tcPr>
          <w:p w14:paraId="5FD9B1D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16872_Elamuhoonete renoveerimine</w:t>
            </w:r>
          </w:p>
        </w:tc>
        <w:tc>
          <w:tcPr>
            <w:tcW w:w="966" w:type="dxa"/>
            <w:shd w:val="clear" w:color="auto" w:fill="C6EFCE"/>
            <w:noWrap/>
            <w:hideMark/>
          </w:tcPr>
          <w:p w14:paraId="3D89AD4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Siht</w:t>
            </w:r>
          </w:p>
        </w:tc>
        <w:tc>
          <w:tcPr>
            <w:tcW w:w="1972" w:type="dxa"/>
            <w:shd w:val="clear" w:color="auto" w:fill="C6EFCE"/>
            <w:noWrap/>
          </w:tcPr>
          <w:p w14:paraId="65C93A8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Elamute renoveerimine – elamute renoveerimine #1</w:t>
            </w:r>
          </w:p>
        </w:tc>
        <w:tc>
          <w:tcPr>
            <w:tcW w:w="1649" w:type="dxa"/>
            <w:shd w:val="clear" w:color="auto" w:fill="C6EFCE"/>
            <w:noWrap/>
          </w:tcPr>
          <w:p w14:paraId="73D76705"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1756" w:type="dxa"/>
            <w:shd w:val="clear" w:color="auto" w:fill="C6EFCE"/>
            <w:noWrap/>
            <w:hideMark/>
          </w:tcPr>
          <w:p w14:paraId="29980F1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Sertifitseeritud renoveerimiste arv </w:t>
            </w:r>
          </w:p>
        </w:tc>
        <w:tc>
          <w:tcPr>
            <w:tcW w:w="966" w:type="dxa"/>
            <w:shd w:val="clear" w:color="auto" w:fill="C6EFCE"/>
            <w:noWrap/>
            <w:hideMark/>
          </w:tcPr>
          <w:p w14:paraId="498700E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0</w:t>
            </w:r>
          </w:p>
        </w:tc>
        <w:tc>
          <w:tcPr>
            <w:tcW w:w="906" w:type="dxa"/>
            <w:shd w:val="clear" w:color="auto" w:fill="C6EFCE"/>
            <w:noWrap/>
            <w:hideMark/>
          </w:tcPr>
          <w:p w14:paraId="5B397B53" w14:textId="45495AF7" w:rsidR="00645BC7" w:rsidRPr="00E02B5D" w:rsidRDefault="00645BC7" w:rsidP="00D00694">
            <w:pPr>
              <w:spacing w:after="0" w:line="240" w:lineRule="auto"/>
              <w:rPr>
                <w:rFonts w:eastAsia="Times New Roman" w:cs="Calibri"/>
                <w:noProof/>
                <w:color w:val="006100"/>
                <w:sz w:val="18"/>
                <w:szCs w:val="18"/>
              </w:rPr>
            </w:pPr>
            <w:r>
              <w:rPr>
                <w:noProof/>
                <w:color w:val="006100"/>
                <w:sz w:val="18"/>
              </w:rPr>
              <w:t>8 000</w:t>
            </w:r>
          </w:p>
        </w:tc>
        <w:tc>
          <w:tcPr>
            <w:tcW w:w="816" w:type="dxa"/>
            <w:shd w:val="clear" w:color="auto" w:fill="C6EFCE"/>
            <w:noWrap/>
            <w:hideMark/>
          </w:tcPr>
          <w:p w14:paraId="473CF2D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659" w:type="dxa"/>
            <w:shd w:val="clear" w:color="auto" w:fill="C6EFCE"/>
            <w:noWrap/>
            <w:hideMark/>
          </w:tcPr>
          <w:p w14:paraId="083D448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2693" w:type="dxa"/>
            <w:shd w:val="clear" w:color="auto" w:fill="C6EFCE"/>
            <w:noWrap/>
            <w:hideMark/>
          </w:tcPr>
          <w:p w14:paraId="317BA745" w14:textId="48D56F9F" w:rsidR="00645BC7" w:rsidRPr="008D5AF3" w:rsidRDefault="38C6ED78" w:rsidP="00EE0DE3">
            <w:pPr>
              <w:spacing w:after="0" w:line="240" w:lineRule="auto"/>
              <w:rPr>
                <w:noProof/>
                <w:color w:val="006100"/>
                <w:sz w:val="18"/>
                <w:szCs w:val="18"/>
              </w:rPr>
            </w:pPr>
            <w:r>
              <w:rPr>
                <w:noProof/>
                <w:color w:val="006100"/>
                <w:sz w:val="18"/>
              </w:rPr>
              <w:t xml:space="preserve">Renoveerimine energiatõhususe parandamiseks elamute arvu puhul, mis vastab energiavähendamisele 16 ktoe aastas ja mille primaarenergia sääst on esitatud energiamärgiste alusel keskmiselt vähemalt 30 %. Korraldusasutuse väljastatud lõpetamisotsus tõendab sekkumiste lõpuleviimist. </w:t>
            </w:r>
          </w:p>
        </w:tc>
      </w:tr>
      <w:tr w:rsidR="00C40FC5" w:rsidRPr="003B132A" w14:paraId="23406C5C" w14:textId="77777777" w:rsidTr="00746BE8">
        <w:trPr>
          <w:trHeight w:val="309"/>
        </w:trPr>
        <w:tc>
          <w:tcPr>
            <w:tcW w:w="1116" w:type="dxa"/>
            <w:shd w:val="clear" w:color="auto" w:fill="C6EFCE"/>
            <w:noWrap/>
            <w:hideMark/>
          </w:tcPr>
          <w:p w14:paraId="2084CBCF"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24</w:t>
            </w:r>
          </w:p>
        </w:tc>
        <w:tc>
          <w:tcPr>
            <w:tcW w:w="1834" w:type="dxa"/>
            <w:shd w:val="clear" w:color="auto" w:fill="C6EFCE"/>
            <w:noWrap/>
            <w:hideMark/>
          </w:tcPr>
          <w:p w14:paraId="218B91E7"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2-1.2. Renoveerimine – 16872_Elamuhoonete renoveerimine</w:t>
            </w:r>
          </w:p>
        </w:tc>
        <w:tc>
          <w:tcPr>
            <w:tcW w:w="966" w:type="dxa"/>
            <w:shd w:val="clear" w:color="auto" w:fill="C6EFCE"/>
            <w:noWrap/>
            <w:hideMark/>
          </w:tcPr>
          <w:p w14:paraId="02690C42"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Siht</w:t>
            </w:r>
          </w:p>
        </w:tc>
        <w:tc>
          <w:tcPr>
            <w:tcW w:w="1972" w:type="dxa"/>
            <w:shd w:val="clear" w:color="auto" w:fill="C6EFCE"/>
            <w:noWrap/>
            <w:hideMark/>
          </w:tcPr>
          <w:p w14:paraId="13080271"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Elamute renoveerimine – elamute renoveerimine #2</w:t>
            </w:r>
          </w:p>
        </w:tc>
        <w:tc>
          <w:tcPr>
            <w:tcW w:w="1649" w:type="dxa"/>
            <w:shd w:val="clear" w:color="auto" w:fill="C6EFCE"/>
            <w:noWrap/>
            <w:hideMark/>
          </w:tcPr>
          <w:p w14:paraId="355260F3" w14:textId="77777777" w:rsidR="00C40FC5" w:rsidRPr="00E02B5D" w:rsidRDefault="00C40FC5" w:rsidP="00C40FC5">
            <w:pPr>
              <w:spacing w:after="0" w:line="240" w:lineRule="auto"/>
              <w:rPr>
                <w:rFonts w:eastAsia="Times New Roman" w:cs="Calibri"/>
                <w:noProof/>
                <w:color w:val="006100"/>
                <w:sz w:val="18"/>
                <w:szCs w:val="18"/>
                <w:lang w:val="en-GB" w:eastAsia="en-GB"/>
              </w:rPr>
            </w:pPr>
          </w:p>
        </w:tc>
        <w:tc>
          <w:tcPr>
            <w:tcW w:w="1756" w:type="dxa"/>
            <w:shd w:val="clear" w:color="auto" w:fill="C6EFCE"/>
            <w:noWrap/>
            <w:hideMark/>
          </w:tcPr>
          <w:p w14:paraId="345E2817"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 xml:space="preserve">Sertifitseeritud renoveerimiste arv </w:t>
            </w:r>
          </w:p>
          <w:p w14:paraId="1B34BDB8" w14:textId="77777777" w:rsidR="00C40FC5" w:rsidRPr="00E02B5D" w:rsidRDefault="00C40FC5" w:rsidP="00C40FC5">
            <w:pPr>
              <w:spacing w:after="0" w:line="240" w:lineRule="auto"/>
              <w:rPr>
                <w:rFonts w:eastAsia="Times New Roman" w:cs="Calibri"/>
                <w:noProof/>
                <w:color w:val="006100"/>
                <w:sz w:val="18"/>
                <w:szCs w:val="18"/>
                <w:lang w:val="en-GB" w:eastAsia="en-GB"/>
              </w:rPr>
            </w:pPr>
          </w:p>
        </w:tc>
        <w:tc>
          <w:tcPr>
            <w:tcW w:w="966" w:type="dxa"/>
            <w:shd w:val="clear" w:color="auto" w:fill="C6EFCE"/>
            <w:noWrap/>
            <w:hideMark/>
          </w:tcPr>
          <w:p w14:paraId="515EFAA2" w14:textId="2D4C02BE" w:rsidR="00C40FC5" w:rsidRPr="00E02B5D" w:rsidRDefault="00C40FC5" w:rsidP="00C40FC5">
            <w:pPr>
              <w:spacing w:after="0" w:line="240" w:lineRule="auto"/>
              <w:rPr>
                <w:rFonts w:eastAsia="Times New Roman" w:cs="Calibri"/>
                <w:noProof/>
                <w:color w:val="006100"/>
                <w:sz w:val="18"/>
                <w:szCs w:val="18"/>
              </w:rPr>
            </w:pPr>
            <w:r>
              <w:rPr>
                <w:noProof/>
                <w:color w:val="006100"/>
                <w:sz w:val="18"/>
              </w:rPr>
              <w:t>8 000</w:t>
            </w:r>
          </w:p>
        </w:tc>
        <w:tc>
          <w:tcPr>
            <w:tcW w:w="906" w:type="dxa"/>
            <w:shd w:val="clear" w:color="auto" w:fill="C6EFCE"/>
            <w:noWrap/>
            <w:hideMark/>
          </w:tcPr>
          <w:p w14:paraId="43C1FAEF" w14:textId="15D5B433" w:rsidR="00C40FC5" w:rsidRPr="00E02B5D" w:rsidRDefault="00C40FC5" w:rsidP="00C40FC5">
            <w:pPr>
              <w:spacing w:after="0" w:line="240" w:lineRule="auto"/>
              <w:rPr>
                <w:rFonts w:eastAsia="Times New Roman" w:cs="Calibri"/>
                <w:noProof/>
                <w:color w:val="006100"/>
                <w:sz w:val="18"/>
                <w:szCs w:val="18"/>
              </w:rPr>
            </w:pPr>
            <w:r>
              <w:rPr>
                <w:noProof/>
                <w:color w:val="006100"/>
                <w:sz w:val="18"/>
              </w:rPr>
              <w:t xml:space="preserve">50 000 </w:t>
            </w:r>
          </w:p>
          <w:p w14:paraId="03C473C0" w14:textId="77777777" w:rsidR="00C40FC5" w:rsidRPr="00E02B5D" w:rsidRDefault="00C40FC5" w:rsidP="00C40FC5">
            <w:pPr>
              <w:spacing w:after="0" w:line="240" w:lineRule="auto"/>
              <w:rPr>
                <w:rFonts w:eastAsia="Times New Roman" w:cs="Calibri"/>
                <w:noProof/>
                <w:color w:val="006100"/>
                <w:sz w:val="18"/>
                <w:szCs w:val="18"/>
                <w:lang w:val="en-GB" w:eastAsia="en-GB"/>
              </w:rPr>
            </w:pPr>
          </w:p>
        </w:tc>
        <w:tc>
          <w:tcPr>
            <w:tcW w:w="816" w:type="dxa"/>
            <w:shd w:val="clear" w:color="auto" w:fill="C6EFCE"/>
            <w:noWrap/>
            <w:hideMark/>
          </w:tcPr>
          <w:p w14:paraId="229946D2"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4. kv</w:t>
            </w:r>
          </w:p>
        </w:tc>
        <w:tc>
          <w:tcPr>
            <w:tcW w:w="659" w:type="dxa"/>
            <w:shd w:val="clear" w:color="auto" w:fill="C6EFCE"/>
            <w:noWrap/>
            <w:hideMark/>
          </w:tcPr>
          <w:p w14:paraId="6D3EB75C"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2024</w:t>
            </w:r>
          </w:p>
        </w:tc>
        <w:tc>
          <w:tcPr>
            <w:tcW w:w="2693" w:type="dxa"/>
            <w:shd w:val="clear" w:color="auto" w:fill="C6EFCE"/>
            <w:noWrap/>
            <w:hideMark/>
          </w:tcPr>
          <w:p w14:paraId="63D5FC64" w14:textId="4705D1A6" w:rsidR="00C40FC5" w:rsidRPr="006E0EA2" w:rsidRDefault="00715589" w:rsidP="00C40FC5">
            <w:pPr>
              <w:spacing w:after="0" w:line="240" w:lineRule="auto"/>
              <w:rPr>
                <w:noProof/>
                <w:color w:val="0000FF"/>
                <w:sz w:val="18"/>
                <w:szCs w:val="18"/>
                <w:u w:val="single"/>
              </w:rPr>
            </w:pPr>
            <w:r>
              <w:rPr>
                <w:noProof/>
                <w:color w:val="006100"/>
                <w:sz w:val="18"/>
              </w:rPr>
              <w:t xml:space="preserve">Selliste renoveerimistööde lõpuleviimine, mille eesmärk on parandada energiatõhusust 50 000 elamu puhul, mis vastab energia vähenemisele 101 ktoe aastas ja mille primaarenergia sääst on esitatud energiamärgiste alusel keskmiselt vähemalt 30 %. Korraldusasutuse väljastatud lõpetamisotsus tõendab sekkumiste lõpuleviimist. </w:t>
            </w:r>
          </w:p>
        </w:tc>
      </w:tr>
      <w:tr w:rsidR="00C40FC5" w:rsidRPr="00E02B5D" w14:paraId="7B68DAA3" w14:textId="77777777" w:rsidTr="00746BE8">
        <w:trPr>
          <w:trHeight w:val="309"/>
        </w:trPr>
        <w:tc>
          <w:tcPr>
            <w:tcW w:w="1116" w:type="dxa"/>
            <w:shd w:val="clear" w:color="auto" w:fill="C6EFCE"/>
            <w:noWrap/>
          </w:tcPr>
          <w:p w14:paraId="7989CBB4"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25</w:t>
            </w:r>
          </w:p>
        </w:tc>
        <w:tc>
          <w:tcPr>
            <w:tcW w:w="1834" w:type="dxa"/>
            <w:shd w:val="clear" w:color="auto" w:fill="C6EFCE"/>
            <w:noWrap/>
          </w:tcPr>
          <w:p w14:paraId="3658A0C4"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2-1.2. Renoveerimine – 16872_Elamuhoonete renoveerimine</w:t>
            </w:r>
          </w:p>
        </w:tc>
        <w:tc>
          <w:tcPr>
            <w:tcW w:w="966" w:type="dxa"/>
            <w:shd w:val="clear" w:color="auto" w:fill="C6EFCE"/>
            <w:noWrap/>
          </w:tcPr>
          <w:p w14:paraId="011C5A18"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Siht</w:t>
            </w:r>
          </w:p>
        </w:tc>
        <w:tc>
          <w:tcPr>
            <w:tcW w:w="1972" w:type="dxa"/>
            <w:shd w:val="clear" w:color="auto" w:fill="C6EFCE"/>
            <w:noWrap/>
          </w:tcPr>
          <w:p w14:paraId="37B90ADC"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Elamute renoveerimine – energiaostuvõimetutele leibkondadele toodetud roheline energia</w:t>
            </w:r>
          </w:p>
        </w:tc>
        <w:tc>
          <w:tcPr>
            <w:tcW w:w="1649" w:type="dxa"/>
            <w:shd w:val="clear" w:color="auto" w:fill="C6EFCE"/>
            <w:noWrap/>
          </w:tcPr>
          <w:p w14:paraId="50E25FFB" w14:textId="77777777" w:rsidR="00C40FC5" w:rsidRPr="00E02B5D" w:rsidRDefault="00C40FC5" w:rsidP="00C40FC5">
            <w:pPr>
              <w:spacing w:after="0" w:line="240" w:lineRule="auto"/>
              <w:rPr>
                <w:rFonts w:eastAsia="Times New Roman" w:cs="Calibri"/>
                <w:noProof/>
                <w:color w:val="006100"/>
                <w:sz w:val="18"/>
                <w:szCs w:val="18"/>
                <w:lang w:val="en-GB" w:eastAsia="en-GB"/>
              </w:rPr>
            </w:pPr>
          </w:p>
        </w:tc>
        <w:tc>
          <w:tcPr>
            <w:tcW w:w="1756" w:type="dxa"/>
            <w:shd w:val="clear" w:color="auto" w:fill="C6EFCE"/>
            <w:noWrap/>
          </w:tcPr>
          <w:p w14:paraId="1788FF1F"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 xml:space="preserve">Energiakogukondade poolt kasutusele võetud taastuvate energiaallikate uus võimsus (MW) </w:t>
            </w:r>
          </w:p>
        </w:tc>
        <w:tc>
          <w:tcPr>
            <w:tcW w:w="966" w:type="dxa"/>
            <w:shd w:val="clear" w:color="auto" w:fill="C6EFCE"/>
            <w:noWrap/>
          </w:tcPr>
          <w:p w14:paraId="7DB0010E"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0</w:t>
            </w:r>
          </w:p>
        </w:tc>
        <w:tc>
          <w:tcPr>
            <w:tcW w:w="906" w:type="dxa"/>
            <w:shd w:val="clear" w:color="auto" w:fill="C6EFCE"/>
            <w:noWrap/>
          </w:tcPr>
          <w:p w14:paraId="64256A26"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150</w:t>
            </w:r>
          </w:p>
          <w:p w14:paraId="0A661B95" w14:textId="77777777" w:rsidR="00C40FC5" w:rsidRPr="00E02B5D" w:rsidRDefault="00C40FC5" w:rsidP="00C40FC5">
            <w:pPr>
              <w:spacing w:after="0" w:line="240" w:lineRule="auto"/>
              <w:rPr>
                <w:rFonts w:eastAsia="Times New Roman" w:cs="Calibri"/>
                <w:noProof/>
                <w:color w:val="006100"/>
                <w:sz w:val="18"/>
                <w:szCs w:val="18"/>
                <w:lang w:val="en-GB" w:eastAsia="en-GB"/>
              </w:rPr>
            </w:pPr>
          </w:p>
        </w:tc>
        <w:tc>
          <w:tcPr>
            <w:tcW w:w="816" w:type="dxa"/>
            <w:shd w:val="clear" w:color="auto" w:fill="C6EFCE"/>
            <w:noWrap/>
          </w:tcPr>
          <w:p w14:paraId="0A3CEC90"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4. kv</w:t>
            </w:r>
          </w:p>
        </w:tc>
        <w:tc>
          <w:tcPr>
            <w:tcW w:w="659" w:type="dxa"/>
            <w:shd w:val="clear" w:color="auto" w:fill="C6EFCE"/>
            <w:noWrap/>
          </w:tcPr>
          <w:p w14:paraId="5E4C0416" w14:textId="77777777" w:rsidR="00C40FC5" w:rsidRPr="00E02B5D" w:rsidRDefault="00C40FC5" w:rsidP="00C40FC5">
            <w:pPr>
              <w:spacing w:after="0" w:line="240" w:lineRule="auto"/>
              <w:rPr>
                <w:rFonts w:eastAsia="Times New Roman" w:cs="Calibri"/>
                <w:noProof/>
                <w:color w:val="006100"/>
                <w:sz w:val="18"/>
                <w:szCs w:val="18"/>
              </w:rPr>
            </w:pPr>
            <w:r>
              <w:rPr>
                <w:noProof/>
                <w:color w:val="006100"/>
                <w:sz w:val="18"/>
              </w:rPr>
              <w:t>2025</w:t>
            </w:r>
          </w:p>
        </w:tc>
        <w:tc>
          <w:tcPr>
            <w:tcW w:w="2693" w:type="dxa"/>
            <w:shd w:val="clear" w:color="auto" w:fill="C6EFCE"/>
            <w:noWrap/>
          </w:tcPr>
          <w:p w14:paraId="2545AD8A" w14:textId="0D9D5B00" w:rsidR="00C40FC5" w:rsidRPr="00E02B5D" w:rsidRDefault="00C40FC5" w:rsidP="00C40FC5">
            <w:pPr>
              <w:spacing w:after="0" w:line="240" w:lineRule="auto"/>
              <w:rPr>
                <w:rFonts w:eastAsia="Times New Roman" w:cs="Calibri"/>
                <w:noProof/>
                <w:color w:val="006100"/>
                <w:sz w:val="18"/>
                <w:szCs w:val="18"/>
              </w:rPr>
            </w:pPr>
            <w:r>
              <w:rPr>
                <w:noProof/>
                <w:color w:val="006100"/>
                <w:sz w:val="18"/>
              </w:rPr>
              <w:t>Paigaldatakse ja võetakse kasutusele 150 MW uusi taastuvate energiaallikate võimsusi, mis on seotud omavalitsuste käitatavate energiakogukondadega, varustades elektriga 30 000 energiaostuvõimetut majapidamist.</w:t>
            </w:r>
          </w:p>
          <w:p w14:paraId="7D1F5009" w14:textId="4E9606EA" w:rsidR="00C40FC5" w:rsidRPr="00AD4052" w:rsidRDefault="00C40FC5" w:rsidP="00C40FC5">
            <w:pPr>
              <w:spacing w:after="0" w:line="240" w:lineRule="auto"/>
              <w:rPr>
                <w:rFonts w:eastAsia="Times New Roman" w:cs="Calibri"/>
                <w:noProof/>
                <w:color w:val="006100"/>
                <w:sz w:val="18"/>
                <w:szCs w:val="18"/>
              </w:rPr>
            </w:pPr>
          </w:p>
          <w:p w14:paraId="354E5F5C" w14:textId="77777777" w:rsidR="00C40FC5" w:rsidRPr="00AD4052" w:rsidRDefault="00C40FC5" w:rsidP="00C40FC5">
            <w:pPr>
              <w:spacing w:after="0" w:line="240" w:lineRule="auto"/>
              <w:rPr>
                <w:rFonts w:eastAsia="Times New Roman" w:cs="Calibri"/>
                <w:noProof/>
                <w:color w:val="006100"/>
                <w:sz w:val="18"/>
                <w:szCs w:val="18"/>
                <w:lang w:eastAsia="en-GB"/>
              </w:rPr>
            </w:pPr>
          </w:p>
          <w:p w14:paraId="1AAD0A17" w14:textId="77777777" w:rsidR="00C40FC5" w:rsidRPr="00AD4052" w:rsidRDefault="00C40FC5" w:rsidP="00C40FC5">
            <w:pPr>
              <w:spacing w:after="0" w:line="240" w:lineRule="auto"/>
              <w:rPr>
                <w:rFonts w:eastAsia="Times New Roman" w:cs="Calibri"/>
                <w:noProof/>
                <w:color w:val="006100"/>
                <w:sz w:val="18"/>
                <w:szCs w:val="18"/>
                <w:lang w:eastAsia="en-GB"/>
              </w:rPr>
            </w:pPr>
          </w:p>
        </w:tc>
      </w:tr>
      <w:tr w:rsidR="007A21E5" w:rsidRPr="003B132A" w14:paraId="25ECC123" w14:textId="77777777" w:rsidTr="00746BE8">
        <w:trPr>
          <w:trHeight w:val="3914"/>
        </w:trPr>
        <w:tc>
          <w:tcPr>
            <w:tcW w:w="1116" w:type="dxa"/>
            <w:shd w:val="clear" w:color="auto" w:fill="C6EFCE"/>
            <w:noWrap/>
          </w:tcPr>
          <w:p w14:paraId="00988798" w14:textId="77777777" w:rsidR="007A21E5" w:rsidRPr="00E02B5D" w:rsidRDefault="007A21E5" w:rsidP="007A21E5">
            <w:pPr>
              <w:spacing w:after="0" w:line="240" w:lineRule="auto"/>
              <w:rPr>
                <w:rFonts w:eastAsia="Times New Roman" w:cs="Calibri"/>
                <w:noProof/>
                <w:color w:val="006100"/>
                <w:sz w:val="18"/>
                <w:szCs w:val="18"/>
              </w:rPr>
            </w:pPr>
            <w:r>
              <w:rPr>
                <w:noProof/>
                <w:color w:val="006100"/>
                <w:sz w:val="18"/>
              </w:rPr>
              <w:t>26</w:t>
            </w:r>
          </w:p>
        </w:tc>
        <w:tc>
          <w:tcPr>
            <w:tcW w:w="1834" w:type="dxa"/>
            <w:shd w:val="clear" w:color="auto" w:fill="C6EFCE"/>
            <w:noWrap/>
          </w:tcPr>
          <w:p w14:paraId="769686BE" w14:textId="77777777" w:rsidR="007A21E5" w:rsidRPr="00E02B5D" w:rsidRDefault="007A21E5" w:rsidP="007A21E5">
            <w:pPr>
              <w:spacing w:after="0" w:line="240" w:lineRule="auto"/>
              <w:rPr>
                <w:rFonts w:eastAsia="Times New Roman" w:cs="Calibri"/>
                <w:noProof/>
                <w:color w:val="006100"/>
                <w:sz w:val="18"/>
                <w:szCs w:val="18"/>
              </w:rPr>
            </w:pPr>
            <w:r>
              <w:rPr>
                <w:noProof/>
                <w:color w:val="006100"/>
                <w:sz w:val="18"/>
              </w:rPr>
              <w:t>2-1.2. Renoveerimine – 16872_Elamuhoonete renoveerimine</w:t>
            </w:r>
          </w:p>
        </w:tc>
        <w:tc>
          <w:tcPr>
            <w:tcW w:w="966" w:type="dxa"/>
            <w:shd w:val="clear" w:color="auto" w:fill="C6EFCE"/>
            <w:noWrap/>
          </w:tcPr>
          <w:p w14:paraId="07BC0D88" w14:textId="77777777" w:rsidR="007A21E5" w:rsidRPr="00E02B5D" w:rsidRDefault="007A21E5" w:rsidP="007A21E5">
            <w:pPr>
              <w:spacing w:after="0" w:line="240" w:lineRule="auto"/>
              <w:rPr>
                <w:rFonts w:eastAsia="Times New Roman" w:cs="Calibri"/>
                <w:noProof/>
                <w:color w:val="006100"/>
                <w:sz w:val="18"/>
                <w:szCs w:val="18"/>
              </w:rPr>
            </w:pPr>
            <w:r>
              <w:rPr>
                <w:noProof/>
                <w:color w:val="006100"/>
                <w:sz w:val="18"/>
              </w:rPr>
              <w:t>Siht</w:t>
            </w:r>
          </w:p>
        </w:tc>
        <w:tc>
          <w:tcPr>
            <w:tcW w:w="1972" w:type="dxa"/>
            <w:shd w:val="clear" w:color="auto" w:fill="C6EFCE"/>
            <w:noWrap/>
          </w:tcPr>
          <w:p w14:paraId="545FC5A4" w14:textId="77777777" w:rsidR="007A21E5" w:rsidRPr="00E02B5D" w:rsidRDefault="007A21E5" w:rsidP="007A21E5">
            <w:pPr>
              <w:spacing w:after="0" w:line="240" w:lineRule="auto"/>
              <w:rPr>
                <w:rFonts w:eastAsia="Times New Roman" w:cs="Calibri"/>
                <w:noProof/>
                <w:color w:val="006100"/>
                <w:sz w:val="18"/>
                <w:szCs w:val="18"/>
              </w:rPr>
            </w:pPr>
            <w:r>
              <w:rPr>
                <w:noProof/>
                <w:color w:val="006100"/>
                <w:sz w:val="18"/>
              </w:rPr>
              <w:t>Elamute renoveerimine – elamute renoveerimine #3</w:t>
            </w:r>
          </w:p>
        </w:tc>
        <w:tc>
          <w:tcPr>
            <w:tcW w:w="1649" w:type="dxa"/>
            <w:shd w:val="clear" w:color="auto" w:fill="C6EFCE"/>
            <w:noWrap/>
          </w:tcPr>
          <w:p w14:paraId="792DF6FF" w14:textId="77777777" w:rsidR="007A21E5" w:rsidRPr="00E02B5D" w:rsidRDefault="007A21E5" w:rsidP="007A21E5">
            <w:pPr>
              <w:spacing w:after="0" w:line="240" w:lineRule="auto"/>
              <w:rPr>
                <w:rFonts w:eastAsia="Times New Roman" w:cs="Calibri"/>
                <w:noProof/>
                <w:color w:val="006100"/>
                <w:sz w:val="18"/>
                <w:szCs w:val="18"/>
                <w:lang w:val="en-GB" w:eastAsia="en-GB"/>
              </w:rPr>
            </w:pPr>
          </w:p>
        </w:tc>
        <w:tc>
          <w:tcPr>
            <w:tcW w:w="1756" w:type="dxa"/>
            <w:shd w:val="clear" w:color="auto" w:fill="C6EFCE"/>
            <w:noWrap/>
          </w:tcPr>
          <w:p w14:paraId="73698D58" w14:textId="77777777" w:rsidR="007A21E5" w:rsidRPr="00E02B5D" w:rsidRDefault="007A21E5" w:rsidP="007A21E5">
            <w:pPr>
              <w:spacing w:after="0" w:line="240" w:lineRule="auto"/>
              <w:rPr>
                <w:rFonts w:eastAsia="Times New Roman" w:cs="Calibri"/>
                <w:noProof/>
                <w:color w:val="006100"/>
                <w:sz w:val="18"/>
                <w:szCs w:val="18"/>
              </w:rPr>
            </w:pPr>
            <w:r>
              <w:rPr>
                <w:noProof/>
                <w:color w:val="006100"/>
                <w:sz w:val="18"/>
              </w:rPr>
              <w:t>Sertifitseeritud renoveerimiste arv</w:t>
            </w:r>
          </w:p>
        </w:tc>
        <w:tc>
          <w:tcPr>
            <w:tcW w:w="966" w:type="dxa"/>
            <w:shd w:val="clear" w:color="auto" w:fill="C6EFCE"/>
            <w:noWrap/>
          </w:tcPr>
          <w:p w14:paraId="33605AC9" w14:textId="1231B5EC" w:rsidR="007A21E5" w:rsidRPr="00E02B5D" w:rsidRDefault="007A21E5" w:rsidP="007A21E5">
            <w:pPr>
              <w:spacing w:after="0" w:line="240" w:lineRule="auto"/>
              <w:rPr>
                <w:rFonts w:eastAsia="Times New Roman" w:cs="Calibri"/>
                <w:noProof/>
                <w:color w:val="006100"/>
                <w:sz w:val="18"/>
                <w:szCs w:val="18"/>
              </w:rPr>
            </w:pPr>
            <w:r>
              <w:rPr>
                <w:noProof/>
                <w:color w:val="006100"/>
                <w:sz w:val="18"/>
              </w:rPr>
              <w:t>50 000</w:t>
            </w:r>
          </w:p>
        </w:tc>
        <w:tc>
          <w:tcPr>
            <w:tcW w:w="906" w:type="dxa"/>
            <w:shd w:val="clear" w:color="auto" w:fill="C6EFCE"/>
            <w:noWrap/>
          </w:tcPr>
          <w:p w14:paraId="1287A791" w14:textId="1126A9B9" w:rsidR="007A21E5" w:rsidRPr="00E02B5D" w:rsidRDefault="007A21E5" w:rsidP="007A21E5">
            <w:pPr>
              <w:spacing w:after="0" w:line="240" w:lineRule="auto"/>
              <w:rPr>
                <w:rFonts w:eastAsia="Times New Roman" w:cs="Calibri"/>
                <w:noProof/>
                <w:color w:val="006100"/>
                <w:sz w:val="18"/>
                <w:szCs w:val="18"/>
              </w:rPr>
            </w:pPr>
            <w:r>
              <w:rPr>
                <w:noProof/>
                <w:color w:val="006100"/>
                <w:sz w:val="18"/>
              </w:rPr>
              <w:t>105 000</w:t>
            </w:r>
          </w:p>
        </w:tc>
        <w:tc>
          <w:tcPr>
            <w:tcW w:w="816" w:type="dxa"/>
            <w:shd w:val="clear" w:color="auto" w:fill="C6EFCE"/>
            <w:noWrap/>
          </w:tcPr>
          <w:p w14:paraId="79341148" w14:textId="77777777" w:rsidR="007A21E5" w:rsidRPr="00E02B5D" w:rsidRDefault="007A21E5" w:rsidP="007A21E5">
            <w:pPr>
              <w:spacing w:after="0" w:line="240" w:lineRule="auto"/>
              <w:rPr>
                <w:rFonts w:eastAsia="Times New Roman" w:cs="Calibri"/>
                <w:noProof/>
                <w:color w:val="006100"/>
                <w:sz w:val="18"/>
                <w:szCs w:val="18"/>
              </w:rPr>
            </w:pPr>
            <w:r>
              <w:rPr>
                <w:noProof/>
                <w:color w:val="006100"/>
                <w:sz w:val="18"/>
              </w:rPr>
              <w:t>4. kv</w:t>
            </w:r>
          </w:p>
        </w:tc>
        <w:tc>
          <w:tcPr>
            <w:tcW w:w="659" w:type="dxa"/>
            <w:shd w:val="clear" w:color="auto" w:fill="C6EFCE"/>
            <w:noWrap/>
          </w:tcPr>
          <w:p w14:paraId="5D87EC6B" w14:textId="77777777" w:rsidR="007A21E5" w:rsidRPr="00E02B5D" w:rsidRDefault="007A21E5" w:rsidP="007A21E5">
            <w:pPr>
              <w:spacing w:after="0" w:line="240" w:lineRule="auto"/>
              <w:rPr>
                <w:rFonts w:eastAsia="Times New Roman" w:cs="Calibri"/>
                <w:noProof/>
                <w:color w:val="006100"/>
                <w:sz w:val="18"/>
                <w:szCs w:val="18"/>
              </w:rPr>
            </w:pPr>
            <w:r>
              <w:rPr>
                <w:noProof/>
                <w:color w:val="006100"/>
                <w:sz w:val="18"/>
              </w:rPr>
              <w:t>2025</w:t>
            </w:r>
          </w:p>
        </w:tc>
        <w:tc>
          <w:tcPr>
            <w:tcW w:w="2693" w:type="dxa"/>
            <w:shd w:val="clear" w:color="auto" w:fill="C6EFCE"/>
            <w:noWrap/>
          </w:tcPr>
          <w:p w14:paraId="20A99CB0" w14:textId="13781DF2" w:rsidR="007A21E5" w:rsidRPr="00E02B5D" w:rsidRDefault="003A7CAB" w:rsidP="007A21E5">
            <w:pPr>
              <w:spacing w:after="0" w:line="240" w:lineRule="auto"/>
              <w:rPr>
                <w:noProof/>
                <w:color w:val="006100"/>
                <w:sz w:val="18"/>
                <w:szCs w:val="18"/>
              </w:rPr>
            </w:pPr>
            <w:r>
              <w:rPr>
                <w:noProof/>
                <w:color w:val="006100"/>
                <w:sz w:val="18"/>
              </w:rPr>
              <w:t xml:space="preserve">Energiatõhususe parandamiseks tehtavate renoveerimistööde lõpuleviimine 105 000 elamus, millest vähemalt 20 000 peavad olema energiaostuvõimetud leibkonnad. Energia vähenemine võrdub 213 naftaekvivalenttonniga aastas ja primaarenergia sääst on esitatud energiamärgiste alusel keskmiselt vähemalt 30 %. Korraldusasutuse väljastatud lõpetamisotsus tõendab sekkumiste lõpuleviimist. </w:t>
            </w:r>
          </w:p>
        </w:tc>
      </w:tr>
    </w:tbl>
    <w:p w14:paraId="06BA3435" w14:textId="77777777" w:rsidR="00645BC7" w:rsidRPr="00E02B5D" w:rsidRDefault="00645BC7" w:rsidP="00645BC7">
      <w:pPr>
        <w:spacing w:before="120" w:after="120" w:line="240" w:lineRule="auto"/>
        <w:ind w:left="709"/>
        <w:jc w:val="both"/>
        <w:rPr>
          <w:rFonts w:ascii="Times New Roman" w:hAnsi="Times New Roman" w:cs="Times New Roman"/>
          <w:noProof/>
          <w:sz w:val="24"/>
          <w:szCs w:val="24"/>
          <w:lang w:val="en-GB"/>
        </w:rPr>
      </w:pPr>
    </w:p>
    <w:p w14:paraId="4797370A" w14:textId="77777777" w:rsidR="00542477" w:rsidRDefault="00542477" w:rsidP="00645BC7">
      <w:pPr>
        <w:keepNext/>
        <w:keepLines/>
        <w:spacing w:before="40" w:after="0" w:line="240" w:lineRule="auto"/>
        <w:jc w:val="both"/>
        <w:outlineLvl w:val="4"/>
        <w:rPr>
          <w:rFonts w:ascii="Cambria" w:hAnsi="Cambria"/>
          <w:noProof/>
          <w:color w:val="365F91"/>
          <w:sz w:val="24"/>
          <w:lang w:val="en-GB"/>
        </w:rPr>
        <w:sectPr w:rsidR="00542477" w:rsidSect="00271D33">
          <w:headerReference w:type="even" r:id="rId38"/>
          <w:headerReference w:type="default" r:id="rId39"/>
          <w:footerReference w:type="even" r:id="rId40"/>
          <w:footerReference w:type="default" r:id="rId41"/>
          <w:headerReference w:type="first" r:id="rId42"/>
          <w:footerReference w:type="first" r:id="rId43"/>
          <w:pgSz w:w="16839" w:h="11907" w:orient="landscape"/>
          <w:pgMar w:top="1134" w:right="1134" w:bottom="1134" w:left="1134" w:header="567" w:footer="567" w:gutter="0"/>
          <w:cols w:space="720"/>
          <w:docGrid w:linePitch="360"/>
        </w:sectPr>
      </w:pPr>
    </w:p>
    <w:p w14:paraId="0F275CB8" w14:textId="77777777" w:rsidR="00645BC7" w:rsidRDefault="00645BC7" w:rsidP="00645BC7">
      <w:pPr>
        <w:keepNext/>
        <w:keepLines/>
        <w:spacing w:before="40" w:after="0" w:line="240" w:lineRule="auto"/>
        <w:jc w:val="both"/>
        <w:outlineLvl w:val="4"/>
        <w:rPr>
          <w:rFonts w:ascii="Cambria" w:hAnsi="Cambria"/>
          <w:noProof/>
          <w:color w:val="365F91"/>
          <w:sz w:val="24"/>
        </w:rPr>
      </w:pPr>
      <w:r>
        <w:rPr>
          <w:rFonts w:ascii="Cambria" w:hAnsi="Cambria"/>
          <w:noProof/>
          <w:color w:val="365F91"/>
          <w:sz w:val="24"/>
        </w:rPr>
        <w:t>Põhireform 2: Linnaplaneerimiskavad</w:t>
      </w:r>
    </w:p>
    <w:p w14:paraId="741CA966" w14:textId="77777777" w:rsidR="00015F96" w:rsidRPr="00E02B5D" w:rsidRDefault="00015F96" w:rsidP="00645BC7">
      <w:pPr>
        <w:keepNext/>
        <w:keepLines/>
        <w:spacing w:before="40" w:after="0" w:line="240" w:lineRule="auto"/>
        <w:jc w:val="both"/>
        <w:outlineLvl w:val="4"/>
        <w:rPr>
          <w:rFonts w:ascii="Cambria" w:eastAsia="Times New Roman" w:hAnsi="Cambria"/>
          <w:noProof/>
          <w:color w:val="365F91"/>
          <w:sz w:val="24"/>
          <w:lang w:val="en-GB"/>
        </w:rPr>
      </w:pPr>
    </w:p>
    <w:tbl>
      <w:tblPr>
        <w:tblW w:w="15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917"/>
        <w:gridCol w:w="993"/>
        <w:gridCol w:w="1554"/>
        <w:gridCol w:w="1440"/>
        <w:gridCol w:w="1125"/>
        <w:gridCol w:w="1281"/>
        <w:gridCol w:w="906"/>
        <w:gridCol w:w="849"/>
        <w:gridCol w:w="709"/>
        <w:gridCol w:w="4450"/>
      </w:tblGrid>
      <w:tr w:rsidR="00645BC7" w:rsidRPr="003B132A" w14:paraId="32EBB711" w14:textId="77777777" w:rsidTr="00855F6A">
        <w:trPr>
          <w:trHeight w:val="844"/>
          <w:jc w:val="center"/>
        </w:trPr>
        <w:tc>
          <w:tcPr>
            <w:tcW w:w="1027" w:type="dxa"/>
            <w:vMerge w:val="restart"/>
            <w:shd w:val="clear" w:color="auto" w:fill="BDD7EE"/>
            <w:vAlign w:val="center"/>
            <w:hideMark/>
          </w:tcPr>
          <w:p w14:paraId="0A9BB4DB" w14:textId="14147722"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746BE8">
              <w:rPr>
                <w:rFonts w:ascii="Times New Roman" w:hAnsi="Times New Roman"/>
                <w:b/>
                <w:noProof/>
                <w:sz w:val="18"/>
              </w:rPr>
              <w:t>-</w:t>
            </w:r>
            <w:r>
              <w:rPr>
                <w:rFonts w:ascii="Times New Roman" w:hAnsi="Times New Roman"/>
                <w:b/>
                <w:noProof/>
                <w:sz w:val="18"/>
              </w:rPr>
              <w:t>number</w:t>
            </w:r>
          </w:p>
        </w:tc>
        <w:tc>
          <w:tcPr>
            <w:tcW w:w="1917" w:type="dxa"/>
            <w:vMerge w:val="restart"/>
            <w:shd w:val="clear" w:color="auto" w:fill="BDD7EE"/>
            <w:vAlign w:val="center"/>
            <w:hideMark/>
          </w:tcPr>
          <w:p w14:paraId="1275E059"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93" w:type="dxa"/>
            <w:vMerge w:val="restart"/>
            <w:shd w:val="clear" w:color="auto" w:fill="BDD7EE"/>
            <w:vAlign w:val="center"/>
            <w:hideMark/>
          </w:tcPr>
          <w:p w14:paraId="4F2C5EF1"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120" w:type="dxa"/>
            <w:vMerge w:val="restart"/>
            <w:shd w:val="clear" w:color="auto" w:fill="BDD7EE"/>
            <w:vAlign w:val="center"/>
            <w:hideMark/>
          </w:tcPr>
          <w:p w14:paraId="74432E9F"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440" w:type="dxa"/>
            <w:vMerge w:val="restart"/>
            <w:shd w:val="clear" w:color="auto" w:fill="BDD7EE"/>
            <w:vAlign w:val="center"/>
            <w:hideMark/>
          </w:tcPr>
          <w:p w14:paraId="50607941"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111" w:type="dxa"/>
            <w:gridSpan w:val="3"/>
            <w:shd w:val="clear" w:color="auto" w:fill="BDD7EE"/>
            <w:vAlign w:val="center"/>
            <w:hideMark/>
          </w:tcPr>
          <w:p w14:paraId="2018973F"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558" w:type="dxa"/>
            <w:gridSpan w:val="2"/>
            <w:shd w:val="clear" w:color="auto" w:fill="BDD7EE"/>
            <w:vAlign w:val="center"/>
            <w:hideMark/>
          </w:tcPr>
          <w:p w14:paraId="6A6EFD30"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450" w:type="dxa"/>
            <w:vMerge w:val="restart"/>
            <w:shd w:val="clear" w:color="auto" w:fill="BDD7EE"/>
            <w:vAlign w:val="center"/>
            <w:hideMark/>
          </w:tcPr>
          <w:p w14:paraId="3EF40835"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6E0EA2" w:rsidRPr="00E02B5D" w14:paraId="3BE219C0" w14:textId="77777777" w:rsidTr="00855F6A">
        <w:trPr>
          <w:trHeight w:val="601"/>
          <w:tblHeader/>
          <w:jc w:val="center"/>
        </w:trPr>
        <w:tc>
          <w:tcPr>
            <w:tcW w:w="1027" w:type="dxa"/>
            <w:vMerge/>
            <w:vAlign w:val="center"/>
            <w:hideMark/>
          </w:tcPr>
          <w:p w14:paraId="17DACA8A" w14:textId="77777777" w:rsidR="00645BC7" w:rsidRPr="00AD4052" w:rsidRDefault="00645BC7" w:rsidP="00542477">
            <w:pPr>
              <w:spacing w:after="0" w:line="240" w:lineRule="auto"/>
              <w:rPr>
                <w:rFonts w:ascii="Times New Roman" w:eastAsia="Times New Roman" w:hAnsi="Times New Roman" w:cs="Times New Roman"/>
                <w:b/>
                <w:bCs/>
                <w:noProof/>
                <w:sz w:val="18"/>
                <w:szCs w:val="18"/>
                <w:lang w:eastAsia="en-GB"/>
              </w:rPr>
            </w:pPr>
          </w:p>
        </w:tc>
        <w:tc>
          <w:tcPr>
            <w:tcW w:w="1917" w:type="dxa"/>
            <w:vMerge/>
            <w:vAlign w:val="center"/>
            <w:hideMark/>
          </w:tcPr>
          <w:p w14:paraId="3F98CEEC" w14:textId="77777777" w:rsidR="00645BC7" w:rsidRPr="00AD4052" w:rsidRDefault="00645BC7" w:rsidP="00542477">
            <w:pPr>
              <w:spacing w:after="0" w:line="240" w:lineRule="auto"/>
              <w:rPr>
                <w:rFonts w:ascii="Times New Roman" w:eastAsia="Times New Roman" w:hAnsi="Times New Roman" w:cs="Times New Roman"/>
                <w:b/>
                <w:bCs/>
                <w:noProof/>
                <w:sz w:val="18"/>
                <w:szCs w:val="18"/>
                <w:lang w:eastAsia="en-GB"/>
              </w:rPr>
            </w:pPr>
          </w:p>
        </w:tc>
        <w:tc>
          <w:tcPr>
            <w:tcW w:w="993" w:type="dxa"/>
            <w:vMerge/>
            <w:vAlign w:val="center"/>
            <w:hideMark/>
          </w:tcPr>
          <w:p w14:paraId="644715D0" w14:textId="77777777" w:rsidR="00645BC7" w:rsidRPr="00AD4052" w:rsidRDefault="00645BC7" w:rsidP="00542477">
            <w:pPr>
              <w:spacing w:after="0" w:line="240" w:lineRule="auto"/>
              <w:rPr>
                <w:rFonts w:ascii="Times New Roman" w:eastAsia="Times New Roman" w:hAnsi="Times New Roman" w:cs="Times New Roman"/>
                <w:b/>
                <w:bCs/>
                <w:noProof/>
                <w:sz w:val="18"/>
                <w:szCs w:val="18"/>
                <w:lang w:eastAsia="en-GB"/>
              </w:rPr>
            </w:pPr>
          </w:p>
        </w:tc>
        <w:tc>
          <w:tcPr>
            <w:tcW w:w="1120" w:type="dxa"/>
            <w:vMerge/>
            <w:vAlign w:val="center"/>
            <w:hideMark/>
          </w:tcPr>
          <w:p w14:paraId="161CC3DA" w14:textId="77777777" w:rsidR="00645BC7" w:rsidRPr="00AD4052" w:rsidRDefault="00645BC7" w:rsidP="00542477">
            <w:pPr>
              <w:spacing w:after="0" w:line="240" w:lineRule="auto"/>
              <w:rPr>
                <w:rFonts w:ascii="Times New Roman" w:eastAsia="Times New Roman" w:hAnsi="Times New Roman" w:cs="Times New Roman"/>
                <w:b/>
                <w:bCs/>
                <w:noProof/>
                <w:sz w:val="18"/>
                <w:szCs w:val="18"/>
                <w:lang w:eastAsia="en-GB"/>
              </w:rPr>
            </w:pPr>
          </w:p>
        </w:tc>
        <w:tc>
          <w:tcPr>
            <w:tcW w:w="1440" w:type="dxa"/>
            <w:vMerge/>
            <w:vAlign w:val="center"/>
            <w:hideMark/>
          </w:tcPr>
          <w:p w14:paraId="68923C43" w14:textId="77777777" w:rsidR="00645BC7" w:rsidRPr="00AD4052" w:rsidRDefault="00645BC7" w:rsidP="00542477">
            <w:pPr>
              <w:spacing w:after="0" w:line="240" w:lineRule="auto"/>
              <w:rPr>
                <w:rFonts w:ascii="Times New Roman" w:eastAsia="Times New Roman" w:hAnsi="Times New Roman" w:cs="Times New Roman"/>
                <w:b/>
                <w:bCs/>
                <w:noProof/>
                <w:sz w:val="18"/>
                <w:szCs w:val="18"/>
                <w:lang w:eastAsia="en-GB"/>
              </w:rPr>
            </w:pPr>
          </w:p>
        </w:tc>
        <w:tc>
          <w:tcPr>
            <w:tcW w:w="1125" w:type="dxa"/>
            <w:shd w:val="clear" w:color="auto" w:fill="BDD7EE"/>
            <w:vAlign w:val="center"/>
            <w:hideMark/>
          </w:tcPr>
          <w:p w14:paraId="4D1ECDC6"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281" w:type="dxa"/>
            <w:shd w:val="clear" w:color="auto" w:fill="BDD7EE"/>
            <w:vAlign w:val="center"/>
            <w:hideMark/>
          </w:tcPr>
          <w:p w14:paraId="31C9134D"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705" w:type="dxa"/>
            <w:shd w:val="clear" w:color="auto" w:fill="BDD7EE"/>
            <w:vAlign w:val="center"/>
            <w:hideMark/>
          </w:tcPr>
          <w:p w14:paraId="09F639CE"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49" w:type="dxa"/>
            <w:shd w:val="clear" w:color="auto" w:fill="BDD7EE"/>
            <w:vAlign w:val="center"/>
            <w:hideMark/>
          </w:tcPr>
          <w:p w14:paraId="46145C97"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9" w:type="dxa"/>
            <w:shd w:val="clear" w:color="auto" w:fill="BDD7EE"/>
            <w:vAlign w:val="center"/>
            <w:hideMark/>
          </w:tcPr>
          <w:p w14:paraId="1630F502"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450" w:type="dxa"/>
            <w:vMerge/>
            <w:vAlign w:val="center"/>
            <w:hideMark/>
          </w:tcPr>
          <w:p w14:paraId="6F3413A2" w14:textId="77777777" w:rsidR="00645BC7" w:rsidRPr="00E02B5D" w:rsidRDefault="00645BC7" w:rsidP="00542477">
            <w:pPr>
              <w:spacing w:after="0" w:line="240" w:lineRule="auto"/>
              <w:rPr>
                <w:rFonts w:ascii="Times New Roman" w:eastAsia="Times New Roman" w:hAnsi="Times New Roman" w:cs="Times New Roman"/>
                <w:b/>
                <w:bCs/>
                <w:noProof/>
                <w:sz w:val="18"/>
                <w:szCs w:val="18"/>
                <w:lang w:val="en-GB" w:eastAsia="en-GB"/>
              </w:rPr>
            </w:pPr>
          </w:p>
        </w:tc>
      </w:tr>
      <w:tr w:rsidR="00645BC7" w:rsidRPr="003B132A" w14:paraId="63FECD43" w14:textId="77777777" w:rsidTr="00855F6A">
        <w:trPr>
          <w:trHeight w:val="313"/>
          <w:tblHeader/>
          <w:jc w:val="center"/>
        </w:trPr>
        <w:tc>
          <w:tcPr>
            <w:tcW w:w="1027" w:type="dxa"/>
            <w:shd w:val="clear" w:color="auto" w:fill="C6EFCE"/>
            <w:noWrap/>
          </w:tcPr>
          <w:p w14:paraId="6C02A3CD"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27</w:t>
            </w:r>
          </w:p>
        </w:tc>
        <w:tc>
          <w:tcPr>
            <w:tcW w:w="1917" w:type="dxa"/>
            <w:shd w:val="clear" w:color="auto" w:fill="C6EFCE"/>
            <w:noWrap/>
          </w:tcPr>
          <w:p w14:paraId="3C52F37F"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2-1.2. Renoveerimine – 16879_Linnaarengu kavade ettevalmistamine linnapoliitika reformi elluviimiseks</w:t>
            </w:r>
          </w:p>
        </w:tc>
        <w:tc>
          <w:tcPr>
            <w:tcW w:w="993" w:type="dxa"/>
            <w:shd w:val="clear" w:color="auto" w:fill="C6EFCE"/>
            <w:noWrap/>
          </w:tcPr>
          <w:p w14:paraId="55542B13"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Eesmärk</w:t>
            </w:r>
          </w:p>
        </w:tc>
        <w:tc>
          <w:tcPr>
            <w:tcW w:w="1120" w:type="dxa"/>
            <w:shd w:val="clear" w:color="auto" w:fill="C6EFCE"/>
            <w:noWrap/>
          </w:tcPr>
          <w:p w14:paraId="19054CE0"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Linnaplaneerimise auhind</w:t>
            </w:r>
          </w:p>
        </w:tc>
        <w:tc>
          <w:tcPr>
            <w:tcW w:w="1440" w:type="dxa"/>
            <w:shd w:val="clear" w:color="auto" w:fill="C6EFCE"/>
            <w:noWrap/>
          </w:tcPr>
          <w:p w14:paraId="7B62E019"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Lepingute sõlmimisest teatamine</w:t>
            </w:r>
          </w:p>
        </w:tc>
        <w:tc>
          <w:tcPr>
            <w:tcW w:w="1125" w:type="dxa"/>
            <w:shd w:val="clear" w:color="auto" w:fill="C6EFCE"/>
            <w:noWrap/>
          </w:tcPr>
          <w:p w14:paraId="1B3C1E2A" w14:textId="77777777" w:rsidR="00645BC7" w:rsidRPr="00E02B5D" w:rsidRDefault="00645BC7" w:rsidP="00542477">
            <w:pPr>
              <w:spacing w:after="0" w:line="240" w:lineRule="auto"/>
              <w:rPr>
                <w:rFonts w:eastAsia="Times New Roman" w:cs="Calibri"/>
                <w:noProof/>
                <w:color w:val="006100"/>
                <w:sz w:val="18"/>
                <w:szCs w:val="18"/>
                <w:lang w:val="en-GB" w:eastAsia="en-GB"/>
              </w:rPr>
            </w:pPr>
          </w:p>
        </w:tc>
        <w:tc>
          <w:tcPr>
            <w:tcW w:w="1281" w:type="dxa"/>
            <w:shd w:val="clear" w:color="auto" w:fill="C6EFCE"/>
            <w:noWrap/>
          </w:tcPr>
          <w:p w14:paraId="6C5DE721" w14:textId="77777777" w:rsidR="00645BC7" w:rsidRPr="00E02B5D" w:rsidRDefault="00645BC7" w:rsidP="00542477">
            <w:pPr>
              <w:spacing w:after="0" w:line="240" w:lineRule="auto"/>
              <w:rPr>
                <w:rFonts w:eastAsia="Times New Roman" w:cs="Calibri"/>
                <w:noProof/>
                <w:color w:val="006100"/>
                <w:sz w:val="18"/>
                <w:szCs w:val="18"/>
                <w:lang w:val="en-GB" w:eastAsia="en-GB"/>
              </w:rPr>
            </w:pPr>
          </w:p>
        </w:tc>
        <w:tc>
          <w:tcPr>
            <w:tcW w:w="705" w:type="dxa"/>
            <w:shd w:val="clear" w:color="auto" w:fill="C6EFCE"/>
            <w:noWrap/>
          </w:tcPr>
          <w:p w14:paraId="6978CDD4" w14:textId="77777777" w:rsidR="00645BC7" w:rsidRPr="00E02B5D" w:rsidRDefault="00645BC7" w:rsidP="00542477">
            <w:pPr>
              <w:spacing w:after="0" w:line="240" w:lineRule="auto"/>
              <w:rPr>
                <w:rFonts w:eastAsia="Times New Roman" w:cs="Calibri"/>
                <w:noProof/>
                <w:color w:val="006100"/>
                <w:sz w:val="18"/>
                <w:szCs w:val="18"/>
                <w:lang w:val="en-GB" w:eastAsia="en-GB"/>
              </w:rPr>
            </w:pPr>
          </w:p>
        </w:tc>
        <w:tc>
          <w:tcPr>
            <w:tcW w:w="849" w:type="dxa"/>
            <w:shd w:val="clear" w:color="auto" w:fill="C6EFCE"/>
            <w:noWrap/>
          </w:tcPr>
          <w:p w14:paraId="5A7D2D22"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0F395981"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2022</w:t>
            </w:r>
          </w:p>
        </w:tc>
        <w:tc>
          <w:tcPr>
            <w:tcW w:w="4450" w:type="dxa"/>
            <w:shd w:val="clear" w:color="auto" w:fill="C6EFCE"/>
            <w:noWrap/>
          </w:tcPr>
          <w:p w14:paraId="262B6FC6" w14:textId="77777777" w:rsidR="00645BC7" w:rsidRPr="00E02B5D" w:rsidRDefault="38C6ED78" w:rsidP="00542477">
            <w:pPr>
              <w:spacing w:after="0" w:line="240" w:lineRule="auto"/>
              <w:rPr>
                <w:rFonts w:eastAsia="Times New Roman" w:cs="Calibri"/>
                <w:noProof/>
                <w:color w:val="006100"/>
                <w:sz w:val="18"/>
                <w:szCs w:val="18"/>
              </w:rPr>
            </w:pPr>
            <w:r>
              <w:rPr>
                <w:noProof/>
                <w:color w:val="006100"/>
                <w:sz w:val="18"/>
              </w:rPr>
              <w:t xml:space="preserve">30 % lepingute sõlmimisest teatamine (kõigi sekkumiste puhul): </w:t>
            </w:r>
          </w:p>
          <w:p w14:paraId="6B6BC476"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1. kohalike linnakavade koostamine;</w:t>
            </w:r>
          </w:p>
          <w:p w14:paraId="205CD24A"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2. linnaarengu erikavade koostamine;</w:t>
            </w:r>
          </w:p>
          <w:p w14:paraId="23FC1842"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3. sõltumatute kavade koostamine arenguõiguste üleandmise tsoonide määratlemiseks;</w:t>
            </w:r>
          </w:p>
          <w:p w14:paraId="193B585F"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4. iseseisvate arvelduste piiritlemise plaanide koostamine; ning</w:t>
            </w:r>
          </w:p>
          <w:p w14:paraId="14B9F76D"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5. iseseisvate kavade koostamine munitsipaalteede kirjeldamiseks.</w:t>
            </w:r>
          </w:p>
          <w:p w14:paraId="3D55CBF1" w14:textId="77777777" w:rsidR="00645BC7" w:rsidRPr="00AD4052" w:rsidRDefault="00645BC7" w:rsidP="00542477">
            <w:pPr>
              <w:spacing w:after="0" w:line="240" w:lineRule="auto"/>
              <w:rPr>
                <w:rFonts w:eastAsia="Times New Roman" w:cs="Calibri"/>
                <w:noProof/>
                <w:color w:val="006100"/>
                <w:sz w:val="18"/>
                <w:szCs w:val="18"/>
                <w:lang w:eastAsia="en-GB"/>
              </w:rPr>
            </w:pPr>
          </w:p>
          <w:p w14:paraId="1F7DB0FF"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Kohalikud linnakavad, mis sisaldavad eraldi peatükki kliimamuutustega seotud meetmete ning kliimaga seotud riskide ennetamise ja juhtimise kohta);</w:t>
            </w:r>
          </w:p>
          <w:p w14:paraId="33FBF550" w14:textId="77777777" w:rsidR="00645BC7" w:rsidRPr="00AD4052" w:rsidRDefault="00645BC7" w:rsidP="00542477">
            <w:pPr>
              <w:spacing w:after="0" w:line="240" w:lineRule="auto"/>
              <w:rPr>
                <w:rFonts w:eastAsia="Times New Roman" w:cs="Calibri"/>
                <w:noProof/>
                <w:color w:val="006100"/>
                <w:sz w:val="18"/>
                <w:szCs w:val="18"/>
                <w:lang w:eastAsia="en-GB"/>
              </w:rPr>
            </w:pPr>
          </w:p>
        </w:tc>
      </w:tr>
    </w:tbl>
    <w:p w14:paraId="41155CF4" w14:textId="77777777" w:rsidR="00015F96" w:rsidRPr="00AD4052" w:rsidRDefault="00015F96" w:rsidP="00542477">
      <w:pPr>
        <w:spacing w:after="0" w:line="240" w:lineRule="auto"/>
        <w:rPr>
          <w:noProof/>
          <w:color w:val="006100"/>
          <w:sz w:val="18"/>
        </w:rPr>
        <w:sectPr w:rsidR="00015F96" w:rsidRPr="00AD4052" w:rsidSect="00AF58D0">
          <w:headerReference w:type="even" r:id="rId44"/>
          <w:headerReference w:type="default" r:id="rId45"/>
          <w:footerReference w:type="even" r:id="rId46"/>
          <w:footerReference w:type="default" r:id="rId47"/>
          <w:headerReference w:type="first" r:id="rId48"/>
          <w:footerReference w:type="first" r:id="rId49"/>
          <w:pgSz w:w="16839" w:h="11907" w:orient="landscape"/>
          <w:pgMar w:top="1134" w:right="1134" w:bottom="1134" w:left="1134" w:header="567" w:footer="217" w:gutter="0"/>
          <w:cols w:space="720"/>
          <w:docGrid w:linePitch="360"/>
        </w:sect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917"/>
        <w:gridCol w:w="993"/>
        <w:gridCol w:w="1698"/>
        <w:gridCol w:w="1643"/>
        <w:gridCol w:w="1125"/>
        <w:gridCol w:w="1281"/>
        <w:gridCol w:w="906"/>
        <w:gridCol w:w="851"/>
        <w:gridCol w:w="709"/>
        <w:gridCol w:w="3491"/>
      </w:tblGrid>
      <w:tr w:rsidR="006E0EA2" w:rsidRPr="003B132A" w14:paraId="50F03F05" w14:textId="77777777" w:rsidTr="00746BE8">
        <w:trPr>
          <w:trHeight w:val="443"/>
          <w:tblHeader/>
          <w:jc w:val="center"/>
        </w:trPr>
        <w:tc>
          <w:tcPr>
            <w:tcW w:w="1116" w:type="dxa"/>
            <w:vMerge w:val="restart"/>
            <w:shd w:val="clear" w:color="auto" w:fill="BDD7EE"/>
            <w:noWrap/>
            <w:vAlign w:val="center"/>
          </w:tcPr>
          <w:p w14:paraId="6B9BDFC5" w14:textId="702B0A59" w:rsidR="0029559B" w:rsidRPr="00E02B5D" w:rsidRDefault="0029559B" w:rsidP="0029559B">
            <w:pPr>
              <w:spacing w:after="0" w:line="240" w:lineRule="auto"/>
              <w:jc w:val="center"/>
              <w:rPr>
                <w:noProof/>
                <w:color w:val="006100"/>
                <w:sz w:val="18"/>
              </w:rPr>
            </w:pPr>
            <w:r>
              <w:rPr>
                <w:rFonts w:ascii="Times New Roman" w:hAnsi="Times New Roman"/>
                <w:b/>
                <w:noProof/>
                <w:sz w:val="18"/>
              </w:rPr>
              <w:t>Järjekorra</w:t>
            </w:r>
            <w:r w:rsidR="00746BE8">
              <w:rPr>
                <w:rFonts w:ascii="Times New Roman" w:hAnsi="Times New Roman"/>
                <w:b/>
                <w:noProof/>
                <w:sz w:val="18"/>
              </w:rPr>
              <w:t>-</w:t>
            </w:r>
            <w:r>
              <w:rPr>
                <w:rFonts w:ascii="Times New Roman" w:hAnsi="Times New Roman"/>
                <w:b/>
                <w:noProof/>
                <w:sz w:val="18"/>
              </w:rPr>
              <w:t>number</w:t>
            </w:r>
          </w:p>
        </w:tc>
        <w:tc>
          <w:tcPr>
            <w:tcW w:w="1917" w:type="dxa"/>
            <w:vMerge w:val="restart"/>
            <w:shd w:val="clear" w:color="auto" w:fill="BDD7EE"/>
            <w:noWrap/>
            <w:vAlign w:val="center"/>
          </w:tcPr>
          <w:p w14:paraId="55E46E51" w14:textId="77777777" w:rsidR="0029559B" w:rsidRPr="00E02B5D" w:rsidRDefault="0029559B" w:rsidP="0029559B">
            <w:pPr>
              <w:spacing w:after="0" w:line="240" w:lineRule="auto"/>
              <w:jc w:val="center"/>
              <w:rPr>
                <w:noProof/>
                <w:color w:val="006100"/>
                <w:sz w:val="18"/>
              </w:rPr>
            </w:pPr>
            <w:r>
              <w:rPr>
                <w:rFonts w:ascii="Times New Roman" w:hAnsi="Times New Roman"/>
                <w:b/>
                <w:noProof/>
                <w:sz w:val="18"/>
              </w:rPr>
              <w:t>Seotud meede (reform või investeering)</w:t>
            </w:r>
          </w:p>
        </w:tc>
        <w:tc>
          <w:tcPr>
            <w:tcW w:w="993" w:type="dxa"/>
            <w:vMerge w:val="restart"/>
            <w:shd w:val="clear" w:color="auto" w:fill="BDD7EE"/>
            <w:noWrap/>
            <w:vAlign w:val="center"/>
          </w:tcPr>
          <w:p w14:paraId="37690D0A" w14:textId="77777777" w:rsidR="0029559B" w:rsidRPr="00E02B5D" w:rsidRDefault="0029559B" w:rsidP="0029559B">
            <w:pPr>
              <w:spacing w:after="0" w:line="240" w:lineRule="auto"/>
              <w:jc w:val="center"/>
              <w:rPr>
                <w:noProof/>
                <w:color w:val="006100"/>
                <w:sz w:val="18"/>
              </w:rPr>
            </w:pPr>
            <w:r>
              <w:rPr>
                <w:rFonts w:ascii="Times New Roman" w:hAnsi="Times New Roman"/>
                <w:b/>
                <w:noProof/>
                <w:sz w:val="18"/>
              </w:rPr>
              <w:t>Eesmärk / siht</w:t>
            </w:r>
          </w:p>
        </w:tc>
        <w:tc>
          <w:tcPr>
            <w:tcW w:w="1698" w:type="dxa"/>
            <w:vMerge w:val="restart"/>
            <w:shd w:val="clear" w:color="auto" w:fill="BDD7EE"/>
            <w:noWrap/>
            <w:vAlign w:val="center"/>
          </w:tcPr>
          <w:p w14:paraId="54261CE3" w14:textId="77777777" w:rsidR="0029559B" w:rsidRPr="00E02B5D" w:rsidRDefault="0029559B" w:rsidP="0029559B">
            <w:pPr>
              <w:spacing w:after="0" w:line="240" w:lineRule="auto"/>
              <w:jc w:val="center"/>
              <w:rPr>
                <w:noProof/>
                <w:color w:val="006100"/>
                <w:sz w:val="18"/>
              </w:rPr>
            </w:pPr>
            <w:r>
              <w:rPr>
                <w:rFonts w:ascii="Times New Roman" w:hAnsi="Times New Roman"/>
                <w:b/>
                <w:noProof/>
                <w:sz w:val="18"/>
              </w:rPr>
              <w:t>Nimi</w:t>
            </w:r>
          </w:p>
        </w:tc>
        <w:tc>
          <w:tcPr>
            <w:tcW w:w="1643" w:type="dxa"/>
            <w:vMerge w:val="restart"/>
            <w:shd w:val="clear" w:color="auto" w:fill="BDD7EE"/>
            <w:noWrap/>
            <w:vAlign w:val="center"/>
          </w:tcPr>
          <w:p w14:paraId="552F0BA7" w14:textId="77777777" w:rsidR="0029559B" w:rsidRPr="00E02B5D" w:rsidRDefault="0029559B" w:rsidP="0029559B">
            <w:pPr>
              <w:spacing w:after="0" w:line="240" w:lineRule="auto"/>
              <w:jc w:val="center"/>
              <w:rPr>
                <w:noProof/>
                <w:color w:val="006100"/>
                <w:sz w:val="18"/>
              </w:rPr>
            </w:pPr>
            <w:r>
              <w:rPr>
                <w:rFonts w:ascii="Times New Roman" w:hAnsi="Times New Roman"/>
                <w:b/>
                <w:noProof/>
                <w:sz w:val="18"/>
              </w:rPr>
              <w:t>Kvalitatiivsed näitajad (eesmärkide puhul)</w:t>
            </w:r>
          </w:p>
        </w:tc>
        <w:tc>
          <w:tcPr>
            <w:tcW w:w="3312" w:type="dxa"/>
            <w:gridSpan w:val="3"/>
            <w:shd w:val="clear" w:color="auto" w:fill="BDD7EE"/>
            <w:noWrap/>
            <w:vAlign w:val="center"/>
          </w:tcPr>
          <w:p w14:paraId="08DEE1AF" w14:textId="77777777" w:rsidR="0029559B" w:rsidRPr="00E02B5D" w:rsidRDefault="0029559B" w:rsidP="0029559B">
            <w:pPr>
              <w:spacing w:after="0" w:line="240" w:lineRule="auto"/>
              <w:jc w:val="center"/>
              <w:rPr>
                <w:rFonts w:eastAsia="Times New Roman" w:cs="Calibri"/>
                <w:noProof/>
                <w:color w:val="006100"/>
                <w:sz w:val="18"/>
                <w:szCs w:val="18"/>
              </w:rPr>
            </w:pPr>
            <w:r>
              <w:rPr>
                <w:rFonts w:ascii="Times New Roman" w:hAnsi="Times New Roman"/>
                <w:b/>
                <w:noProof/>
                <w:sz w:val="18"/>
              </w:rPr>
              <w:t>Kvantitatiivsed näitajad (sihtide puhul)</w:t>
            </w:r>
          </w:p>
        </w:tc>
        <w:tc>
          <w:tcPr>
            <w:tcW w:w="1560" w:type="dxa"/>
            <w:gridSpan w:val="2"/>
            <w:shd w:val="clear" w:color="auto" w:fill="BDD7EE"/>
            <w:noWrap/>
          </w:tcPr>
          <w:p w14:paraId="6984AC25" w14:textId="77777777" w:rsidR="0029559B" w:rsidRPr="00E02B5D" w:rsidRDefault="0029559B" w:rsidP="0029559B">
            <w:pPr>
              <w:spacing w:after="0" w:line="240" w:lineRule="auto"/>
              <w:jc w:val="center"/>
              <w:rPr>
                <w:noProof/>
                <w:color w:val="006100"/>
                <w:sz w:val="18"/>
              </w:rPr>
            </w:pPr>
            <w:r>
              <w:rPr>
                <w:rFonts w:ascii="Times New Roman" w:hAnsi="Times New Roman"/>
                <w:b/>
                <w:noProof/>
                <w:sz w:val="18"/>
              </w:rPr>
              <w:t>Lõpuleviimise soovituslik ajakava</w:t>
            </w:r>
          </w:p>
        </w:tc>
        <w:tc>
          <w:tcPr>
            <w:tcW w:w="3491" w:type="dxa"/>
            <w:vMerge w:val="restart"/>
            <w:shd w:val="clear" w:color="auto" w:fill="BDD7EE"/>
            <w:noWrap/>
            <w:vAlign w:val="center"/>
          </w:tcPr>
          <w:p w14:paraId="21CD02C7" w14:textId="77777777" w:rsidR="0029559B" w:rsidRPr="00E02B5D" w:rsidRDefault="0029559B" w:rsidP="0029559B">
            <w:pPr>
              <w:spacing w:after="0" w:line="240" w:lineRule="auto"/>
              <w:jc w:val="center"/>
              <w:rPr>
                <w:noProof/>
                <w:color w:val="006100"/>
                <w:sz w:val="18"/>
              </w:rPr>
            </w:pPr>
            <w:r>
              <w:rPr>
                <w:rFonts w:ascii="Times New Roman" w:hAnsi="Times New Roman"/>
                <w:b/>
                <w:noProof/>
                <w:sz w:val="18"/>
              </w:rPr>
              <w:t>Iga eesmärgi ja sihi kirjeldus</w:t>
            </w:r>
          </w:p>
        </w:tc>
      </w:tr>
      <w:tr w:rsidR="006E0EA2" w:rsidRPr="00BB7B49" w14:paraId="06FD4BE0" w14:textId="77777777" w:rsidTr="00746BE8">
        <w:trPr>
          <w:trHeight w:val="442"/>
          <w:tblHeader/>
          <w:jc w:val="center"/>
        </w:trPr>
        <w:tc>
          <w:tcPr>
            <w:tcW w:w="1116" w:type="dxa"/>
            <w:vMerge/>
            <w:noWrap/>
            <w:vAlign w:val="center"/>
          </w:tcPr>
          <w:p w14:paraId="2BAE7B88" w14:textId="77777777" w:rsidR="0029559B" w:rsidRPr="00AD4052" w:rsidRDefault="0029559B" w:rsidP="0029559B">
            <w:pPr>
              <w:spacing w:after="0" w:line="240" w:lineRule="auto"/>
              <w:rPr>
                <w:rFonts w:ascii="Times New Roman" w:hAnsi="Times New Roman"/>
                <w:b/>
                <w:noProof/>
                <w:sz w:val="18"/>
              </w:rPr>
            </w:pPr>
          </w:p>
        </w:tc>
        <w:tc>
          <w:tcPr>
            <w:tcW w:w="1917" w:type="dxa"/>
            <w:vMerge/>
            <w:noWrap/>
            <w:vAlign w:val="center"/>
          </w:tcPr>
          <w:p w14:paraId="5FC5ECA4" w14:textId="77777777" w:rsidR="0029559B" w:rsidRPr="00AD4052" w:rsidRDefault="0029559B" w:rsidP="0029559B">
            <w:pPr>
              <w:spacing w:after="0" w:line="240" w:lineRule="auto"/>
              <w:rPr>
                <w:rFonts w:ascii="Times New Roman" w:hAnsi="Times New Roman"/>
                <w:b/>
                <w:noProof/>
                <w:sz w:val="18"/>
              </w:rPr>
            </w:pPr>
          </w:p>
        </w:tc>
        <w:tc>
          <w:tcPr>
            <w:tcW w:w="993" w:type="dxa"/>
            <w:vMerge/>
            <w:noWrap/>
            <w:vAlign w:val="center"/>
          </w:tcPr>
          <w:p w14:paraId="4714406C" w14:textId="77777777" w:rsidR="0029559B" w:rsidRPr="00AD4052" w:rsidRDefault="0029559B" w:rsidP="0029559B">
            <w:pPr>
              <w:spacing w:after="0" w:line="240" w:lineRule="auto"/>
              <w:rPr>
                <w:rFonts w:ascii="Times New Roman" w:hAnsi="Times New Roman"/>
                <w:b/>
                <w:noProof/>
                <w:sz w:val="18"/>
              </w:rPr>
            </w:pPr>
          </w:p>
        </w:tc>
        <w:tc>
          <w:tcPr>
            <w:tcW w:w="1698" w:type="dxa"/>
            <w:vMerge/>
            <w:noWrap/>
            <w:vAlign w:val="center"/>
          </w:tcPr>
          <w:p w14:paraId="6EF837D6" w14:textId="77777777" w:rsidR="0029559B" w:rsidRPr="00AD4052" w:rsidRDefault="0029559B" w:rsidP="0029559B">
            <w:pPr>
              <w:spacing w:after="0" w:line="240" w:lineRule="auto"/>
              <w:rPr>
                <w:rFonts w:ascii="Times New Roman" w:hAnsi="Times New Roman"/>
                <w:b/>
                <w:noProof/>
                <w:sz w:val="18"/>
              </w:rPr>
            </w:pPr>
          </w:p>
        </w:tc>
        <w:tc>
          <w:tcPr>
            <w:tcW w:w="1643" w:type="dxa"/>
            <w:vMerge/>
            <w:noWrap/>
            <w:vAlign w:val="center"/>
          </w:tcPr>
          <w:p w14:paraId="43830D52" w14:textId="77777777" w:rsidR="0029559B" w:rsidRPr="00AD4052" w:rsidRDefault="0029559B" w:rsidP="0029559B">
            <w:pPr>
              <w:spacing w:after="0" w:line="240" w:lineRule="auto"/>
              <w:rPr>
                <w:rFonts w:ascii="Times New Roman" w:hAnsi="Times New Roman"/>
                <w:b/>
                <w:noProof/>
                <w:sz w:val="18"/>
              </w:rPr>
            </w:pPr>
          </w:p>
        </w:tc>
        <w:tc>
          <w:tcPr>
            <w:tcW w:w="1125" w:type="dxa"/>
            <w:shd w:val="clear" w:color="auto" w:fill="BDD7EE"/>
            <w:noWrap/>
            <w:vAlign w:val="center"/>
          </w:tcPr>
          <w:p w14:paraId="15A2D0F1" w14:textId="77777777" w:rsidR="0029559B" w:rsidRPr="00E02B5D" w:rsidRDefault="0029559B" w:rsidP="0029559B">
            <w:pPr>
              <w:spacing w:after="0" w:line="240" w:lineRule="auto"/>
              <w:jc w:val="center"/>
              <w:rPr>
                <w:rFonts w:eastAsia="Times New Roman" w:cs="Calibri"/>
                <w:noProof/>
                <w:color w:val="006100"/>
                <w:sz w:val="18"/>
                <w:szCs w:val="18"/>
              </w:rPr>
            </w:pPr>
            <w:r>
              <w:rPr>
                <w:rFonts w:ascii="Times New Roman" w:hAnsi="Times New Roman"/>
                <w:b/>
                <w:noProof/>
                <w:sz w:val="18"/>
              </w:rPr>
              <w:t>Mõõtühik</w:t>
            </w:r>
          </w:p>
        </w:tc>
        <w:tc>
          <w:tcPr>
            <w:tcW w:w="1281" w:type="dxa"/>
            <w:shd w:val="clear" w:color="auto" w:fill="BDD7EE"/>
            <w:vAlign w:val="center"/>
          </w:tcPr>
          <w:p w14:paraId="22367256" w14:textId="77777777" w:rsidR="0029559B" w:rsidRPr="00E02B5D" w:rsidRDefault="0029559B" w:rsidP="0029559B">
            <w:pPr>
              <w:spacing w:after="0" w:line="240" w:lineRule="auto"/>
              <w:jc w:val="center"/>
              <w:rPr>
                <w:rFonts w:eastAsia="Times New Roman" w:cs="Calibri"/>
                <w:noProof/>
                <w:color w:val="006100"/>
                <w:sz w:val="18"/>
                <w:szCs w:val="18"/>
              </w:rPr>
            </w:pPr>
            <w:r>
              <w:rPr>
                <w:rFonts w:ascii="Times New Roman" w:hAnsi="Times New Roman"/>
                <w:b/>
                <w:noProof/>
                <w:sz w:val="18"/>
              </w:rPr>
              <w:t>Lähtetase</w:t>
            </w:r>
          </w:p>
        </w:tc>
        <w:tc>
          <w:tcPr>
            <w:tcW w:w="906" w:type="dxa"/>
            <w:shd w:val="clear" w:color="auto" w:fill="BDD7EE"/>
            <w:vAlign w:val="center"/>
          </w:tcPr>
          <w:p w14:paraId="1DCD1D58" w14:textId="77777777" w:rsidR="0029559B" w:rsidRPr="00E02B5D" w:rsidRDefault="0029559B" w:rsidP="0029559B">
            <w:pPr>
              <w:spacing w:after="0" w:line="240" w:lineRule="auto"/>
              <w:jc w:val="center"/>
              <w:rPr>
                <w:rFonts w:eastAsia="Times New Roman" w:cs="Calibri"/>
                <w:noProof/>
                <w:color w:val="006100"/>
                <w:sz w:val="18"/>
                <w:szCs w:val="18"/>
              </w:rPr>
            </w:pPr>
            <w:r>
              <w:rPr>
                <w:rFonts w:ascii="Times New Roman" w:hAnsi="Times New Roman"/>
                <w:b/>
                <w:noProof/>
                <w:sz w:val="18"/>
              </w:rPr>
              <w:t>Eesmärk</w:t>
            </w:r>
          </w:p>
        </w:tc>
        <w:tc>
          <w:tcPr>
            <w:tcW w:w="851" w:type="dxa"/>
            <w:shd w:val="clear" w:color="auto" w:fill="BDD7EE"/>
            <w:noWrap/>
            <w:vAlign w:val="center"/>
          </w:tcPr>
          <w:p w14:paraId="60EB731D" w14:textId="77777777" w:rsidR="0029559B" w:rsidRPr="00E02B5D" w:rsidRDefault="0029559B" w:rsidP="0029559B">
            <w:pPr>
              <w:spacing w:after="0" w:line="240" w:lineRule="auto"/>
              <w:jc w:val="center"/>
              <w:rPr>
                <w:noProof/>
                <w:color w:val="006100"/>
                <w:sz w:val="18"/>
              </w:rPr>
            </w:pPr>
            <w:r>
              <w:rPr>
                <w:rFonts w:ascii="Times New Roman" w:hAnsi="Times New Roman"/>
                <w:b/>
                <w:noProof/>
                <w:sz w:val="18"/>
              </w:rPr>
              <w:t>Kvartal</w:t>
            </w:r>
          </w:p>
        </w:tc>
        <w:tc>
          <w:tcPr>
            <w:tcW w:w="709" w:type="dxa"/>
            <w:shd w:val="clear" w:color="auto" w:fill="BDD7EE"/>
            <w:vAlign w:val="center"/>
          </w:tcPr>
          <w:p w14:paraId="43ABF793" w14:textId="77777777" w:rsidR="0029559B" w:rsidRPr="00E02B5D" w:rsidRDefault="0029559B" w:rsidP="0029559B">
            <w:pPr>
              <w:spacing w:after="0" w:line="240" w:lineRule="auto"/>
              <w:jc w:val="center"/>
              <w:rPr>
                <w:noProof/>
                <w:color w:val="006100"/>
                <w:sz w:val="18"/>
              </w:rPr>
            </w:pPr>
            <w:r>
              <w:rPr>
                <w:rFonts w:ascii="Times New Roman" w:hAnsi="Times New Roman"/>
                <w:b/>
                <w:noProof/>
                <w:sz w:val="18"/>
              </w:rPr>
              <w:t>Aasta</w:t>
            </w:r>
          </w:p>
        </w:tc>
        <w:tc>
          <w:tcPr>
            <w:tcW w:w="3491" w:type="dxa"/>
            <w:vMerge/>
            <w:noWrap/>
          </w:tcPr>
          <w:p w14:paraId="3745ACA7" w14:textId="77777777" w:rsidR="0029559B" w:rsidRPr="00E02B5D" w:rsidRDefault="0029559B" w:rsidP="0029559B">
            <w:pPr>
              <w:spacing w:after="0" w:line="240" w:lineRule="auto"/>
              <w:rPr>
                <w:noProof/>
                <w:color w:val="006100"/>
                <w:sz w:val="18"/>
                <w:lang w:val="en-GB"/>
              </w:rPr>
            </w:pPr>
          </w:p>
        </w:tc>
      </w:tr>
      <w:tr w:rsidR="0029559B" w:rsidRPr="003B132A" w14:paraId="38FBD968" w14:textId="77777777" w:rsidTr="00746BE8">
        <w:trPr>
          <w:trHeight w:val="313"/>
          <w:tblHeader/>
          <w:jc w:val="center"/>
        </w:trPr>
        <w:tc>
          <w:tcPr>
            <w:tcW w:w="1116" w:type="dxa"/>
            <w:shd w:val="clear" w:color="auto" w:fill="C6EFCE"/>
            <w:noWrap/>
          </w:tcPr>
          <w:p w14:paraId="3E54959C"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28</w:t>
            </w:r>
          </w:p>
        </w:tc>
        <w:tc>
          <w:tcPr>
            <w:tcW w:w="1917" w:type="dxa"/>
            <w:shd w:val="clear" w:color="auto" w:fill="C6EFCE"/>
            <w:noWrap/>
          </w:tcPr>
          <w:p w14:paraId="4DFC5537"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2-1.2. Renoveerimine – 16879_Linnaarengu kavade ettevalmistamine linnapoliitika reformi elluviimiseks</w:t>
            </w:r>
          </w:p>
        </w:tc>
        <w:tc>
          <w:tcPr>
            <w:tcW w:w="993" w:type="dxa"/>
            <w:shd w:val="clear" w:color="auto" w:fill="C6EFCE"/>
            <w:noWrap/>
          </w:tcPr>
          <w:p w14:paraId="645E0D20"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Eesmärk</w:t>
            </w:r>
          </w:p>
        </w:tc>
        <w:tc>
          <w:tcPr>
            <w:tcW w:w="1698" w:type="dxa"/>
            <w:shd w:val="clear" w:color="auto" w:fill="C6EFCE"/>
            <w:noWrap/>
          </w:tcPr>
          <w:p w14:paraId="072A5EEB"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Linnaplaneerimise auhind</w:t>
            </w:r>
          </w:p>
        </w:tc>
        <w:tc>
          <w:tcPr>
            <w:tcW w:w="1643" w:type="dxa"/>
            <w:shd w:val="clear" w:color="auto" w:fill="C6EFCE"/>
            <w:noWrap/>
          </w:tcPr>
          <w:p w14:paraId="7F880C1F"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Lepingute sõlmimisest teatamine</w:t>
            </w:r>
          </w:p>
        </w:tc>
        <w:tc>
          <w:tcPr>
            <w:tcW w:w="1125" w:type="dxa"/>
            <w:shd w:val="clear" w:color="auto" w:fill="C6EFCE"/>
            <w:noWrap/>
          </w:tcPr>
          <w:p w14:paraId="21460EA7" w14:textId="77777777" w:rsidR="0029559B" w:rsidRPr="00E02B5D" w:rsidRDefault="0029559B" w:rsidP="0029559B">
            <w:pPr>
              <w:spacing w:after="0" w:line="240" w:lineRule="auto"/>
              <w:rPr>
                <w:rFonts w:eastAsia="Times New Roman" w:cs="Calibri"/>
                <w:noProof/>
                <w:color w:val="006100"/>
                <w:sz w:val="18"/>
                <w:szCs w:val="18"/>
                <w:lang w:val="en-GB" w:eastAsia="en-GB"/>
              </w:rPr>
            </w:pPr>
          </w:p>
        </w:tc>
        <w:tc>
          <w:tcPr>
            <w:tcW w:w="1281" w:type="dxa"/>
            <w:shd w:val="clear" w:color="auto" w:fill="C6EFCE"/>
            <w:noWrap/>
          </w:tcPr>
          <w:p w14:paraId="17ACED38" w14:textId="77777777" w:rsidR="0029559B" w:rsidRPr="00E02B5D" w:rsidRDefault="0029559B" w:rsidP="0029559B">
            <w:pPr>
              <w:spacing w:after="0" w:line="240" w:lineRule="auto"/>
              <w:rPr>
                <w:rFonts w:eastAsia="Times New Roman" w:cs="Calibri"/>
                <w:noProof/>
                <w:color w:val="006100"/>
                <w:sz w:val="18"/>
                <w:szCs w:val="18"/>
                <w:lang w:val="en-GB" w:eastAsia="en-GB"/>
              </w:rPr>
            </w:pPr>
          </w:p>
        </w:tc>
        <w:tc>
          <w:tcPr>
            <w:tcW w:w="906" w:type="dxa"/>
            <w:shd w:val="clear" w:color="auto" w:fill="C6EFCE"/>
            <w:noWrap/>
          </w:tcPr>
          <w:p w14:paraId="60153AEF" w14:textId="77777777" w:rsidR="0029559B" w:rsidRPr="00E02B5D" w:rsidRDefault="0029559B" w:rsidP="0029559B">
            <w:pPr>
              <w:spacing w:after="0" w:line="240" w:lineRule="auto"/>
              <w:rPr>
                <w:rFonts w:eastAsia="Times New Roman" w:cs="Calibri"/>
                <w:noProof/>
                <w:color w:val="006100"/>
                <w:sz w:val="18"/>
                <w:szCs w:val="18"/>
                <w:lang w:val="en-GB" w:eastAsia="en-GB"/>
              </w:rPr>
            </w:pPr>
          </w:p>
        </w:tc>
        <w:tc>
          <w:tcPr>
            <w:tcW w:w="851" w:type="dxa"/>
            <w:shd w:val="clear" w:color="auto" w:fill="C6EFCE"/>
            <w:noWrap/>
          </w:tcPr>
          <w:p w14:paraId="2982C881"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1952C300"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2023</w:t>
            </w:r>
          </w:p>
        </w:tc>
        <w:tc>
          <w:tcPr>
            <w:tcW w:w="3491" w:type="dxa"/>
            <w:shd w:val="clear" w:color="auto" w:fill="C6EFCE"/>
            <w:noWrap/>
          </w:tcPr>
          <w:p w14:paraId="170F8B14"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 xml:space="preserve">Teade 100 % lepingute sõlmimise kohta (kõikide sekkumiste puhul): </w:t>
            </w:r>
          </w:p>
          <w:p w14:paraId="4A573AF5"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 xml:space="preserve">1. kohalike linnakavade koostamine; </w:t>
            </w:r>
          </w:p>
          <w:p w14:paraId="0F7DA7CB"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2. linnaarengu erikavade koostamine;</w:t>
            </w:r>
          </w:p>
          <w:p w14:paraId="629AC19A"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3. sõltumatute kavade koostamine arenguõiguste üleandmise tsoonide määratlemiseks;</w:t>
            </w:r>
          </w:p>
          <w:p w14:paraId="66022D40"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4. iseseisvate arvelduste piiritlemise plaanide koostamine; ning</w:t>
            </w:r>
          </w:p>
          <w:p w14:paraId="7C8ED733"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5. iseseisvate kavade koostamine munitsipaalteede kirjeldamiseks.</w:t>
            </w:r>
          </w:p>
          <w:p w14:paraId="296F96E0" w14:textId="7EFB8CF9" w:rsidR="0029559B" w:rsidRPr="00AD4052" w:rsidRDefault="0029559B" w:rsidP="0029559B">
            <w:pPr>
              <w:spacing w:after="0" w:line="240" w:lineRule="auto"/>
              <w:rPr>
                <w:rFonts w:eastAsia="Times New Roman" w:cs="Calibri"/>
                <w:noProof/>
                <w:color w:val="006100"/>
                <w:sz w:val="18"/>
                <w:szCs w:val="18"/>
              </w:rPr>
            </w:pPr>
          </w:p>
        </w:tc>
      </w:tr>
      <w:tr w:rsidR="0029559B" w:rsidRPr="003B132A" w14:paraId="3A2BCA32" w14:textId="77777777" w:rsidTr="00746BE8">
        <w:trPr>
          <w:trHeight w:val="313"/>
          <w:tblHeader/>
          <w:jc w:val="center"/>
        </w:trPr>
        <w:tc>
          <w:tcPr>
            <w:tcW w:w="1116" w:type="dxa"/>
            <w:shd w:val="clear" w:color="auto" w:fill="C6EFCE"/>
            <w:noWrap/>
          </w:tcPr>
          <w:p w14:paraId="30D02FF1"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29</w:t>
            </w:r>
          </w:p>
        </w:tc>
        <w:tc>
          <w:tcPr>
            <w:tcW w:w="1917" w:type="dxa"/>
            <w:shd w:val="clear" w:color="auto" w:fill="C6EFCE"/>
            <w:noWrap/>
          </w:tcPr>
          <w:p w14:paraId="3DCBFD21"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2-1.2. Renoveerimine – 16879_Linnaarengu kavade ettevalmistamine linnapoliitika reformi elluviimiseks</w:t>
            </w:r>
          </w:p>
        </w:tc>
        <w:tc>
          <w:tcPr>
            <w:tcW w:w="993" w:type="dxa"/>
            <w:shd w:val="clear" w:color="auto" w:fill="C6EFCE"/>
            <w:noWrap/>
          </w:tcPr>
          <w:p w14:paraId="55BAA6E4" w14:textId="135C252B" w:rsidR="0029559B" w:rsidRPr="00E02B5D" w:rsidRDefault="00D74410" w:rsidP="0029559B">
            <w:pPr>
              <w:spacing w:after="0" w:line="240" w:lineRule="auto"/>
              <w:rPr>
                <w:rFonts w:eastAsia="Times New Roman" w:cs="Calibri"/>
                <w:noProof/>
                <w:color w:val="006100"/>
                <w:sz w:val="18"/>
                <w:szCs w:val="18"/>
              </w:rPr>
            </w:pPr>
            <w:r>
              <w:rPr>
                <w:noProof/>
                <w:color w:val="006100"/>
                <w:sz w:val="18"/>
              </w:rPr>
              <w:t>Eesmärk</w:t>
            </w:r>
          </w:p>
        </w:tc>
        <w:tc>
          <w:tcPr>
            <w:tcW w:w="1698" w:type="dxa"/>
            <w:shd w:val="clear" w:color="auto" w:fill="C6EFCE"/>
            <w:noWrap/>
          </w:tcPr>
          <w:p w14:paraId="74A152BD"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Linnaplaneerimise lõpuleviimine</w:t>
            </w:r>
          </w:p>
        </w:tc>
        <w:tc>
          <w:tcPr>
            <w:tcW w:w="1643" w:type="dxa"/>
            <w:shd w:val="clear" w:color="auto" w:fill="C6EFCE"/>
            <w:noWrap/>
          </w:tcPr>
          <w:p w14:paraId="6BF01BA9" w14:textId="589DB582" w:rsidR="0029559B" w:rsidRPr="001101FB" w:rsidRDefault="003B132A" w:rsidP="0029559B">
            <w:pPr>
              <w:spacing w:after="0" w:line="240" w:lineRule="auto"/>
              <w:rPr>
                <w:rFonts w:eastAsia="Times New Roman" w:cs="Calibri"/>
                <w:noProof/>
                <w:color w:val="006100"/>
                <w:sz w:val="18"/>
                <w:szCs w:val="18"/>
              </w:rPr>
            </w:pPr>
            <w:r>
              <w:rPr>
                <w:noProof/>
                <w:color w:val="006100"/>
                <w:sz w:val="18"/>
              </w:rPr>
              <w:t>Kohalike linnaplaneeringute, arendusõiguste ülekandetsoonide, asulate piiritlemise, munitsipaalteede iseloomustamise ja linna eriplaneeringute lõpuleviimine</w:t>
            </w:r>
          </w:p>
        </w:tc>
        <w:tc>
          <w:tcPr>
            <w:tcW w:w="1125" w:type="dxa"/>
            <w:shd w:val="clear" w:color="auto" w:fill="C6EFCE"/>
            <w:noWrap/>
          </w:tcPr>
          <w:p w14:paraId="75621E19" w14:textId="510AAE13" w:rsidR="0029559B" w:rsidRPr="00AD4052" w:rsidRDefault="0029559B" w:rsidP="0029559B">
            <w:pPr>
              <w:spacing w:after="0" w:line="240" w:lineRule="auto"/>
              <w:rPr>
                <w:rFonts w:eastAsia="Times New Roman" w:cs="Calibri"/>
                <w:noProof/>
                <w:color w:val="006100"/>
                <w:sz w:val="18"/>
                <w:szCs w:val="18"/>
              </w:rPr>
            </w:pPr>
          </w:p>
        </w:tc>
        <w:tc>
          <w:tcPr>
            <w:tcW w:w="1281" w:type="dxa"/>
            <w:shd w:val="clear" w:color="auto" w:fill="C6EFCE"/>
            <w:noWrap/>
          </w:tcPr>
          <w:p w14:paraId="5029A116" w14:textId="21C4E55F" w:rsidR="0029559B" w:rsidRPr="00AD4052" w:rsidRDefault="0029559B" w:rsidP="0029559B">
            <w:pPr>
              <w:spacing w:after="0" w:line="240" w:lineRule="auto"/>
              <w:rPr>
                <w:rFonts w:eastAsia="Times New Roman" w:cs="Calibri"/>
                <w:noProof/>
                <w:color w:val="006100"/>
                <w:sz w:val="18"/>
                <w:szCs w:val="18"/>
              </w:rPr>
            </w:pPr>
          </w:p>
        </w:tc>
        <w:tc>
          <w:tcPr>
            <w:tcW w:w="906" w:type="dxa"/>
            <w:shd w:val="clear" w:color="auto" w:fill="C6EFCE"/>
            <w:noWrap/>
          </w:tcPr>
          <w:p w14:paraId="6815BA82" w14:textId="19A03885" w:rsidR="0029559B" w:rsidRPr="00AD4052" w:rsidRDefault="0029559B" w:rsidP="0029559B">
            <w:pPr>
              <w:spacing w:after="0" w:line="240" w:lineRule="auto"/>
              <w:rPr>
                <w:rFonts w:eastAsia="Times New Roman" w:cs="Calibri"/>
                <w:noProof/>
                <w:color w:val="006100"/>
                <w:sz w:val="18"/>
                <w:szCs w:val="18"/>
              </w:rPr>
            </w:pPr>
          </w:p>
        </w:tc>
        <w:tc>
          <w:tcPr>
            <w:tcW w:w="851" w:type="dxa"/>
            <w:shd w:val="clear" w:color="auto" w:fill="C6EFCE"/>
            <w:noWrap/>
          </w:tcPr>
          <w:p w14:paraId="24A0EE30"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4CDE5C90"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2025</w:t>
            </w:r>
          </w:p>
        </w:tc>
        <w:tc>
          <w:tcPr>
            <w:tcW w:w="3491" w:type="dxa"/>
            <w:shd w:val="clear" w:color="auto" w:fill="C6EFCE"/>
            <w:noWrap/>
          </w:tcPr>
          <w:p w14:paraId="1C031B4B" w14:textId="77777777" w:rsidR="0029559B" w:rsidRDefault="00066352" w:rsidP="0029559B">
            <w:pPr>
              <w:spacing w:after="0" w:line="240" w:lineRule="auto"/>
              <w:rPr>
                <w:noProof/>
                <w:color w:val="006100"/>
                <w:sz w:val="18"/>
                <w:szCs w:val="18"/>
              </w:rPr>
            </w:pPr>
            <w:r>
              <w:rPr>
                <w:noProof/>
                <w:color w:val="006100"/>
                <w:sz w:val="18"/>
              </w:rPr>
              <w:t xml:space="preserve"> Keskkonna- ja energeetikaministeerium annab välja sertifikaadi järgmiste uuringute lõpuleviimiseks: kohalikud linnaplaneeringud 700 omavalitsusüksuses; arenguõiguste ülekandetsoonid 50 omavalitsusüksuses; asulate piiritlemine 50 munitsipaalüksuses;  120 munitsipaalüksuse munitsipaalteede iseloomustus; ning 5 linnade erikava.</w:t>
            </w:r>
          </w:p>
          <w:p w14:paraId="6F7526E5" w14:textId="77777777" w:rsidR="00855F6A" w:rsidRPr="00AD4052" w:rsidRDefault="00855F6A" w:rsidP="00855F6A">
            <w:pPr>
              <w:rPr>
                <w:rFonts w:eastAsia="Times New Roman" w:cs="Calibri"/>
                <w:noProof/>
                <w:sz w:val="18"/>
                <w:szCs w:val="18"/>
              </w:rPr>
            </w:pPr>
          </w:p>
          <w:p w14:paraId="56AF6D3D" w14:textId="77777777" w:rsidR="00855F6A" w:rsidRPr="00AD4052" w:rsidRDefault="00855F6A" w:rsidP="00855F6A">
            <w:pPr>
              <w:rPr>
                <w:rFonts w:eastAsia="Times New Roman" w:cs="Calibri"/>
                <w:noProof/>
                <w:sz w:val="18"/>
                <w:szCs w:val="18"/>
              </w:rPr>
            </w:pPr>
          </w:p>
          <w:p w14:paraId="1B24B5FC" w14:textId="77777777" w:rsidR="00855F6A" w:rsidRPr="00AD4052" w:rsidRDefault="00855F6A" w:rsidP="00855F6A">
            <w:pPr>
              <w:rPr>
                <w:rFonts w:eastAsia="Times New Roman" w:cs="Calibri"/>
                <w:noProof/>
                <w:sz w:val="18"/>
                <w:szCs w:val="18"/>
              </w:rPr>
            </w:pPr>
          </w:p>
          <w:p w14:paraId="72A7A000" w14:textId="77777777" w:rsidR="00855F6A" w:rsidRPr="00AD4052" w:rsidRDefault="00855F6A" w:rsidP="00855F6A">
            <w:pPr>
              <w:rPr>
                <w:rFonts w:eastAsia="Times New Roman" w:cs="Calibri"/>
                <w:noProof/>
                <w:sz w:val="18"/>
                <w:szCs w:val="18"/>
              </w:rPr>
            </w:pPr>
          </w:p>
          <w:p w14:paraId="7F2EEED0" w14:textId="77777777" w:rsidR="00855F6A" w:rsidRPr="00AD4052" w:rsidRDefault="00855F6A" w:rsidP="00855F6A">
            <w:pPr>
              <w:rPr>
                <w:rFonts w:eastAsia="Times New Roman" w:cs="Calibri"/>
                <w:noProof/>
                <w:sz w:val="18"/>
                <w:szCs w:val="18"/>
              </w:rPr>
            </w:pPr>
          </w:p>
          <w:p w14:paraId="1B4957FC" w14:textId="77777777" w:rsidR="00855F6A" w:rsidRPr="00AD4052" w:rsidRDefault="00855F6A" w:rsidP="00855F6A">
            <w:pPr>
              <w:rPr>
                <w:rFonts w:eastAsia="Times New Roman" w:cs="Calibri"/>
                <w:noProof/>
                <w:sz w:val="18"/>
                <w:szCs w:val="18"/>
              </w:rPr>
            </w:pPr>
          </w:p>
          <w:p w14:paraId="0991D1D7" w14:textId="253E1B98" w:rsidR="00855F6A" w:rsidRPr="00AD4052" w:rsidRDefault="00855F6A" w:rsidP="00855F6A">
            <w:pPr>
              <w:jc w:val="right"/>
              <w:rPr>
                <w:rFonts w:eastAsia="Times New Roman" w:cs="Calibri"/>
                <w:noProof/>
                <w:sz w:val="18"/>
                <w:szCs w:val="18"/>
              </w:rPr>
            </w:pPr>
          </w:p>
        </w:tc>
      </w:tr>
      <w:tr w:rsidR="006E0EA2" w:rsidRPr="003B132A" w14:paraId="5FCC29A6" w14:textId="77777777" w:rsidTr="00746BE8">
        <w:trPr>
          <w:trHeight w:val="313"/>
          <w:tblHeader/>
          <w:jc w:val="center"/>
        </w:trPr>
        <w:tc>
          <w:tcPr>
            <w:tcW w:w="1116" w:type="dxa"/>
            <w:shd w:val="clear" w:color="auto" w:fill="C6EFCE"/>
            <w:noWrap/>
          </w:tcPr>
          <w:p w14:paraId="3CF8B6A2"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30</w:t>
            </w:r>
          </w:p>
        </w:tc>
        <w:tc>
          <w:tcPr>
            <w:tcW w:w="1917" w:type="dxa"/>
            <w:shd w:val="clear" w:color="auto" w:fill="C6EFCE"/>
            <w:noWrap/>
          </w:tcPr>
          <w:p w14:paraId="2C832FDB"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2-1.2. Renoveerimine – 16894_Taastuvate energiaallikate, tööstuse, turismi ja vesiviljeluse uue ruumilise planeerimise kehtestamine</w:t>
            </w:r>
          </w:p>
        </w:tc>
        <w:tc>
          <w:tcPr>
            <w:tcW w:w="993" w:type="dxa"/>
            <w:shd w:val="clear" w:color="auto" w:fill="C6EFCE"/>
            <w:noWrap/>
          </w:tcPr>
          <w:p w14:paraId="3FCFB794"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 xml:space="preserve"> Eesmärk</w:t>
            </w:r>
          </w:p>
        </w:tc>
        <w:tc>
          <w:tcPr>
            <w:tcW w:w="1698" w:type="dxa"/>
            <w:shd w:val="clear" w:color="auto" w:fill="C6EFCE"/>
            <w:noWrap/>
          </w:tcPr>
          <w:p w14:paraId="1EC28C7F"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Ruumiliste eriraamistike vastuvõtmine</w:t>
            </w:r>
          </w:p>
        </w:tc>
        <w:tc>
          <w:tcPr>
            <w:tcW w:w="1643" w:type="dxa"/>
            <w:shd w:val="clear" w:color="auto" w:fill="C6EFCE"/>
            <w:noWrap/>
          </w:tcPr>
          <w:p w14:paraId="2894B4E9"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Taastuvate energiaallikate, turismi, tööstuse ja vesiviljeluse nelja ruumilise eriraamistiku vastuvõtmine</w:t>
            </w:r>
          </w:p>
        </w:tc>
        <w:tc>
          <w:tcPr>
            <w:tcW w:w="1125" w:type="dxa"/>
            <w:shd w:val="clear" w:color="auto" w:fill="C6EFCE"/>
            <w:noWrap/>
          </w:tcPr>
          <w:p w14:paraId="6BED2123" w14:textId="77777777" w:rsidR="0029559B" w:rsidRPr="00AD4052" w:rsidRDefault="0029559B" w:rsidP="0029559B">
            <w:pPr>
              <w:spacing w:after="0" w:line="240" w:lineRule="auto"/>
              <w:rPr>
                <w:rFonts w:eastAsia="Times New Roman" w:cs="Calibri"/>
                <w:noProof/>
                <w:color w:val="006100"/>
                <w:sz w:val="18"/>
                <w:szCs w:val="18"/>
                <w:lang w:eastAsia="en-GB"/>
              </w:rPr>
            </w:pPr>
          </w:p>
        </w:tc>
        <w:tc>
          <w:tcPr>
            <w:tcW w:w="1281" w:type="dxa"/>
            <w:shd w:val="clear" w:color="auto" w:fill="C6EFCE"/>
            <w:noWrap/>
          </w:tcPr>
          <w:p w14:paraId="031D3B66" w14:textId="77777777" w:rsidR="0029559B" w:rsidRPr="00AD4052" w:rsidRDefault="0029559B" w:rsidP="0029559B">
            <w:pPr>
              <w:spacing w:after="0" w:line="240" w:lineRule="auto"/>
              <w:rPr>
                <w:rFonts w:eastAsia="Times New Roman" w:cs="Calibri"/>
                <w:noProof/>
                <w:color w:val="006100"/>
                <w:sz w:val="18"/>
                <w:szCs w:val="18"/>
                <w:lang w:eastAsia="en-GB"/>
              </w:rPr>
            </w:pPr>
          </w:p>
        </w:tc>
        <w:tc>
          <w:tcPr>
            <w:tcW w:w="906" w:type="dxa"/>
            <w:shd w:val="clear" w:color="auto" w:fill="C6EFCE"/>
            <w:noWrap/>
          </w:tcPr>
          <w:p w14:paraId="137C58F4" w14:textId="77777777" w:rsidR="0029559B" w:rsidRPr="00AD4052" w:rsidRDefault="0029559B" w:rsidP="0029559B">
            <w:pPr>
              <w:spacing w:after="0" w:line="240" w:lineRule="auto"/>
              <w:rPr>
                <w:rFonts w:eastAsia="Times New Roman" w:cs="Calibri"/>
                <w:noProof/>
                <w:color w:val="006100"/>
                <w:sz w:val="18"/>
                <w:szCs w:val="18"/>
                <w:lang w:eastAsia="en-GB"/>
              </w:rPr>
            </w:pPr>
          </w:p>
        </w:tc>
        <w:tc>
          <w:tcPr>
            <w:tcW w:w="851" w:type="dxa"/>
            <w:shd w:val="clear" w:color="auto" w:fill="C6EFCE"/>
            <w:noWrap/>
          </w:tcPr>
          <w:p w14:paraId="246D3228"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0C29E4C7"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2025</w:t>
            </w:r>
          </w:p>
        </w:tc>
        <w:tc>
          <w:tcPr>
            <w:tcW w:w="3491" w:type="dxa"/>
            <w:shd w:val="clear" w:color="auto" w:fill="C6EFCE"/>
            <w:noWrap/>
          </w:tcPr>
          <w:p w14:paraId="3E3A5B45"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Keskkonnaministeerium võttis vastu neli spetsiaalset ruumilist raamistikku taastuvate energiaallikate, turismi, tööstuse ja vesiviljeluse kohta.</w:t>
            </w:r>
          </w:p>
        </w:tc>
      </w:tr>
      <w:tr w:rsidR="006E0EA2" w:rsidRPr="003B132A" w14:paraId="52C131EB" w14:textId="77777777" w:rsidTr="00746BE8">
        <w:trPr>
          <w:trHeight w:val="313"/>
          <w:tblHeader/>
          <w:jc w:val="center"/>
        </w:trPr>
        <w:tc>
          <w:tcPr>
            <w:tcW w:w="1116" w:type="dxa"/>
            <w:shd w:val="clear" w:color="auto" w:fill="C6EFCE"/>
            <w:noWrap/>
          </w:tcPr>
          <w:p w14:paraId="3666BF5D"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31</w:t>
            </w:r>
          </w:p>
        </w:tc>
        <w:tc>
          <w:tcPr>
            <w:tcW w:w="1917" w:type="dxa"/>
            <w:shd w:val="clear" w:color="auto" w:fill="C6EFCE"/>
            <w:noWrap/>
          </w:tcPr>
          <w:p w14:paraId="1EC82881"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2-1.2. Renoveerimine – 16891_Uue mereala ruumilise planeerimise kehtestamine</w:t>
            </w:r>
          </w:p>
        </w:tc>
        <w:tc>
          <w:tcPr>
            <w:tcW w:w="993" w:type="dxa"/>
            <w:shd w:val="clear" w:color="auto" w:fill="C6EFCE"/>
            <w:noWrap/>
          </w:tcPr>
          <w:p w14:paraId="7FC6AEE8"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Eesmärk</w:t>
            </w:r>
          </w:p>
          <w:p w14:paraId="0430F684" w14:textId="77777777" w:rsidR="0029559B" w:rsidRPr="00E02B5D" w:rsidRDefault="0029559B" w:rsidP="0029559B">
            <w:pPr>
              <w:spacing w:after="0" w:line="240" w:lineRule="auto"/>
              <w:rPr>
                <w:rFonts w:eastAsia="Times New Roman" w:cs="Calibri"/>
                <w:noProof/>
                <w:color w:val="006100"/>
                <w:sz w:val="18"/>
                <w:szCs w:val="18"/>
                <w:lang w:val="en-GB" w:eastAsia="en-GB"/>
              </w:rPr>
            </w:pPr>
          </w:p>
        </w:tc>
        <w:tc>
          <w:tcPr>
            <w:tcW w:w="1698" w:type="dxa"/>
            <w:shd w:val="clear" w:color="auto" w:fill="C6EFCE"/>
            <w:noWrap/>
          </w:tcPr>
          <w:p w14:paraId="656DDFB9"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Merendusstrateegia vastuvõtmine</w:t>
            </w:r>
          </w:p>
        </w:tc>
        <w:tc>
          <w:tcPr>
            <w:tcW w:w="1643" w:type="dxa"/>
            <w:shd w:val="clear" w:color="auto" w:fill="C6EFCE"/>
            <w:noWrap/>
          </w:tcPr>
          <w:p w14:paraId="432C97C5"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Vastu võeti uus mereala ruumiline strateegia</w:t>
            </w:r>
          </w:p>
        </w:tc>
        <w:tc>
          <w:tcPr>
            <w:tcW w:w="1125" w:type="dxa"/>
            <w:shd w:val="clear" w:color="auto" w:fill="C6EFCE"/>
            <w:noWrap/>
          </w:tcPr>
          <w:p w14:paraId="20C7390F" w14:textId="77777777" w:rsidR="0029559B" w:rsidRPr="00AD4052" w:rsidRDefault="0029559B" w:rsidP="0029559B">
            <w:pPr>
              <w:spacing w:after="0" w:line="240" w:lineRule="auto"/>
              <w:rPr>
                <w:rFonts w:eastAsia="Times New Roman" w:cs="Calibri"/>
                <w:noProof/>
                <w:color w:val="006100"/>
                <w:sz w:val="18"/>
                <w:szCs w:val="18"/>
                <w:lang w:val="it-IT" w:eastAsia="en-GB"/>
              </w:rPr>
            </w:pPr>
          </w:p>
        </w:tc>
        <w:tc>
          <w:tcPr>
            <w:tcW w:w="1281" w:type="dxa"/>
            <w:shd w:val="clear" w:color="auto" w:fill="C6EFCE"/>
            <w:noWrap/>
          </w:tcPr>
          <w:p w14:paraId="15E4BBC9" w14:textId="77777777" w:rsidR="0029559B" w:rsidRPr="00AD4052" w:rsidRDefault="0029559B" w:rsidP="0029559B">
            <w:pPr>
              <w:spacing w:after="0" w:line="240" w:lineRule="auto"/>
              <w:rPr>
                <w:rFonts w:eastAsia="Times New Roman" w:cs="Calibri"/>
                <w:noProof/>
                <w:color w:val="006100"/>
                <w:sz w:val="18"/>
                <w:szCs w:val="18"/>
                <w:lang w:val="it-IT" w:eastAsia="en-GB"/>
              </w:rPr>
            </w:pPr>
          </w:p>
        </w:tc>
        <w:tc>
          <w:tcPr>
            <w:tcW w:w="906" w:type="dxa"/>
            <w:shd w:val="clear" w:color="auto" w:fill="C6EFCE"/>
            <w:noWrap/>
          </w:tcPr>
          <w:p w14:paraId="0304BE81" w14:textId="77777777" w:rsidR="0029559B" w:rsidRPr="00AD4052" w:rsidRDefault="0029559B" w:rsidP="0029559B">
            <w:pPr>
              <w:spacing w:after="0" w:line="240" w:lineRule="auto"/>
              <w:rPr>
                <w:rFonts w:eastAsia="Times New Roman" w:cs="Calibri"/>
                <w:noProof/>
                <w:color w:val="006100"/>
                <w:sz w:val="18"/>
                <w:szCs w:val="18"/>
                <w:lang w:val="it-IT" w:eastAsia="en-GB"/>
              </w:rPr>
            </w:pPr>
          </w:p>
        </w:tc>
        <w:tc>
          <w:tcPr>
            <w:tcW w:w="851" w:type="dxa"/>
            <w:shd w:val="clear" w:color="auto" w:fill="C6EFCE"/>
            <w:noWrap/>
          </w:tcPr>
          <w:p w14:paraId="680CFBFB"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552BB0F7"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2025</w:t>
            </w:r>
          </w:p>
        </w:tc>
        <w:tc>
          <w:tcPr>
            <w:tcW w:w="3491" w:type="dxa"/>
            <w:shd w:val="clear" w:color="auto" w:fill="C6EFCE"/>
            <w:noWrap/>
          </w:tcPr>
          <w:p w14:paraId="0830C9FA" w14:textId="77777777" w:rsidR="0029559B" w:rsidRPr="00E02B5D" w:rsidRDefault="0029559B" w:rsidP="0029559B">
            <w:pPr>
              <w:spacing w:after="0" w:line="240" w:lineRule="auto"/>
              <w:rPr>
                <w:rFonts w:eastAsia="Times New Roman" w:cs="Calibri"/>
                <w:noProof/>
                <w:color w:val="006100"/>
                <w:sz w:val="18"/>
                <w:szCs w:val="18"/>
              </w:rPr>
            </w:pPr>
            <w:r>
              <w:rPr>
                <w:noProof/>
                <w:color w:val="006100"/>
                <w:sz w:val="18"/>
              </w:rPr>
              <w:t xml:space="preserve">Mereruumi strateegia vastuvõtmine keskkonna- ja energeetikaministeeriumis. </w:t>
            </w:r>
          </w:p>
        </w:tc>
      </w:tr>
    </w:tbl>
    <w:p w14:paraId="58A4E3C1" w14:textId="77777777" w:rsidR="00645BC7" w:rsidRPr="00AD4052" w:rsidRDefault="00645BC7" w:rsidP="00645BC7">
      <w:pPr>
        <w:spacing w:before="120" w:after="120" w:line="240" w:lineRule="auto"/>
        <w:ind w:left="709"/>
        <w:rPr>
          <w:rFonts w:ascii="Times New Roman" w:hAnsi="Times New Roman" w:cs="Times New Roman"/>
          <w:noProof/>
          <w:sz w:val="24"/>
        </w:rPr>
      </w:pPr>
    </w:p>
    <w:p w14:paraId="48C245B8" w14:textId="77777777" w:rsidR="00645BC7" w:rsidRPr="00E02B5D" w:rsidRDefault="00645BC7"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2: Ettevõtete ja üldkasutatavate hoonete energiatõhusamaks muutmine</w:t>
      </w:r>
    </w:p>
    <w:p w14:paraId="5FF97F2E"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Sellesse rühma kuuluvad järgmised meetmed:</w:t>
      </w:r>
    </w:p>
    <w:p w14:paraId="0190F1AA"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Energeetika ja ettevõtlus (ID: 16874)</w:t>
      </w:r>
    </w:p>
    <w:p w14:paraId="3093B417"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Avaliku sektori hoonete ja avaliku sektori asutuste energiatõhususe suurendamine (ID: 16876)</w:t>
      </w:r>
    </w:p>
    <w:p w14:paraId="2D70AC13"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Energiaostuvõimetuse tegevuskava (ID: 16920)</w:t>
      </w:r>
    </w:p>
    <w:tbl>
      <w:tblPr>
        <w:tblpPr w:leftFromText="180" w:rightFromText="180" w:vertAnchor="text" w:tblpXSpec="center" w:tblpY="1"/>
        <w:tblOverlap w:val="never"/>
        <w:tblW w:w="15417" w:type="dxa"/>
        <w:tblLayout w:type="fixed"/>
        <w:tblLook w:val="04A0" w:firstRow="1" w:lastRow="0" w:firstColumn="1" w:lastColumn="0" w:noHBand="0" w:noVBand="1"/>
      </w:tblPr>
      <w:tblGrid>
        <w:gridCol w:w="959"/>
        <w:gridCol w:w="1815"/>
        <w:gridCol w:w="1020"/>
        <w:gridCol w:w="1134"/>
        <w:gridCol w:w="1417"/>
        <w:gridCol w:w="1091"/>
        <w:gridCol w:w="999"/>
        <w:gridCol w:w="985"/>
        <w:gridCol w:w="894"/>
        <w:gridCol w:w="709"/>
        <w:gridCol w:w="4394"/>
      </w:tblGrid>
      <w:tr w:rsidR="007B4D63" w:rsidRPr="003B132A" w14:paraId="5B250EA5" w14:textId="77777777" w:rsidTr="008AECE0">
        <w:trPr>
          <w:trHeight w:val="939"/>
          <w:tblHeader/>
        </w:trPr>
        <w:tc>
          <w:tcPr>
            <w:tcW w:w="9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863273"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4A4A4A"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10FF9B"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134" w:type="dxa"/>
            <w:vMerge w:val="restart"/>
            <w:tcBorders>
              <w:top w:val="single" w:sz="4" w:space="0" w:color="auto"/>
              <w:left w:val="nil"/>
              <w:bottom w:val="single" w:sz="4" w:space="0" w:color="auto"/>
              <w:right w:val="single" w:sz="4" w:space="0" w:color="auto"/>
            </w:tcBorders>
            <w:shd w:val="clear" w:color="auto" w:fill="BDD7EE"/>
            <w:vAlign w:val="center"/>
            <w:hideMark/>
          </w:tcPr>
          <w:p w14:paraId="2D2AA790"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6B1960"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075" w:type="dxa"/>
            <w:gridSpan w:val="3"/>
            <w:tcBorders>
              <w:top w:val="single" w:sz="4" w:space="0" w:color="auto"/>
              <w:left w:val="nil"/>
              <w:bottom w:val="single" w:sz="4" w:space="0" w:color="auto"/>
              <w:right w:val="single" w:sz="4" w:space="0" w:color="auto"/>
            </w:tcBorders>
            <w:shd w:val="clear" w:color="auto" w:fill="BDD7EE"/>
            <w:vAlign w:val="center"/>
            <w:hideMark/>
          </w:tcPr>
          <w:p w14:paraId="1FB95E74"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603" w:type="dxa"/>
            <w:gridSpan w:val="2"/>
            <w:tcBorders>
              <w:top w:val="single" w:sz="4" w:space="0" w:color="auto"/>
              <w:left w:val="nil"/>
              <w:bottom w:val="single" w:sz="4" w:space="0" w:color="auto"/>
              <w:right w:val="single" w:sz="4" w:space="0" w:color="auto"/>
            </w:tcBorders>
            <w:shd w:val="clear" w:color="auto" w:fill="BDD7EE"/>
            <w:vAlign w:val="center"/>
            <w:hideMark/>
          </w:tcPr>
          <w:p w14:paraId="2569552B"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4F521F8"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6E0EA2" w:rsidRPr="00E02B5D" w14:paraId="6C09A7B2" w14:textId="77777777" w:rsidTr="00855F6A">
        <w:trPr>
          <w:trHeight w:val="10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7AFAAD5"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69396D84"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B2B4D5F"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442F59"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D92A24"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09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F32ABDB"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9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5F79EF1"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8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79947BD"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9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61DC60"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B5029FD"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D67A3F4" w14:textId="77777777" w:rsidR="00645BC7" w:rsidRPr="00E02B5D" w:rsidRDefault="00645BC7" w:rsidP="00D00694">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3D63A5B2" w14:textId="77777777" w:rsidTr="00855F6A">
        <w:trPr>
          <w:trHeight w:val="313"/>
        </w:trPr>
        <w:tc>
          <w:tcPr>
            <w:tcW w:w="959" w:type="dxa"/>
            <w:tcBorders>
              <w:top w:val="single" w:sz="4" w:space="0" w:color="auto"/>
              <w:left w:val="single" w:sz="4" w:space="0" w:color="auto"/>
              <w:bottom w:val="single" w:sz="4" w:space="0" w:color="auto"/>
              <w:right w:val="single" w:sz="4" w:space="0" w:color="auto"/>
            </w:tcBorders>
            <w:shd w:val="clear" w:color="auto" w:fill="C6EFCE"/>
            <w:noWrap/>
          </w:tcPr>
          <w:p w14:paraId="4973529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32</w:t>
            </w:r>
          </w:p>
        </w:tc>
        <w:tc>
          <w:tcPr>
            <w:tcW w:w="1815" w:type="dxa"/>
            <w:tcBorders>
              <w:top w:val="single" w:sz="4" w:space="0" w:color="auto"/>
              <w:left w:val="nil"/>
              <w:bottom w:val="single" w:sz="4" w:space="0" w:color="auto"/>
              <w:right w:val="single" w:sz="4" w:space="0" w:color="auto"/>
            </w:tcBorders>
            <w:shd w:val="clear" w:color="auto" w:fill="C6EFCE"/>
            <w:noWrap/>
          </w:tcPr>
          <w:p w14:paraId="68357A7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16920_Energiaostuvõimetuse tegevuskava</w:t>
            </w:r>
          </w:p>
        </w:tc>
        <w:tc>
          <w:tcPr>
            <w:tcW w:w="1020" w:type="dxa"/>
            <w:tcBorders>
              <w:top w:val="single" w:sz="4" w:space="0" w:color="auto"/>
              <w:left w:val="nil"/>
              <w:bottom w:val="single" w:sz="4" w:space="0" w:color="auto"/>
              <w:right w:val="single" w:sz="4" w:space="0" w:color="auto"/>
            </w:tcBorders>
            <w:shd w:val="clear" w:color="auto" w:fill="C6EFCE"/>
            <w:noWrap/>
          </w:tcPr>
          <w:p w14:paraId="66A75BB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134" w:type="dxa"/>
            <w:tcBorders>
              <w:top w:val="single" w:sz="4" w:space="0" w:color="auto"/>
              <w:left w:val="nil"/>
              <w:bottom w:val="single" w:sz="4" w:space="0" w:color="auto"/>
              <w:right w:val="single" w:sz="4" w:space="0" w:color="auto"/>
            </w:tcBorders>
            <w:shd w:val="clear" w:color="auto" w:fill="C6EFCE"/>
            <w:noWrap/>
          </w:tcPr>
          <w:p w14:paraId="3D75DEA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Kütteostuvõimetus – tegevuskava vastuvõtmine</w:t>
            </w:r>
          </w:p>
          <w:p w14:paraId="6DEAC950"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1417" w:type="dxa"/>
            <w:tcBorders>
              <w:top w:val="single" w:sz="4" w:space="0" w:color="auto"/>
              <w:left w:val="nil"/>
              <w:bottom w:val="single" w:sz="4" w:space="0" w:color="auto"/>
              <w:right w:val="single" w:sz="4" w:space="0" w:color="auto"/>
            </w:tcBorders>
            <w:shd w:val="clear" w:color="auto" w:fill="C6EFCE"/>
            <w:noWrap/>
          </w:tcPr>
          <w:p w14:paraId="6339E17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Keskkonna- ja energeetikaministeeriumi ministrite otsuse jõustumine.</w:t>
            </w:r>
          </w:p>
        </w:tc>
        <w:tc>
          <w:tcPr>
            <w:tcW w:w="1091" w:type="dxa"/>
            <w:tcBorders>
              <w:top w:val="single" w:sz="4" w:space="0" w:color="auto"/>
              <w:left w:val="nil"/>
              <w:bottom w:val="single" w:sz="4" w:space="0" w:color="auto"/>
              <w:right w:val="single" w:sz="4" w:space="0" w:color="auto"/>
            </w:tcBorders>
            <w:shd w:val="clear" w:color="auto" w:fill="C6EFCE"/>
            <w:noWrap/>
          </w:tcPr>
          <w:p w14:paraId="3E8AB518"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99" w:type="dxa"/>
            <w:tcBorders>
              <w:top w:val="single" w:sz="4" w:space="0" w:color="auto"/>
              <w:left w:val="nil"/>
              <w:bottom w:val="single" w:sz="4" w:space="0" w:color="auto"/>
              <w:right w:val="single" w:sz="4" w:space="0" w:color="auto"/>
            </w:tcBorders>
            <w:shd w:val="clear" w:color="auto" w:fill="C6EFCE"/>
            <w:noWrap/>
          </w:tcPr>
          <w:p w14:paraId="6A523C06"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85" w:type="dxa"/>
            <w:tcBorders>
              <w:top w:val="single" w:sz="4" w:space="0" w:color="auto"/>
              <w:left w:val="nil"/>
              <w:bottom w:val="single" w:sz="4" w:space="0" w:color="auto"/>
              <w:right w:val="single" w:sz="4" w:space="0" w:color="auto"/>
            </w:tcBorders>
            <w:shd w:val="clear" w:color="auto" w:fill="C6EFCE"/>
            <w:noWrap/>
          </w:tcPr>
          <w:p w14:paraId="6FD59801"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94" w:type="dxa"/>
            <w:tcBorders>
              <w:top w:val="single" w:sz="4" w:space="0" w:color="auto"/>
              <w:left w:val="nil"/>
              <w:bottom w:val="single" w:sz="4" w:space="0" w:color="auto"/>
              <w:right w:val="single" w:sz="4" w:space="0" w:color="auto"/>
            </w:tcBorders>
            <w:shd w:val="clear" w:color="auto" w:fill="C6EFCE"/>
            <w:noWrap/>
          </w:tcPr>
          <w:p w14:paraId="703558C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 kv</w:t>
            </w:r>
          </w:p>
        </w:tc>
        <w:tc>
          <w:tcPr>
            <w:tcW w:w="709" w:type="dxa"/>
            <w:tcBorders>
              <w:top w:val="single" w:sz="4" w:space="0" w:color="auto"/>
              <w:left w:val="nil"/>
              <w:bottom w:val="single" w:sz="4" w:space="0" w:color="auto"/>
              <w:right w:val="single" w:sz="4" w:space="0" w:color="auto"/>
            </w:tcBorders>
            <w:shd w:val="clear" w:color="auto" w:fill="C6EFCE"/>
            <w:noWrap/>
          </w:tcPr>
          <w:p w14:paraId="499C5C7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2021</w:t>
            </w:r>
          </w:p>
        </w:tc>
        <w:tc>
          <w:tcPr>
            <w:tcW w:w="4394" w:type="dxa"/>
            <w:tcBorders>
              <w:top w:val="single" w:sz="4" w:space="0" w:color="auto"/>
              <w:left w:val="nil"/>
              <w:bottom w:val="single" w:sz="4" w:space="0" w:color="auto"/>
              <w:right w:val="single" w:sz="4" w:space="0" w:color="auto"/>
            </w:tcBorders>
            <w:shd w:val="clear" w:color="auto" w:fill="C6EFCE"/>
            <w:noWrap/>
          </w:tcPr>
          <w:p w14:paraId="0E93BFF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Jõustub keskkonna- ja energeetikaministeeriumi ministrite otsus, millega võetakse vastu energiaostuvõimetuse tegevuskava, mis sisaldab kolme liiki poliitikameetmeid:</w:t>
            </w:r>
          </w:p>
          <w:p w14:paraId="5537F07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Teadlikkuse suurendamise ja teavitamise meetmed;</w:t>
            </w:r>
          </w:p>
          <w:p w14:paraId="5E111CF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Kütteostuvõimetute kodumajapidamiste lühiajalise kaitse meetmed, sealhulgas 1) kütteostuvõimetute kodumajapidamiste määratlemine konkreetsete kvantitatiivsete kriteeriumide abil ja 2) konkreetne protsess kütteostuvõimetuse arengu jälgimiseks ja hindamiseks kooskõlas tegevuskavas esitatud mehhanismiga ja kooskõlas asjakohaste ELi õigusaktidega; ning</w:t>
            </w:r>
          </w:p>
          <w:p w14:paraId="5190DC6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Rahastamismeetmed: rahastamismehhanismide loomine energiaostuvõimetute kodumajapidamiste ja muude konkreetsete elektritarbimise harjumustega sotsiaalsete rühmade elamute energia ajakohastamiseks. Nende finantsmeetmetega käsitletakse energiaostuvõimetuse küsimusi Kreekas, nagu on kirjeldatud riiklikus energia- ja kliimakavas.</w:t>
            </w:r>
          </w:p>
        </w:tc>
      </w:tr>
      <w:tr w:rsidR="00645BC7" w:rsidRPr="003B132A" w14:paraId="714C6CE9" w14:textId="77777777" w:rsidTr="008AECE0">
        <w:trPr>
          <w:trHeight w:val="313"/>
        </w:trPr>
        <w:tc>
          <w:tcPr>
            <w:tcW w:w="959" w:type="dxa"/>
            <w:tcBorders>
              <w:top w:val="nil"/>
              <w:left w:val="single" w:sz="4" w:space="0" w:color="auto"/>
              <w:bottom w:val="single" w:sz="4" w:space="0" w:color="auto"/>
              <w:right w:val="single" w:sz="4" w:space="0" w:color="auto"/>
            </w:tcBorders>
            <w:shd w:val="clear" w:color="auto" w:fill="C6EFCE"/>
            <w:noWrap/>
          </w:tcPr>
          <w:p w14:paraId="32D86E7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33</w:t>
            </w:r>
          </w:p>
        </w:tc>
        <w:tc>
          <w:tcPr>
            <w:tcW w:w="1815" w:type="dxa"/>
            <w:tcBorders>
              <w:top w:val="nil"/>
              <w:left w:val="nil"/>
              <w:bottom w:val="single" w:sz="4" w:space="0" w:color="auto"/>
              <w:right w:val="single" w:sz="4" w:space="0" w:color="auto"/>
            </w:tcBorders>
            <w:shd w:val="clear" w:color="auto" w:fill="C6EFCE"/>
            <w:noWrap/>
          </w:tcPr>
          <w:p w14:paraId="3411912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16874_Energeetika ja ettevõtlus</w:t>
            </w:r>
          </w:p>
        </w:tc>
        <w:tc>
          <w:tcPr>
            <w:tcW w:w="1020" w:type="dxa"/>
            <w:tcBorders>
              <w:top w:val="nil"/>
              <w:left w:val="nil"/>
              <w:bottom w:val="single" w:sz="4" w:space="0" w:color="auto"/>
              <w:right w:val="single" w:sz="4" w:space="0" w:color="auto"/>
            </w:tcBorders>
            <w:shd w:val="clear" w:color="auto" w:fill="C6EFCE"/>
            <w:noWrap/>
          </w:tcPr>
          <w:p w14:paraId="20FB916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134" w:type="dxa"/>
            <w:tcBorders>
              <w:top w:val="nil"/>
              <w:left w:val="nil"/>
              <w:bottom w:val="single" w:sz="4" w:space="0" w:color="auto"/>
              <w:right w:val="single" w:sz="4" w:space="0" w:color="auto"/>
            </w:tcBorders>
            <w:shd w:val="clear" w:color="auto" w:fill="C6EFCE"/>
            <w:noWrap/>
          </w:tcPr>
          <w:p w14:paraId="6E05709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Energiatõhususe erasektor – heakskiidetud taotlused</w:t>
            </w:r>
          </w:p>
        </w:tc>
        <w:tc>
          <w:tcPr>
            <w:tcW w:w="1417" w:type="dxa"/>
            <w:tcBorders>
              <w:top w:val="nil"/>
              <w:left w:val="nil"/>
              <w:bottom w:val="single" w:sz="4" w:space="0" w:color="auto"/>
              <w:right w:val="single" w:sz="4" w:space="0" w:color="auto"/>
            </w:tcBorders>
            <w:shd w:val="clear" w:color="auto" w:fill="C6EFCE"/>
            <w:noWrap/>
          </w:tcPr>
          <w:p w14:paraId="61BCFA5D" w14:textId="77777777" w:rsidR="00645BC7" w:rsidRPr="00E02B5D" w:rsidRDefault="000917AB" w:rsidP="000917AB">
            <w:pPr>
              <w:spacing w:after="0" w:line="240" w:lineRule="auto"/>
              <w:rPr>
                <w:rFonts w:eastAsia="Times New Roman" w:cs="Calibri"/>
                <w:noProof/>
                <w:color w:val="006100"/>
                <w:sz w:val="18"/>
                <w:szCs w:val="18"/>
              </w:rPr>
            </w:pPr>
            <w:r>
              <w:rPr>
                <w:noProof/>
                <w:color w:val="006100"/>
                <w:sz w:val="18"/>
              </w:rPr>
              <w:t>Erasektori üksustes valitud sekkumisteks esitatud taotluste heakskiitmine keskkonna- ja energeetikaministeeriumi poolt.</w:t>
            </w:r>
          </w:p>
        </w:tc>
        <w:tc>
          <w:tcPr>
            <w:tcW w:w="1091" w:type="dxa"/>
            <w:tcBorders>
              <w:top w:val="nil"/>
              <w:left w:val="nil"/>
              <w:bottom w:val="single" w:sz="4" w:space="0" w:color="auto"/>
              <w:right w:val="single" w:sz="4" w:space="0" w:color="auto"/>
            </w:tcBorders>
            <w:shd w:val="clear" w:color="auto" w:fill="C6EFCE"/>
            <w:noWrap/>
          </w:tcPr>
          <w:p w14:paraId="29DDB3E7"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14:paraId="394B70E5"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85" w:type="dxa"/>
            <w:tcBorders>
              <w:top w:val="nil"/>
              <w:left w:val="nil"/>
              <w:bottom w:val="single" w:sz="4" w:space="0" w:color="auto"/>
              <w:right w:val="single" w:sz="4" w:space="0" w:color="auto"/>
            </w:tcBorders>
            <w:shd w:val="clear" w:color="auto" w:fill="C6EFCE"/>
            <w:noWrap/>
          </w:tcPr>
          <w:p w14:paraId="1E36E213"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94" w:type="dxa"/>
            <w:tcBorders>
              <w:top w:val="nil"/>
              <w:left w:val="nil"/>
              <w:bottom w:val="single" w:sz="4" w:space="0" w:color="auto"/>
              <w:right w:val="single" w:sz="4" w:space="0" w:color="auto"/>
            </w:tcBorders>
            <w:shd w:val="clear" w:color="auto" w:fill="C6EFCE"/>
            <w:noWrap/>
          </w:tcPr>
          <w:p w14:paraId="3A8BC76C" w14:textId="77777777" w:rsidR="00645BC7" w:rsidRPr="00E02B5D" w:rsidRDefault="000917AB" w:rsidP="000917AB">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1F6E4FE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4394" w:type="dxa"/>
            <w:tcBorders>
              <w:top w:val="nil"/>
              <w:left w:val="nil"/>
              <w:bottom w:val="single" w:sz="4" w:space="0" w:color="auto"/>
              <w:right w:val="single" w:sz="4" w:space="0" w:color="auto"/>
            </w:tcBorders>
            <w:shd w:val="clear" w:color="auto" w:fill="C6EFCE"/>
            <w:noWrap/>
          </w:tcPr>
          <w:p w14:paraId="65FB35D0" w14:textId="79D24C54" w:rsidR="00645BC7" w:rsidRPr="00E02B5D" w:rsidRDefault="38C6ED78" w:rsidP="006256C9">
            <w:pPr>
              <w:spacing w:after="0" w:line="240" w:lineRule="auto"/>
              <w:rPr>
                <w:rFonts w:eastAsia="Times New Roman" w:cs="Calibri"/>
                <w:noProof/>
                <w:color w:val="006100"/>
                <w:sz w:val="18"/>
                <w:szCs w:val="18"/>
              </w:rPr>
            </w:pPr>
            <w:r>
              <w:rPr>
                <w:noProof/>
                <w:color w:val="006100"/>
                <w:sz w:val="18"/>
              </w:rPr>
              <w:t>Keskkonna- ja energeetikaministeeriumi heakskiit 3 500 erasektori üksuse rakendustele, millega tagatakse, et süsinikdioksiidi (CO</w:t>
            </w:r>
            <w:r>
              <w:rPr>
                <w:noProof/>
                <w:color w:val="006100"/>
                <w:sz w:val="18"/>
                <w:vertAlign w:val="subscript"/>
              </w:rPr>
              <w:t>2</w:t>
            </w:r>
            <w:r>
              <w:rPr>
                <w:noProof/>
                <w:color w:val="006100"/>
                <w:sz w:val="18"/>
              </w:rPr>
              <w:t>) heitkoguseid vähendatakse keskmiselt vähemalt 30 % võrreldes erasektori üksuste praeguse olukorraga (st seda võib kohaldada osaleva ettevõtte suhtes tervikuna, konkreetse üksiku seadme asendamise ja/või konkreetse(te) protsessi(de) asendamise suhtes), nagu on märgitud enne sekkumisi tehtud energiaauditites või muus sertifitseeritud teabes. Valitud projektid peavad vastama olulise kahju ärahoidmise tehnilistele suunistele (2021/C58/01), kasutades välistamisnimekirja ning nõuet järgida asjakohaseid ELi ja riiklikke keskkonnaalaseid õigusakte.</w:t>
            </w:r>
          </w:p>
        </w:tc>
      </w:tr>
      <w:tr w:rsidR="00645BC7" w:rsidRPr="003B132A" w14:paraId="4021B5AD" w14:textId="77777777" w:rsidTr="008AECE0">
        <w:trPr>
          <w:trHeight w:val="313"/>
        </w:trPr>
        <w:tc>
          <w:tcPr>
            <w:tcW w:w="959" w:type="dxa"/>
            <w:tcBorders>
              <w:top w:val="nil"/>
              <w:left w:val="single" w:sz="4" w:space="0" w:color="auto"/>
              <w:bottom w:val="single" w:sz="4" w:space="0" w:color="auto"/>
              <w:right w:val="single" w:sz="4" w:space="0" w:color="auto"/>
            </w:tcBorders>
            <w:shd w:val="clear" w:color="auto" w:fill="C6EFCE"/>
            <w:noWrap/>
          </w:tcPr>
          <w:p w14:paraId="1BFB2C9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34</w:t>
            </w:r>
          </w:p>
        </w:tc>
        <w:tc>
          <w:tcPr>
            <w:tcW w:w="1815" w:type="dxa"/>
            <w:tcBorders>
              <w:top w:val="nil"/>
              <w:left w:val="nil"/>
              <w:bottom w:val="single" w:sz="4" w:space="0" w:color="auto"/>
              <w:right w:val="single" w:sz="4" w:space="0" w:color="auto"/>
            </w:tcBorders>
            <w:shd w:val="clear" w:color="auto" w:fill="C6EFCE"/>
            <w:noWrap/>
          </w:tcPr>
          <w:p w14:paraId="0DEB7A8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2-1.2. Renoveerimine – 16876_Avaliku sektori hoonete energiatõhususe suurendamine  </w:t>
            </w:r>
          </w:p>
        </w:tc>
        <w:tc>
          <w:tcPr>
            <w:tcW w:w="1020" w:type="dxa"/>
            <w:tcBorders>
              <w:top w:val="nil"/>
              <w:left w:val="nil"/>
              <w:bottom w:val="single" w:sz="4" w:space="0" w:color="auto"/>
              <w:right w:val="single" w:sz="4" w:space="0" w:color="auto"/>
            </w:tcBorders>
            <w:shd w:val="clear" w:color="auto" w:fill="C6EFCE"/>
            <w:noWrap/>
          </w:tcPr>
          <w:p w14:paraId="1DC91BD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134" w:type="dxa"/>
            <w:tcBorders>
              <w:top w:val="nil"/>
              <w:left w:val="nil"/>
              <w:bottom w:val="single" w:sz="4" w:space="0" w:color="auto"/>
              <w:right w:val="single" w:sz="4" w:space="0" w:color="auto"/>
            </w:tcBorders>
            <w:shd w:val="clear" w:color="auto" w:fill="C6EFCE"/>
            <w:noWrap/>
          </w:tcPr>
          <w:p w14:paraId="473DA57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Üldkasutatavate hoonete energiatõhusus – heakskiidetud taotlused</w:t>
            </w:r>
          </w:p>
        </w:tc>
        <w:tc>
          <w:tcPr>
            <w:tcW w:w="1417" w:type="dxa"/>
            <w:tcBorders>
              <w:top w:val="nil"/>
              <w:left w:val="nil"/>
              <w:bottom w:val="single" w:sz="4" w:space="0" w:color="auto"/>
              <w:right w:val="single" w:sz="4" w:space="0" w:color="auto"/>
            </w:tcBorders>
            <w:shd w:val="clear" w:color="auto" w:fill="C6EFCE"/>
            <w:noWrap/>
          </w:tcPr>
          <w:p w14:paraId="23011C4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Keskkonna- ja energeetikaministeerium teatab heakskiidetud taotluste rahuldamisest avaliku sektori hoonetes.</w:t>
            </w:r>
          </w:p>
        </w:tc>
        <w:tc>
          <w:tcPr>
            <w:tcW w:w="1091" w:type="dxa"/>
            <w:tcBorders>
              <w:top w:val="nil"/>
              <w:left w:val="nil"/>
              <w:bottom w:val="single" w:sz="4" w:space="0" w:color="auto"/>
              <w:right w:val="single" w:sz="4" w:space="0" w:color="auto"/>
            </w:tcBorders>
            <w:shd w:val="clear" w:color="auto" w:fill="C6EFCE"/>
            <w:noWrap/>
          </w:tcPr>
          <w:p w14:paraId="7CA667B1"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14:paraId="16E4EF55"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85" w:type="dxa"/>
            <w:tcBorders>
              <w:top w:val="nil"/>
              <w:left w:val="nil"/>
              <w:bottom w:val="single" w:sz="4" w:space="0" w:color="auto"/>
              <w:right w:val="single" w:sz="4" w:space="0" w:color="auto"/>
            </w:tcBorders>
            <w:shd w:val="clear" w:color="auto" w:fill="C6EFCE"/>
            <w:noWrap/>
          </w:tcPr>
          <w:p w14:paraId="67BE576F"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94" w:type="dxa"/>
            <w:tcBorders>
              <w:top w:val="nil"/>
              <w:left w:val="nil"/>
              <w:bottom w:val="single" w:sz="4" w:space="0" w:color="auto"/>
              <w:right w:val="single" w:sz="4" w:space="0" w:color="auto"/>
            </w:tcBorders>
            <w:shd w:val="clear" w:color="auto" w:fill="C6EFCE"/>
            <w:noWrap/>
          </w:tcPr>
          <w:p w14:paraId="0C2D291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 kv</w:t>
            </w:r>
          </w:p>
        </w:tc>
        <w:tc>
          <w:tcPr>
            <w:tcW w:w="709" w:type="dxa"/>
            <w:tcBorders>
              <w:top w:val="nil"/>
              <w:left w:val="nil"/>
              <w:bottom w:val="single" w:sz="4" w:space="0" w:color="auto"/>
              <w:right w:val="single" w:sz="4" w:space="0" w:color="auto"/>
            </w:tcBorders>
            <w:shd w:val="clear" w:color="auto" w:fill="C6EFCE"/>
            <w:noWrap/>
          </w:tcPr>
          <w:p w14:paraId="3B8D790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4394" w:type="dxa"/>
            <w:tcBorders>
              <w:top w:val="nil"/>
              <w:left w:val="nil"/>
              <w:bottom w:val="single" w:sz="4" w:space="0" w:color="auto"/>
              <w:right w:val="single" w:sz="4" w:space="0" w:color="auto"/>
            </w:tcBorders>
            <w:shd w:val="clear" w:color="auto" w:fill="C6EFCE"/>
            <w:noWrap/>
          </w:tcPr>
          <w:p w14:paraId="3D689AB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150 avaliku sektori hoone taotluste heakskiitmine keskkonna- ja energeetikaministeeriumi poolt, tagades, et nende hoonete CO</w:t>
            </w:r>
            <w:r>
              <w:rPr>
                <w:noProof/>
                <w:color w:val="006100"/>
                <w:sz w:val="18"/>
                <w:vertAlign w:val="subscript"/>
              </w:rPr>
              <w:t>2</w:t>
            </w:r>
            <w:r>
              <w:rPr>
                <w:noProof/>
                <w:color w:val="006100"/>
                <w:sz w:val="18"/>
              </w:rPr>
              <w:t xml:space="preserve"> heide väheneb keskmiselt vähemalt 30 % võrreldes nende praeguse olukorraga (nagu on osutatud enne sekkumist tehtud energiaauditites). </w:t>
            </w:r>
          </w:p>
          <w:p w14:paraId="71045FE1" w14:textId="35491DEF" w:rsidR="00645BC7" w:rsidRPr="00AD4052" w:rsidRDefault="00645BC7" w:rsidP="00D00694">
            <w:pPr>
              <w:spacing w:after="0" w:line="240" w:lineRule="auto"/>
              <w:rPr>
                <w:rFonts w:eastAsia="Times New Roman" w:cs="Calibri"/>
                <w:noProof/>
                <w:color w:val="006100"/>
                <w:sz w:val="18"/>
                <w:szCs w:val="18"/>
              </w:rPr>
            </w:pPr>
          </w:p>
          <w:p w14:paraId="4FDF2F2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Avaliku sektori hoonete energiatõhususe suurendamise programmi jaoks on kehtestatud õigusraamistik, mis võimaldab sõlmida energiatõhususe lepinguid.</w:t>
            </w:r>
          </w:p>
        </w:tc>
      </w:tr>
      <w:tr w:rsidR="00645BC7" w:rsidRPr="003B132A" w14:paraId="23D87F28" w14:textId="77777777" w:rsidTr="008AECE0">
        <w:trPr>
          <w:trHeight w:val="313"/>
        </w:trPr>
        <w:tc>
          <w:tcPr>
            <w:tcW w:w="959" w:type="dxa"/>
            <w:tcBorders>
              <w:top w:val="nil"/>
              <w:left w:val="single" w:sz="4" w:space="0" w:color="auto"/>
              <w:bottom w:val="single" w:sz="4" w:space="0" w:color="auto"/>
              <w:right w:val="single" w:sz="4" w:space="0" w:color="auto"/>
            </w:tcBorders>
            <w:shd w:val="clear" w:color="auto" w:fill="C6EFCE"/>
            <w:noWrap/>
          </w:tcPr>
          <w:p w14:paraId="6843900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35</w:t>
            </w:r>
          </w:p>
        </w:tc>
        <w:tc>
          <w:tcPr>
            <w:tcW w:w="1815" w:type="dxa"/>
            <w:tcBorders>
              <w:top w:val="nil"/>
              <w:left w:val="nil"/>
              <w:bottom w:val="single" w:sz="4" w:space="0" w:color="auto"/>
              <w:right w:val="single" w:sz="4" w:space="0" w:color="auto"/>
            </w:tcBorders>
            <w:shd w:val="clear" w:color="auto" w:fill="C6EFCE"/>
            <w:noWrap/>
          </w:tcPr>
          <w:p w14:paraId="02F84E4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16876_Avaliku sektori hoonete energiatõhususe suurendamine</w:t>
            </w:r>
          </w:p>
        </w:tc>
        <w:tc>
          <w:tcPr>
            <w:tcW w:w="1020" w:type="dxa"/>
            <w:tcBorders>
              <w:top w:val="nil"/>
              <w:left w:val="nil"/>
              <w:bottom w:val="single" w:sz="4" w:space="0" w:color="auto"/>
              <w:right w:val="single" w:sz="4" w:space="0" w:color="auto"/>
            </w:tcBorders>
            <w:shd w:val="clear" w:color="auto" w:fill="C6EFCE"/>
            <w:noWrap/>
          </w:tcPr>
          <w:p w14:paraId="0ADEEFE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Siht</w:t>
            </w:r>
          </w:p>
        </w:tc>
        <w:tc>
          <w:tcPr>
            <w:tcW w:w="1134" w:type="dxa"/>
            <w:tcBorders>
              <w:top w:val="nil"/>
              <w:left w:val="nil"/>
              <w:bottom w:val="single" w:sz="4" w:space="0" w:color="auto"/>
              <w:right w:val="single" w:sz="4" w:space="0" w:color="auto"/>
            </w:tcBorders>
            <w:shd w:val="clear" w:color="auto" w:fill="C6EFCE"/>
            <w:noWrap/>
          </w:tcPr>
          <w:p w14:paraId="25A7288D" w14:textId="77777777" w:rsidR="00645BC7" w:rsidRPr="00E02B5D" w:rsidRDefault="00645BC7" w:rsidP="00111FB2">
            <w:pPr>
              <w:spacing w:after="0" w:line="240" w:lineRule="auto"/>
              <w:rPr>
                <w:rFonts w:eastAsia="Times New Roman" w:cs="Calibri"/>
                <w:noProof/>
                <w:color w:val="006100"/>
                <w:sz w:val="18"/>
                <w:szCs w:val="18"/>
              </w:rPr>
            </w:pPr>
            <w:r>
              <w:rPr>
                <w:noProof/>
                <w:color w:val="006100"/>
                <w:sz w:val="18"/>
              </w:rPr>
              <w:t>Valminud üldkasutatavad hooned ja tänavavalgustuspunktide ajakohastamine</w:t>
            </w:r>
          </w:p>
        </w:tc>
        <w:tc>
          <w:tcPr>
            <w:tcW w:w="1417" w:type="dxa"/>
            <w:tcBorders>
              <w:top w:val="nil"/>
              <w:left w:val="nil"/>
              <w:bottom w:val="single" w:sz="4" w:space="0" w:color="auto"/>
              <w:right w:val="single" w:sz="4" w:space="0" w:color="auto"/>
            </w:tcBorders>
            <w:shd w:val="clear" w:color="auto" w:fill="C6EFCE"/>
            <w:noWrap/>
          </w:tcPr>
          <w:p w14:paraId="18CB5E57"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1091" w:type="dxa"/>
            <w:tcBorders>
              <w:top w:val="nil"/>
              <w:left w:val="nil"/>
              <w:bottom w:val="single" w:sz="4" w:space="0" w:color="auto"/>
              <w:right w:val="single" w:sz="4" w:space="0" w:color="auto"/>
            </w:tcBorders>
            <w:shd w:val="clear" w:color="auto" w:fill="C6EFCE"/>
            <w:noWrap/>
          </w:tcPr>
          <w:p w14:paraId="4CEEF1E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Lõpuleviidud sekkumistega hoonete arv </w:t>
            </w:r>
          </w:p>
          <w:p w14:paraId="05C224C3" w14:textId="77777777" w:rsidR="00F16BE2" w:rsidRPr="00E02B5D" w:rsidRDefault="00111FB2" w:rsidP="00111FB2">
            <w:pPr>
              <w:spacing w:after="0" w:line="240" w:lineRule="auto"/>
              <w:rPr>
                <w:rFonts w:eastAsia="Times New Roman" w:cs="Calibri"/>
                <w:noProof/>
                <w:color w:val="006100"/>
                <w:sz w:val="18"/>
                <w:szCs w:val="18"/>
              </w:rPr>
            </w:pPr>
            <w:r>
              <w:rPr>
                <w:noProof/>
                <w:color w:val="006100"/>
                <w:sz w:val="18"/>
              </w:rPr>
              <w:t xml:space="preserve">Ajakohastatud tänavavalgustuspunktide arv </w:t>
            </w:r>
          </w:p>
        </w:tc>
        <w:tc>
          <w:tcPr>
            <w:tcW w:w="999" w:type="dxa"/>
            <w:tcBorders>
              <w:top w:val="nil"/>
              <w:left w:val="nil"/>
              <w:bottom w:val="single" w:sz="4" w:space="0" w:color="auto"/>
              <w:right w:val="single" w:sz="4" w:space="0" w:color="auto"/>
            </w:tcBorders>
            <w:shd w:val="clear" w:color="auto" w:fill="C6EFCE"/>
            <w:noWrap/>
          </w:tcPr>
          <w:p w14:paraId="04090AB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0</w:t>
            </w:r>
          </w:p>
        </w:tc>
        <w:tc>
          <w:tcPr>
            <w:tcW w:w="985" w:type="dxa"/>
            <w:tcBorders>
              <w:top w:val="nil"/>
              <w:left w:val="nil"/>
              <w:bottom w:val="single" w:sz="4" w:space="0" w:color="auto"/>
              <w:right w:val="single" w:sz="4" w:space="0" w:color="auto"/>
            </w:tcBorders>
            <w:shd w:val="clear" w:color="auto" w:fill="C6EFCE"/>
            <w:noWrap/>
          </w:tcPr>
          <w:p w14:paraId="69ED831E" w14:textId="77777777" w:rsidR="00F16BE2" w:rsidRPr="00E02B5D" w:rsidRDefault="00F16BE2" w:rsidP="00D00694">
            <w:pPr>
              <w:spacing w:after="0" w:line="240" w:lineRule="auto"/>
              <w:rPr>
                <w:rFonts w:eastAsia="Times New Roman" w:cs="Calibri"/>
                <w:noProof/>
                <w:color w:val="006100"/>
                <w:sz w:val="18"/>
                <w:szCs w:val="18"/>
              </w:rPr>
            </w:pPr>
            <w:r>
              <w:rPr>
                <w:noProof/>
                <w:color w:val="006100"/>
                <w:sz w:val="18"/>
              </w:rPr>
              <w:t>150 hoonet</w:t>
            </w:r>
          </w:p>
          <w:p w14:paraId="57CC1846" w14:textId="5C4D8A73" w:rsidR="00645BC7" w:rsidRPr="00E02B5D" w:rsidRDefault="00F16BE2" w:rsidP="00D00694">
            <w:pPr>
              <w:spacing w:after="0" w:line="240" w:lineRule="auto"/>
              <w:rPr>
                <w:rFonts w:eastAsia="Times New Roman" w:cs="Calibri"/>
                <w:noProof/>
                <w:color w:val="006100"/>
                <w:sz w:val="18"/>
                <w:szCs w:val="18"/>
              </w:rPr>
            </w:pPr>
            <w:r>
              <w:rPr>
                <w:noProof/>
                <w:color w:val="006100"/>
                <w:sz w:val="18"/>
              </w:rPr>
              <w:t>100 000 tänavavalgustuspunkti</w:t>
            </w:r>
          </w:p>
        </w:tc>
        <w:tc>
          <w:tcPr>
            <w:tcW w:w="894" w:type="dxa"/>
            <w:tcBorders>
              <w:top w:val="nil"/>
              <w:left w:val="nil"/>
              <w:bottom w:val="single" w:sz="4" w:space="0" w:color="auto"/>
              <w:right w:val="single" w:sz="4" w:space="0" w:color="auto"/>
            </w:tcBorders>
            <w:shd w:val="clear" w:color="auto" w:fill="C6EFCE"/>
            <w:noWrap/>
          </w:tcPr>
          <w:p w14:paraId="4BCC115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6EC3181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4394" w:type="dxa"/>
            <w:tcBorders>
              <w:top w:val="nil"/>
              <w:left w:val="nil"/>
              <w:bottom w:val="single" w:sz="4" w:space="0" w:color="auto"/>
              <w:right w:val="single" w:sz="4" w:space="0" w:color="auto"/>
            </w:tcBorders>
            <w:shd w:val="clear" w:color="auto" w:fill="C6EFCE"/>
            <w:noWrap/>
          </w:tcPr>
          <w:p w14:paraId="4D810FFD" w14:textId="77777777" w:rsidR="00111FB2" w:rsidRPr="00E02B5D" w:rsidRDefault="00111FB2" w:rsidP="00F16BE2">
            <w:pPr>
              <w:spacing w:after="0" w:line="240" w:lineRule="auto"/>
              <w:rPr>
                <w:rFonts w:eastAsia="Times New Roman" w:cs="Calibri"/>
                <w:noProof/>
                <w:color w:val="006100"/>
                <w:sz w:val="18"/>
                <w:szCs w:val="18"/>
              </w:rPr>
            </w:pPr>
            <w:r>
              <w:rPr>
                <w:noProof/>
                <w:color w:val="006100"/>
                <w:sz w:val="18"/>
              </w:rPr>
              <w:t>Esimene alleesmärk: Avaliku sektori hoonete (150 hoonet) energiatõhususe parandamiseks tehtavad sekkumised, millega vähendatakse CO</w:t>
            </w:r>
            <w:r>
              <w:rPr>
                <w:noProof/>
                <w:color w:val="006100"/>
                <w:sz w:val="18"/>
                <w:vertAlign w:val="subscript"/>
              </w:rPr>
              <w:t>2</w:t>
            </w:r>
            <w:r>
              <w:rPr>
                <w:noProof/>
                <w:color w:val="006100"/>
                <w:sz w:val="18"/>
              </w:rPr>
              <w:t xml:space="preserve"> heidet keskmiselt vähemalt 30 %, nagu on märgitud enne sekkumist tehtud energiaauditites. </w:t>
            </w:r>
          </w:p>
          <w:p w14:paraId="6B4F35B3" w14:textId="77777777" w:rsidR="00111FB2" w:rsidRPr="00AD4052" w:rsidRDefault="00111FB2" w:rsidP="00F16BE2">
            <w:pPr>
              <w:spacing w:after="0" w:line="240" w:lineRule="auto"/>
              <w:rPr>
                <w:rFonts w:eastAsia="Times New Roman" w:cs="Calibri"/>
                <w:noProof/>
                <w:color w:val="006100"/>
                <w:sz w:val="18"/>
                <w:szCs w:val="18"/>
                <w:lang w:eastAsia="en-GB"/>
              </w:rPr>
            </w:pPr>
          </w:p>
          <w:p w14:paraId="58CBF73B" w14:textId="77777777" w:rsidR="00645BC7" w:rsidRPr="00E02B5D" w:rsidRDefault="00111FB2" w:rsidP="00F16BE2">
            <w:pPr>
              <w:spacing w:after="0" w:line="240" w:lineRule="auto"/>
              <w:rPr>
                <w:rFonts w:eastAsia="Times New Roman" w:cs="Calibri"/>
                <w:noProof/>
                <w:color w:val="006100"/>
                <w:sz w:val="18"/>
                <w:szCs w:val="18"/>
                <w:highlight w:val="cyan"/>
              </w:rPr>
            </w:pPr>
            <w:r>
              <w:rPr>
                <w:noProof/>
                <w:color w:val="006100"/>
                <w:sz w:val="18"/>
              </w:rPr>
              <w:t>Teine alleesmärk: 100 000 tänavavalgustuspunkti ajakohastamise lõpuleviimine.</w:t>
            </w:r>
          </w:p>
        </w:tc>
      </w:tr>
      <w:tr w:rsidR="00645BC7" w:rsidRPr="003B132A" w14:paraId="7FFF6C90" w14:textId="77777777" w:rsidTr="008AECE0">
        <w:trPr>
          <w:trHeight w:val="313"/>
        </w:trPr>
        <w:tc>
          <w:tcPr>
            <w:tcW w:w="959" w:type="dxa"/>
            <w:tcBorders>
              <w:top w:val="nil"/>
              <w:left w:val="single" w:sz="4" w:space="0" w:color="auto"/>
              <w:bottom w:val="single" w:sz="4" w:space="0" w:color="auto"/>
              <w:right w:val="single" w:sz="4" w:space="0" w:color="auto"/>
            </w:tcBorders>
            <w:shd w:val="clear" w:color="auto" w:fill="C6EFCE"/>
            <w:noWrap/>
          </w:tcPr>
          <w:p w14:paraId="4392EA8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36</w:t>
            </w:r>
          </w:p>
        </w:tc>
        <w:tc>
          <w:tcPr>
            <w:tcW w:w="1815" w:type="dxa"/>
            <w:tcBorders>
              <w:top w:val="nil"/>
              <w:left w:val="nil"/>
              <w:bottom w:val="single" w:sz="4" w:space="0" w:color="auto"/>
              <w:right w:val="single" w:sz="4" w:space="0" w:color="auto"/>
            </w:tcBorders>
            <w:shd w:val="clear" w:color="auto" w:fill="C6EFCE"/>
            <w:noWrap/>
          </w:tcPr>
          <w:p w14:paraId="763B7A4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16874_Energeetika ja ettevõtlus</w:t>
            </w:r>
          </w:p>
        </w:tc>
        <w:tc>
          <w:tcPr>
            <w:tcW w:w="1020" w:type="dxa"/>
            <w:tcBorders>
              <w:top w:val="nil"/>
              <w:left w:val="nil"/>
              <w:bottom w:val="single" w:sz="4" w:space="0" w:color="auto"/>
              <w:right w:val="single" w:sz="4" w:space="0" w:color="auto"/>
            </w:tcBorders>
            <w:shd w:val="clear" w:color="auto" w:fill="C6EFCE"/>
            <w:noWrap/>
          </w:tcPr>
          <w:p w14:paraId="62CEFC1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Siht</w:t>
            </w:r>
          </w:p>
        </w:tc>
        <w:tc>
          <w:tcPr>
            <w:tcW w:w="1134" w:type="dxa"/>
            <w:tcBorders>
              <w:top w:val="nil"/>
              <w:left w:val="nil"/>
              <w:bottom w:val="single" w:sz="4" w:space="0" w:color="auto"/>
              <w:right w:val="single" w:sz="4" w:space="0" w:color="auto"/>
            </w:tcBorders>
            <w:shd w:val="clear" w:color="auto" w:fill="C6EFCE"/>
            <w:noWrap/>
          </w:tcPr>
          <w:p w14:paraId="39A8DED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Energiatõhususe erasektor – lõpule viidud #2</w:t>
            </w:r>
          </w:p>
        </w:tc>
        <w:tc>
          <w:tcPr>
            <w:tcW w:w="1417" w:type="dxa"/>
            <w:tcBorders>
              <w:top w:val="nil"/>
              <w:left w:val="nil"/>
              <w:bottom w:val="single" w:sz="4" w:space="0" w:color="auto"/>
              <w:right w:val="single" w:sz="4" w:space="0" w:color="auto"/>
            </w:tcBorders>
            <w:shd w:val="clear" w:color="auto" w:fill="C6EFCE"/>
            <w:noWrap/>
          </w:tcPr>
          <w:p w14:paraId="1E79763C"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1091" w:type="dxa"/>
            <w:tcBorders>
              <w:top w:val="nil"/>
              <w:left w:val="nil"/>
              <w:bottom w:val="single" w:sz="4" w:space="0" w:color="auto"/>
              <w:right w:val="single" w:sz="4" w:space="0" w:color="auto"/>
            </w:tcBorders>
            <w:shd w:val="clear" w:color="auto" w:fill="C6EFCE"/>
            <w:noWrap/>
          </w:tcPr>
          <w:p w14:paraId="34B9A20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Lõpuleviidud sekkumistega erasektori üksuste arv t</w:t>
            </w:r>
          </w:p>
        </w:tc>
        <w:tc>
          <w:tcPr>
            <w:tcW w:w="999" w:type="dxa"/>
            <w:tcBorders>
              <w:top w:val="nil"/>
              <w:left w:val="nil"/>
              <w:bottom w:val="single" w:sz="4" w:space="0" w:color="auto"/>
              <w:right w:val="single" w:sz="4" w:space="0" w:color="auto"/>
            </w:tcBorders>
            <w:shd w:val="clear" w:color="auto" w:fill="C6EFCE"/>
            <w:noWrap/>
          </w:tcPr>
          <w:p w14:paraId="5088E1C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0</w:t>
            </w:r>
          </w:p>
        </w:tc>
        <w:tc>
          <w:tcPr>
            <w:tcW w:w="985" w:type="dxa"/>
            <w:tcBorders>
              <w:top w:val="nil"/>
              <w:left w:val="nil"/>
              <w:bottom w:val="single" w:sz="4" w:space="0" w:color="auto"/>
              <w:right w:val="single" w:sz="4" w:space="0" w:color="auto"/>
            </w:tcBorders>
            <w:shd w:val="clear" w:color="auto" w:fill="C6EFCE"/>
            <w:noWrap/>
          </w:tcPr>
          <w:p w14:paraId="2E4A2181" w14:textId="35C3FAEE" w:rsidR="00645BC7" w:rsidRPr="00E02B5D" w:rsidRDefault="000637F9" w:rsidP="007E0AAB">
            <w:pPr>
              <w:spacing w:after="0" w:line="240" w:lineRule="auto"/>
              <w:rPr>
                <w:rFonts w:eastAsia="Times New Roman" w:cs="Calibri"/>
                <w:noProof/>
                <w:color w:val="006100"/>
                <w:sz w:val="18"/>
                <w:szCs w:val="18"/>
              </w:rPr>
            </w:pPr>
            <w:r>
              <w:rPr>
                <w:noProof/>
                <w:color w:val="006100"/>
                <w:sz w:val="18"/>
              </w:rPr>
              <w:t> 3 500</w:t>
            </w:r>
          </w:p>
        </w:tc>
        <w:tc>
          <w:tcPr>
            <w:tcW w:w="894" w:type="dxa"/>
            <w:tcBorders>
              <w:top w:val="nil"/>
              <w:left w:val="nil"/>
              <w:bottom w:val="single" w:sz="4" w:space="0" w:color="auto"/>
              <w:right w:val="single" w:sz="4" w:space="0" w:color="auto"/>
            </w:tcBorders>
            <w:shd w:val="clear" w:color="auto" w:fill="C6EFCE"/>
            <w:noWrap/>
          </w:tcPr>
          <w:p w14:paraId="6CF40AA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6949C31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4394" w:type="dxa"/>
            <w:tcBorders>
              <w:top w:val="nil"/>
              <w:left w:val="nil"/>
              <w:bottom w:val="single" w:sz="4" w:space="0" w:color="auto"/>
              <w:right w:val="single" w:sz="4" w:space="0" w:color="auto"/>
            </w:tcBorders>
            <w:shd w:val="clear" w:color="auto" w:fill="C6EFCE"/>
            <w:noWrap/>
          </w:tcPr>
          <w:p w14:paraId="4DCE577E" w14:textId="1812C411" w:rsidR="00645BC7" w:rsidRPr="00E02B5D" w:rsidRDefault="38C6ED78" w:rsidP="006256C9">
            <w:pPr>
              <w:spacing w:after="0" w:line="240" w:lineRule="auto"/>
              <w:rPr>
                <w:rFonts w:eastAsia="Times New Roman" w:cs="Calibri"/>
                <w:noProof/>
                <w:color w:val="006100"/>
                <w:sz w:val="18"/>
                <w:szCs w:val="18"/>
              </w:rPr>
            </w:pPr>
            <w:r>
              <w:rPr>
                <w:noProof/>
                <w:color w:val="006100"/>
                <w:sz w:val="18"/>
              </w:rPr>
              <w:t>Valitud erasektori üksuste (3 500 erasektori üksust) energiatõhususe parandamise meetmed, mille puhul CO</w:t>
            </w:r>
            <w:r>
              <w:rPr>
                <w:noProof/>
                <w:color w:val="006100"/>
                <w:sz w:val="18"/>
                <w:vertAlign w:val="subscript"/>
              </w:rPr>
              <w:t>2</w:t>
            </w:r>
            <w:r>
              <w:rPr>
                <w:noProof/>
                <w:color w:val="006100"/>
                <w:sz w:val="18"/>
              </w:rPr>
              <w:t xml:space="preserve"> heide väheneb keskmiselt vähemalt 30 % võrreldes erasektori üksuste praeguse olukorraga, kas osaleva ettevõtte puhul tervikuna (kogu üksuse puhul) või konkreetselt rakendatud sekkumiste/protsesside puhul (st seda võib kohaldada konkreetse üksiku seadme asendamise ja/või konkreetse(te) protsessi(de) asendamise suhtes).</w:t>
            </w:r>
          </w:p>
        </w:tc>
      </w:tr>
    </w:tbl>
    <w:p w14:paraId="04F4D0D2" w14:textId="77777777" w:rsidR="00645BC7" w:rsidRPr="00AD4052" w:rsidRDefault="00645BC7" w:rsidP="00645BC7">
      <w:pPr>
        <w:spacing w:before="120" w:after="120" w:line="240" w:lineRule="auto"/>
        <w:jc w:val="both"/>
        <w:rPr>
          <w:rFonts w:ascii="Times New Roman" w:hAnsi="Times New Roman" w:cs="Times New Roman"/>
          <w:noProof/>
          <w:sz w:val="24"/>
        </w:rPr>
      </w:pPr>
    </w:p>
    <w:p w14:paraId="3EFBA92F" w14:textId="77777777" w:rsidR="00645BC7" w:rsidRPr="00E02B5D" w:rsidRDefault="00645BC7"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3: Sekkumised elamupiirkondades ja hoonefondis</w:t>
      </w:r>
    </w:p>
    <w:p w14:paraId="57963FF2"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Sellesse rühma kuuluvad järgmised meetmed:</w:t>
      </w:r>
    </w:p>
    <w:p w14:paraId="3A2018E1"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Sekkumised elamupiirkondades ja hoonefondis (ID: 16873)</w:t>
      </w:r>
    </w:p>
    <w:p w14:paraId="7C675424"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Taristu arendamine ja hoonete restaureerimine Tatois (ID: 16875)</w:t>
      </w:r>
    </w:p>
    <w:p w14:paraId="2313D234"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Ateena olümpiaspordikeskus (ID: 16932)</w:t>
      </w:r>
    </w:p>
    <w:tbl>
      <w:tblPr>
        <w:tblW w:w="15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63"/>
        <w:gridCol w:w="963"/>
        <w:gridCol w:w="1343"/>
        <w:gridCol w:w="1276"/>
        <w:gridCol w:w="1134"/>
        <w:gridCol w:w="992"/>
        <w:gridCol w:w="851"/>
        <w:gridCol w:w="850"/>
        <w:gridCol w:w="709"/>
        <w:gridCol w:w="4592"/>
      </w:tblGrid>
      <w:tr w:rsidR="007B4D63" w:rsidRPr="003B132A" w14:paraId="195CE035" w14:textId="77777777" w:rsidTr="00EF26F4">
        <w:trPr>
          <w:trHeight w:val="939"/>
          <w:tblHeader/>
          <w:jc w:val="center"/>
        </w:trPr>
        <w:tc>
          <w:tcPr>
            <w:tcW w:w="1129" w:type="dxa"/>
            <w:vMerge w:val="restart"/>
            <w:shd w:val="clear" w:color="auto" w:fill="BDD7EE"/>
            <w:vAlign w:val="center"/>
            <w:hideMark/>
          </w:tcPr>
          <w:p w14:paraId="4A73E8BC"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663" w:type="dxa"/>
            <w:vMerge w:val="restart"/>
            <w:shd w:val="clear" w:color="auto" w:fill="BDD7EE"/>
            <w:vAlign w:val="center"/>
            <w:hideMark/>
          </w:tcPr>
          <w:p w14:paraId="5BB457F3"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3" w:type="dxa"/>
            <w:vMerge w:val="restart"/>
            <w:shd w:val="clear" w:color="auto" w:fill="BDD7EE"/>
            <w:vAlign w:val="center"/>
            <w:hideMark/>
          </w:tcPr>
          <w:p w14:paraId="309EF572"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343" w:type="dxa"/>
            <w:vMerge w:val="restart"/>
            <w:shd w:val="clear" w:color="auto" w:fill="BDD7EE"/>
            <w:vAlign w:val="center"/>
            <w:hideMark/>
          </w:tcPr>
          <w:p w14:paraId="5D3AED08"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276" w:type="dxa"/>
            <w:vMerge w:val="restart"/>
            <w:shd w:val="clear" w:color="auto" w:fill="BDD7EE"/>
            <w:vAlign w:val="center"/>
            <w:hideMark/>
          </w:tcPr>
          <w:p w14:paraId="38A424D9"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977" w:type="dxa"/>
            <w:gridSpan w:val="3"/>
            <w:shd w:val="clear" w:color="auto" w:fill="BDD7EE"/>
            <w:vAlign w:val="center"/>
            <w:hideMark/>
          </w:tcPr>
          <w:p w14:paraId="0C26639D"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559" w:type="dxa"/>
            <w:gridSpan w:val="2"/>
            <w:shd w:val="clear" w:color="auto" w:fill="BDD7EE"/>
            <w:vAlign w:val="center"/>
            <w:hideMark/>
          </w:tcPr>
          <w:p w14:paraId="37C83C27"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592" w:type="dxa"/>
            <w:vMerge w:val="restart"/>
            <w:shd w:val="clear" w:color="auto" w:fill="BDD7EE"/>
            <w:vAlign w:val="center"/>
            <w:hideMark/>
          </w:tcPr>
          <w:p w14:paraId="17B86DE6"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6E0EA2" w:rsidRPr="00E02B5D" w14:paraId="04611C07" w14:textId="77777777" w:rsidTr="00EF26F4">
        <w:trPr>
          <w:trHeight w:val="1027"/>
          <w:tblHeader/>
          <w:jc w:val="center"/>
        </w:trPr>
        <w:tc>
          <w:tcPr>
            <w:tcW w:w="1129" w:type="dxa"/>
            <w:vMerge/>
            <w:vAlign w:val="center"/>
            <w:hideMark/>
          </w:tcPr>
          <w:p w14:paraId="1B1207F4"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663" w:type="dxa"/>
            <w:vMerge/>
            <w:vAlign w:val="center"/>
            <w:hideMark/>
          </w:tcPr>
          <w:p w14:paraId="1DC7E60C"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963" w:type="dxa"/>
            <w:vMerge/>
            <w:vAlign w:val="center"/>
            <w:hideMark/>
          </w:tcPr>
          <w:p w14:paraId="18D11C00"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343" w:type="dxa"/>
            <w:vMerge/>
            <w:vAlign w:val="center"/>
            <w:hideMark/>
          </w:tcPr>
          <w:p w14:paraId="292BE3F9"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276" w:type="dxa"/>
            <w:vMerge/>
            <w:vAlign w:val="center"/>
            <w:hideMark/>
          </w:tcPr>
          <w:p w14:paraId="13D5953C"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134" w:type="dxa"/>
            <w:shd w:val="clear" w:color="auto" w:fill="BDD7EE"/>
            <w:vAlign w:val="center"/>
            <w:hideMark/>
          </w:tcPr>
          <w:p w14:paraId="03CAE71B"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92" w:type="dxa"/>
            <w:shd w:val="clear" w:color="auto" w:fill="BDD7EE"/>
            <w:vAlign w:val="center"/>
            <w:hideMark/>
          </w:tcPr>
          <w:p w14:paraId="1A10B527"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851" w:type="dxa"/>
            <w:shd w:val="clear" w:color="auto" w:fill="BDD7EE"/>
            <w:vAlign w:val="center"/>
            <w:hideMark/>
          </w:tcPr>
          <w:p w14:paraId="0E025171"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50" w:type="dxa"/>
            <w:shd w:val="clear" w:color="auto" w:fill="BDD7EE"/>
            <w:vAlign w:val="center"/>
            <w:hideMark/>
          </w:tcPr>
          <w:p w14:paraId="09FB1F57"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9" w:type="dxa"/>
            <w:shd w:val="clear" w:color="auto" w:fill="BDD7EE"/>
            <w:vAlign w:val="center"/>
            <w:hideMark/>
          </w:tcPr>
          <w:p w14:paraId="01EE046E"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592" w:type="dxa"/>
            <w:vMerge/>
            <w:vAlign w:val="center"/>
            <w:hideMark/>
          </w:tcPr>
          <w:p w14:paraId="232CAFCD" w14:textId="77777777" w:rsidR="00645BC7" w:rsidRPr="00E02B5D" w:rsidRDefault="00645BC7" w:rsidP="00D00694">
            <w:pPr>
              <w:spacing w:after="0" w:line="240" w:lineRule="auto"/>
              <w:rPr>
                <w:rFonts w:ascii="Times New Roman" w:eastAsia="Times New Roman" w:hAnsi="Times New Roman" w:cs="Times New Roman"/>
                <w:b/>
                <w:bCs/>
                <w:noProof/>
                <w:sz w:val="18"/>
                <w:szCs w:val="18"/>
                <w:lang w:val="en-GB" w:eastAsia="en-GB"/>
              </w:rPr>
            </w:pPr>
          </w:p>
        </w:tc>
      </w:tr>
      <w:tr w:rsidR="00645BC7" w:rsidRPr="003B132A" w14:paraId="2C9DD5A9" w14:textId="77777777" w:rsidTr="00EF26F4">
        <w:trPr>
          <w:trHeight w:val="313"/>
          <w:jc w:val="center"/>
        </w:trPr>
        <w:tc>
          <w:tcPr>
            <w:tcW w:w="1129" w:type="dxa"/>
            <w:shd w:val="clear" w:color="auto" w:fill="C6EFCE"/>
            <w:noWrap/>
          </w:tcPr>
          <w:p w14:paraId="1C7CE6C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37</w:t>
            </w:r>
          </w:p>
        </w:tc>
        <w:tc>
          <w:tcPr>
            <w:tcW w:w="1663" w:type="dxa"/>
            <w:shd w:val="clear" w:color="auto" w:fill="C6EFCE"/>
            <w:noWrap/>
          </w:tcPr>
          <w:p w14:paraId="7EAE168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16932_Ateena olümpiaspordikeskus</w:t>
            </w:r>
          </w:p>
        </w:tc>
        <w:tc>
          <w:tcPr>
            <w:tcW w:w="963" w:type="dxa"/>
            <w:shd w:val="clear" w:color="auto" w:fill="C6EFCE"/>
            <w:noWrap/>
          </w:tcPr>
          <w:p w14:paraId="77A3997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343" w:type="dxa"/>
            <w:shd w:val="clear" w:color="auto" w:fill="C6EFCE"/>
            <w:noWrap/>
          </w:tcPr>
          <w:p w14:paraId="5A42D19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OAKA – lepingu sõlmimine</w:t>
            </w:r>
          </w:p>
        </w:tc>
        <w:tc>
          <w:tcPr>
            <w:tcW w:w="1276" w:type="dxa"/>
            <w:shd w:val="clear" w:color="auto" w:fill="C6EFCE"/>
            <w:noWrap/>
          </w:tcPr>
          <w:p w14:paraId="506EFDE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Lepingu(te) sõlmimisest teatamine</w:t>
            </w:r>
          </w:p>
        </w:tc>
        <w:tc>
          <w:tcPr>
            <w:tcW w:w="1134" w:type="dxa"/>
            <w:shd w:val="clear" w:color="auto" w:fill="C6EFCE"/>
            <w:noWrap/>
          </w:tcPr>
          <w:p w14:paraId="4D0F1FF2"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92" w:type="dxa"/>
            <w:shd w:val="clear" w:color="auto" w:fill="C6EFCE"/>
            <w:noWrap/>
          </w:tcPr>
          <w:p w14:paraId="58495404"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1" w:type="dxa"/>
            <w:shd w:val="clear" w:color="auto" w:fill="C6EFCE"/>
            <w:noWrap/>
          </w:tcPr>
          <w:p w14:paraId="1028F3C6"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0" w:type="dxa"/>
            <w:shd w:val="clear" w:color="auto" w:fill="C6EFCE"/>
            <w:noWrap/>
          </w:tcPr>
          <w:p w14:paraId="0E1CB00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1. kv</w:t>
            </w:r>
          </w:p>
        </w:tc>
        <w:tc>
          <w:tcPr>
            <w:tcW w:w="709" w:type="dxa"/>
            <w:shd w:val="clear" w:color="auto" w:fill="C6EFCE"/>
            <w:noWrap/>
          </w:tcPr>
          <w:p w14:paraId="7D98A4E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4592" w:type="dxa"/>
            <w:shd w:val="clear" w:color="auto" w:fill="C6EFCE"/>
            <w:noWrap/>
          </w:tcPr>
          <w:p w14:paraId="63FAEE88" w14:textId="77777777" w:rsidR="00645BC7" w:rsidRPr="00E02B5D" w:rsidRDefault="00645BC7" w:rsidP="004938DF">
            <w:pPr>
              <w:spacing w:after="0" w:line="240" w:lineRule="auto"/>
              <w:rPr>
                <w:rFonts w:eastAsia="Times New Roman" w:cs="Calibri"/>
                <w:noProof/>
                <w:color w:val="006100"/>
                <w:sz w:val="18"/>
                <w:szCs w:val="18"/>
              </w:rPr>
            </w:pPr>
            <w:r>
              <w:rPr>
                <w:noProof/>
                <w:color w:val="006100"/>
                <w:sz w:val="18"/>
              </w:rPr>
              <w:t xml:space="preserve">Teade selle kohta, et sõlmitakse leping/lepingud erasektori partneri(te) nimetamiseks, et teha ehitus- ja renoveerimistöid, mis suurendavad i) keskstaadiumi energiatõhusust; ii) Mehaanilised ja elektrilised tööd; ning iii) vabaõhualad ja tööde alustamine. </w:t>
            </w:r>
          </w:p>
        </w:tc>
      </w:tr>
      <w:tr w:rsidR="00645BC7" w:rsidRPr="003B132A" w14:paraId="692B94BF" w14:textId="77777777" w:rsidTr="00EF26F4">
        <w:trPr>
          <w:trHeight w:val="313"/>
          <w:jc w:val="center"/>
        </w:trPr>
        <w:tc>
          <w:tcPr>
            <w:tcW w:w="1129" w:type="dxa"/>
            <w:shd w:val="clear" w:color="auto" w:fill="C6EFCE"/>
            <w:noWrap/>
          </w:tcPr>
          <w:p w14:paraId="3E1A90B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38</w:t>
            </w:r>
          </w:p>
        </w:tc>
        <w:tc>
          <w:tcPr>
            <w:tcW w:w="1663" w:type="dxa"/>
            <w:shd w:val="clear" w:color="auto" w:fill="C6EFCE"/>
            <w:noWrap/>
          </w:tcPr>
          <w:p w14:paraId="1C2E413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16873_Sekkumised elamupiirkondades ja hoonefondis</w:t>
            </w:r>
          </w:p>
        </w:tc>
        <w:tc>
          <w:tcPr>
            <w:tcW w:w="963" w:type="dxa"/>
            <w:shd w:val="clear" w:color="auto" w:fill="C6EFCE"/>
            <w:noWrap/>
          </w:tcPr>
          <w:p w14:paraId="35882C6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343" w:type="dxa"/>
            <w:shd w:val="clear" w:color="auto" w:fill="C6EFCE"/>
            <w:noWrap/>
          </w:tcPr>
          <w:p w14:paraId="441B397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Linnadega seotud sekkumismeetmed – lepingute sõlmimine</w:t>
            </w:r>
          </w:p>
        </w:tc>
        <w:tc>
          <w:tcPr>
            <w:tcW w:w="1276" w:type="dxa"/>
            <w:shd w:val="clear" w:color="auto" w:fill="C6EFCE"/>
            <w:noWrap/>
          </w:tcPr>
          <w:p w14:paraId="637854D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Lepingu(te) sõlmimisest teatamine</w:t>
            </w:r>
          </w:p>
        </w:tc>
        <w:tc>
          <w:tcPr>
            <w:tcW w:w="1134" w:type="dxa"/>
            <w:shd w:val="clear" w:color="auto" w:fill="C6EFCE"/>
            <w:noWrap/>
          </w:tcPr>
          <w:p w14:paraId="1A5C5277"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92" w:type="dxa"/>
            <w:shd w:val="clear" w:color="auto" w:fill="C6EFCE"/>
            <w:noWrap/>
          </w:tcPr>
          <w:p w14:paraId="62D47133"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1" w:type="dxa"/>
            <w:shd w:val="clear" w:color="auto" w:fill="C6EFCE"/>
            <w:noWrap/>
          </w:tcPr>
          <w:p w14:paraId="0B07A6CB"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0" w:type="dxa"/>
            <w:shd w:val="clear" w:color="auto" w:fill="C6EFCE"/>
            <w:noWrap/>
          </w:tcPr>
          <w:p w14:paraId="3F96777D" w14:textId="77777777" w:rsidR="00645BC7" w:rsidRPr="00E02B5D" w:rsidRDefault="00276A98" w:rsidP="00276A98">
            <w:pPr>
              <w:spacing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0A72C3A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4592" w:type="dxa"/>
            <w:shd w:val="clear" w:color="auto" w:fill="C6EFCE"/>
            <w:noWrap/>
          </w:tcPr>
          <w:p w14:paraId="6FC90EA5" w14:textId="4EE31617" w:rsidR="00645BC7" w:rsidRPr="00E02B5D" w:rsidRDefault="38C6ED78" w:rsidP="00D00694">
            <w:pPr>
              <w:spacing w:after="0" w:line="240" w:lineRule="auto"/>
              <w:rPr>
                <w:rFonts w:eastAsia="Times New Roman" w:cs="Calibri"/>
                <w:noProof/>
                <w:color w:val="006100"/>
                <w:sz w:val="18"/>
                <w:szCs w:val="18"/>
              </w:rPr>
            </w:pPr>
            <w:r>
              <w:rPr>
                <w:noProof/>
                <w:color w:val="006100"/>
                <w:sz w:val="18"/>
              </w:rPr>
              <w:t xml:space="preserve">Teade lepingu(te) sõlmimise kohta ehitustööde teostamiseks </w:t>
            </w:r>
          </w:p>
          <w:p w14:paraId="0F43D17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i) linnakeskkonna ja avaliku ruumi parandamine valitud omavalitsustes pärast avalikku projektikonkurssi, mille eesmärk on tugevdada vastupanuvõimet kliimamuutustele;</w:t>
            </w:r>
          </w:p>
          <w:p w14:paraId="37C8AADC" w14:textId="78D342EC" w:rsidR="00645BC7" w:rsidRPr="00E02B5D" w:rsidRDefault="38C6ED78" w:rsidP="00D00694">
            <w:pPr>
              <w:spacing w:after="0" w:line="240" w:lineRule="auto"/>
              <w:rPr>
                <w:rFonts w:eastAsia="Times New Roman" w:cs="Calibri"/>
                <w:noProof/>
                <w:color w:val="006100"/>
                <w:sz w:val="18"/>
                <w:szCs w:val="18"/>
              </w:rPr>
            </w:pPr>
            <w:r>
              <w:rPr>
                <w:noProof/>
                <w:color w:val="006100"/>
                <w:sz w:val="18"/>
              </w:rPr>
              <w:t xml:space="preserve">ii) endise tööstuspiirkonna Votanikos/Elaionas linnade taaselustamine ja Ateena Põllumajandusülikooli (AUA) ülikoolilinnaku renoveerimine; </w:t>
            </w:r>
          </w:p>
          <w:p w14:paraId="284F9CD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iii) Ateena Riviera: jalgrattataristu; ning </w:t>
            </w:r>
          </w:p>
          <w:p w14:paraId="114041DE" w14:textId="77777777" w:rsidR="00645BC7" w:rsidRPr="00E02B5D" w:rsidRDefault="38C6ED78" w:rsidP="00CA2550">
            <w:pPr>
              <w:spacing w:after="0" w:line="240" w:lineRule="auto"/>
              <w:rPr>
                <w:rFonts w:eastAsia="Times New Roman" w:cs="Calibri"/>
                <w:noProof/>
                <w:color w:val="006100"/>
                <w:sz w:val="18"/>
                <w:szCs w:val="18"/>
              </w:rPr>
            </w:pPr>
            <w:r>
              <w:rPr>
                <w:noProof/>
                <w:color w:val="006100"/>
                <w:sz w:val="18"/>
              </w:rPr>
              <w:t>iv) muud strateegilised sekkumised, mis valitakse välja pärast omavalitsustele avatud projektikonkurssi, mis hõlmab järgmist: 1) energiatõhususe projektid ja näidisprojektid VKEdes või suurettevõtetes, mis saavutavad vähemalt keskmisel tasemel renoveerimise, nagu on määratletud komisjoni soovituses hoonete renoveerimise kohta (EL) 2019/786, või vähendada otsest ja kaudset CO</w:t>
            </w:r>
            <w:r>
              <w:rPr>
                <w:noProof/>
                <w:color w:val="006100"/>
                <w:sz w:val="18"/>
                <w:vertAlign w:val="subscript"/>
              </w:rPr>
              <w:t>2</w:t>
            </w:r>
            <w:r>
              <w:rPr>
                <w:noProof/>
                <w:color w:val="006100"/>
                <w:sz w:val="18"/>
              </w:rPr>
              <w:t xml:space="preserve"> heidet võrreldes eelneva heite tasemega keskmiselt vähemalt 30 %; 2) uute energiatõhusate hoonete ehitamine koos primaarenergia nõudlusega, mis on vähemalt 20 % väiksem kui liginullenergiahoone nõue (liginullenergiahoone, riiklikud direktiivid); ning 3) looduse ja bioloogilise mitmekesisuse kaitse, looduspärand ja loodusvarad, roheline ja sinine taristu. </w:t>
            </w:r>
          </w:p>
        </w:tc>
      </w:tr>
      <w:tr w:rsidR="00645BC7" w:rsidRPr="003B132A" w14:paraId="3B37A2E0" w14:textId="77777777" w:rsidTr="00EF26F4">
        <w:trPr>
          <w:trHeight w:val="313"/>
          <w:jc w:val="center"/>
        </w:trPr>
        <w:tc>
          <w:tcPr>
            <w:tcW w:w="1129" w:type="dxa"/>
            <w:shd w:val="clear" w:color="auto" w:fill="C6EFCE"/>
            <w:noWrap/>
          </w:tcPr>
          <w:p w14:paraId="47F65EF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39</w:t>
            </w:r>
          </w:p>
        </w:tc>
        <w:tc>
          <w:tcPr>
            <w:tcW w:w="1663" w:type="dxa"/>
            <w:shd w:val="clear" w:color="auto" w:fill="C6EFCE"/>
            <w:noWrap/>
          </w:tcPr>
          <w:p w14:paraId="51A5318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16932_Ateena olümpiaspordikeskus</w:t>
            </w:r>
          </w:p>
        </w:tc>
        <w:tc>
          <w:tcPr>
            <w:tcW w:w="963" w:type="dxa"/>
            <w:shd w:val="clear" w:color="auto" w:fill="C6EFCE"/>
            <w:noWrap/>
          </w:tcPr>
          <w:p w14:paraId="496A943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343" w:type="dxa"/>
            <w:shd w:val="clear" w:color="auto" w:fill="C6EFCE"/>
            <w:noWrap/>
          </w:tcPr>
          <w:p w14:paraId="18C4B8F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OAKA – tööde lõpuleviimine </w:t>
            </w:r>
          </w:p>
        </w:tc>
        <w:tc>
          <w:tcPr>
            <w:tcW w:w="1276" w:type="dxa"/>
            <w:shd w:val="clear" w:color="auto" w:fill="C6EFCE"/>
            <w:noWrap/>
          </w:tcPr>
          <w:p w14:paraId="4DF93519" w14:textId="4D73940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Kõigi nende allprojektidega seotud tööde lõpuleviimine on kinnitatud ehitusjärelevalve teostaja poolt täidetud vormi allkirjastamisega</w:t>
            </w:r>
          </w:p>
        </w:tc>
        <w:tc>
          <w:tcPr>
            <w:tcW w:w="1134" w:type="dxa"/>
            <w:shd w:val="clear" w:color="auto" w:fill="C6EFCE"/>
            <w:noWrap/>
          </w:tcPr>
          <w:p w14:paraId="6C76D799"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92" w:type="dxa"/>
            <w:shd w:val="clear" w:color="auto" w:fill="C6EFCE"/>
            <w:noWrap/>
          </w:tcPr>
          <w:p w14:paraId="2639E86B"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51" w:type="dxa"/>
            <w:shd w:val="clear" w:color="auto" w:fill="C6EFCE"/>
            <w:noWrap/>
          </w:tcPr>
          <w:p w14:paraId="169610A3"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50" w:type="dxa"/>
            <w:shd w:val="clear" w:color="auto" w:fill="C6EFCE"/>
            <w:noWrap/>
          </w:tcPr>
          <w:p w14:paraId="160906CC" w14:textId="77777777" w:rsidR="00645BC7" w:rsidRPr="00E02B5D" w:rsidRDefault="00645BC7" w:rsidP="005A4852">
            <w:pPr>
              <w:spacing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735681D2" w14:textId="77777777" w:rsidR="00645BC7" w:rsidRPr="00E02B5D" w:rsidRDefault="00645BC7" w:rsidP="005A4852">
            <w:pPr>
              <w:spacing w:after="0" w:line="240" w:lineRule="auto"/>
              <w:rPr>
                <w:rFonts w:eastAsia="Times New Roman" w:cs="Calibri"/>
                <w:noProof/>
                <w:color w:val="006100"/>
                <w:sz w:val="18"/>
                <w:szCs w:val="18"/>
              </w:rPr>
            </w:pPr>
            <w:r>
              <w:rPr>
                <w:noProof/>
                <w:color w:val="006100"/>
                <w:sz w:val="18"/>
              </w:rPr>
              <w:t>2025</w:t>
            </w:r>
          </w:p>
        </w:tc>
        <w:tc>
          <w:tcPr>
            <w:tcW w:w="4592" w:type="dxa"/>
            <w:shd w:val="clear" w:color="auto" w:fill="C6EFCE"/>
            <w:noWrap/>
          </w:tcPr>
          <w:p w14:paraId="58BF3A9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Kõigi energiatõhususe saavutamiseks ja süsiniku jalajälje parandamiseks tehtavate tööde lõpuleviimine, sealhulgas i) staadioni katuse (kupli) teraskonstruktsioonide hooldus ja remont (esimene allprojekt); ii) korvpalli ja veerajatiste seadmed, mis võimaldavad iseseisvalt töötada ja energiat säästa (allprojekt 2); iii) velodroom (allprojekt nr 3); iv) tennisekeskus (allprojekt nr 5); ja v) välispiirded (allprojekt nr 6), sealhulgas Agora ja ÜRO teraskonstruktsioonide müür.</w:t>
            </w:r>
          </w:p>
        </w:tc>
      </w:tr>
      <w:tr w:rsidR="00645BC7" w:rsidRPr="003B132A" w14:paraId="6109CC8C" w14:textId="77777777" w:rsidTr="00EF26F4">
        <w:trPr>
          <w:trHeight w:val="313"/>
          <w:jc w:val="center"/>
        </w:trPr>
        <w:tc>
          <w:tcPr>
            <w:tcW w:w="1129" w:type="dxa"/>
            <w:shd w:val="clear" w:color="auto" w:fill="C6EFCE"/>
            <w:noWrap/>
          </w:tcPr>
          <w:p w14:paraId="6070340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40</w:t>
            </w:r>
          </w:p>
        </w:tc>
        <w:tc>
          <w:tcPr>
            <w:tcW w:w="1663" w:type="dxa"/>
            <w:shd w:val="clear" w:color="auto" w:fill="C6EFCE"/>
            <w:noWrap/>
          </w:tcPr>
          <w:p w14:paraId="4B89DE4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16873_Sekkumised elamupiirkondades ja hoonefondis</w:t>
            </w:r>
          </w:p>
        </w:tc>
        <w:tc>
          <w:tcPr>
            <w:tcW w:w="963" w:type="dxa"/>
            <w:shd w:val="clear" w:color="auto" w:fill="C6EFCE"/>
            <w:noWrap/>
          </w:tcPr>
          <w:p w14:paraId="0320C71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343" w:type="dxa"/>
            <w:shd w:val="clear" w:color="auto" w:fill="C6EFCE"/>
            <w:noWrap/>
          </w:tcPr>
          <w:p w14:paraId="1B82CF3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Linnadega seotud sekkumismeetmed – kõigi tööde lõpuleviimine</w:t>
            </w:r>
          </w:p>
        </w:tc>
        <w:tc>
          <w:tcPr>
            <w:tcW w:w="1276" w:type="dxa"/>
            <w:shd w:val="clear" w:color="auto" w:fill="C6EFCE"/>
            <w:noWrap/>
          </w:tcPr>
          <w:p w14:paraId="04554A1B" w14:textId="6602A463" w:rsidR="00645BC7" w:rsidRPr="00E02B5D" w:rsidRDefault="00645BC7" w:rsidP="00D00694">
            <w:pPr>
              <w:spacing w:after="0" w:line="240" w:lineRule="auto"/>
              <w:rPr>
                <w:rFonts w:eastAsia="Times New Roman" w:cs="Calibri"/>
                <w:noProof/>
                <w:color w:val="006100"/>
                <w:sz w:val="18"/>
                <w:szCs w:val="18"/>
              </w:rPr>
            </w:pPr>
            <w:r>
              <w:rPr>
                <w:noProof/>
                <w:color w:val="006100"/>
                <w:sz w:val="18"/>
              </w:rPr>
              <w:t>Tööde ja teenuste lõpuleviimine, millele ehitusjärelevalve teostaja on alla kirjutanud täitmisvormi</w:t>
            </w:r>
          </w:p>
        </w:tc>
        <w:tc>
          <w:tcPr>
            <w:tcW w:w="1134" w:type="dxa"/>
            <w:shd w:val="clear" w:color="auto" w:fill="C6EFCE"/>
            <w:noWrap/>
          </w:tcPr>
          <w:p w14:paraId="5708AA59"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92" w:type="dxa"/>
            <w:shd w:val="clear" w:color="auto" w:fill="C6EFCE"/>
            <w:noWrap/>
          </w:tcPr>
          <w:p w14:paraId="027C0F8C"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51" w:type="dxa"/>
            <w:shd w:val="clear" w:color="auto" w:fill="C6EFCE"/>
            <w:noWrap/>
          </w:tcPr>
          <w:p w14:paraId="6C6D20F5"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50" w:type="dxa"/>
            <w:shd w:val="clear" w:color="auto" w:fill="C6EFCE"/>
            <w:noWrap/>
          </w:tcPr>
          <w:p w14:paraId="3196529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6EEA3CF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4592" w:type="dxa"/>
            <w:shd w:val="clear" w:color="auto" w:fill="C6EFCE"/>
            <w:noWrap/>
          </w:tcPr>
          <w:p w14:paraId="2B30F99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Lõpeta kõik tööd </w:t>
            </w:r>
          </w:p>
          <w:p w14:paraId="10E2E7A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i) Meetmed, mille eesmärk on parandada linnakeskkonda ja avalikku ruumi; </w:t>
            </w:r>
          </w:p>
          <w:p w14:paraId="6BDD991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ii) Votanikose/Elaionase endise tööstuspiirkonna taaselustamine linnades; </w:t>
            </w:r>
          </w:p>
          <w:p w14:paraId="2F4682F0" w14:textId="77777777" w:rsidR="00645BC7" w:rsidRPr="00E02B5D" w:rsidRDefault="00645BC7" w:rsidP="00D00694">
            <w:pPr>
              <w:spacing w:after="0" w:line="240" w:lineRule="auto"/>
              <w:jc w:val="both"/>
              <w:rPr>
                <w:rFonts w:eastAsia="Times New Roman" w:cs="Calibri"/>
                <w:noProof/>
                <w:color w:val="006100"/>
                <w:sz w:val="18"/>
                <w:szCs w:val="18"/>
              </w:rPr>
            </w:pPr>
            <w:r>
              <w:rPr>
                <w:noProof/>
                <w:color w:val="006100"/>
                <w:sz w:val="18"/>
              </w:rPr>
              <w:t>iii) Ateena Riviera: jalgrattataristu; ning</w:t>
            </w:r>
          </w:p>
          <w:p w14:paraId="3F19EF9A" w14:textId="77777777" w:rsidR="00645BC7" w:rsidRPr="00E02B5D" w:rsidRDefault="00645BC7" w:rsidP="00D00694">
            <w:pPr>
              <w:spacing w:after="0" w:line="240" w:lineRule="auto"/>
              <w:jc w:val="both"/>
              <w:rPr>
                <w:rFonts w:eastAsia="Times New Roman" w:cs="Calibri"/>
                <w:noProof/>
                <w:color w:val="006100"/>
                <w:sz w:val="18"/>
                <w:szCs w:val="18"/>
              </w:rPr>
            </w:pPr>
            <w:r>
              <w:rPr>
                <w:noProof/>
                <w:color w:val="006100"/>
                <w:sz w:val="18"/>
              </w:rPr>
              <w:t>iv) Muud strateegilised sekkumised.</w:t>
            </w:r>
          </w:p>
        </w:tc>
      </w:tr>
      <w:tr w:rsidR="00645BC7" w:rsidRPr="003B132A" w14:paraId="241826BA" w14:textId="77777777" w:rsidTr="00EF26F4">
        <w:trPr>
          <w:trHeight w:val="313"/>
          <w:jc w:val="center"/>
        </w:trPr>
        <w:tc>
          <w:tcPr>
            <w:tcW w:w="1129" w:type="dxa"/>
            <w:shd w:val="clear" w:color="auto" w:fill="C6EFCE"/>
            <w:noWrap/>
          </w:tcPr>
          <w:p w14:paraId="4FF8FC6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41</w:t>
            </w:r>
          </w:p>
        </w:tc>
        <w:tc>
          <w:tcPr>
            <w:tcW w:w="1663" w:type="dxa"/>
            <w:shd w:val="clear" w:color="auto" w:fill="C6EFCE"/>
            <w:noWrap/>
          </w:tcPr>
          <w:p w14:paraId="1DF7408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2-1.2. Renoveerimine – 16875_Infrastruktuuri arendamine ja hoonete restaureerimine endises kuninglikus kinnisvaras Tatois</w:t>
            </w:r>
          </w:p>
        </w:tc>
        <w:tc>
          <w:tcPr>
            <w:tcW w:w="963" w:type="dxa"/>
            <w:shd w:val="clear" w:color="auto" w:fill="C6EFCE"/>
            <w:noWrap/>
          </w:tcPr>
          <w:p w14:paraId="3173375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343" w:type="dxa"/>
            <w:shd w:val="clear" w:color="auto" w:fill="C6EFCE"/>
            <w:noWrap/>
          </w:tcPr>
          <w:p w14:paraId="2C1FA6B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Tatoi – kõigi tööde lõpetamine</w:t>
            </w:r>
          </w:p>
        </w:tc>
        <w:tc>
          <w:tcPr>
            <w:tcW w:w="1276" w:type="dxa"/>
            <w:shd w:val="clear" w:color="auto" w:fill="C6EFCE"/>
            <w:noWrap/>
          </w:tcPr>
          <w:p w14:paraId="554C136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Tööde ja teenuste lõpuleviimine, millele ehitusjärelevalve teostaja on alla kirjutanud täitmisvormi</w:t>
            </w:r>
          </w:p>
        </w:tc>
        <w:tc>
          <w:tcPr>
            <w:tcW w:w="1134" w:type="dxa"/>
            <w:shd w:val="clear" w:color="auto" w:fill="C6EFCE"/>
            <w:noWrap/>
          </w:tcPr>
          <w:p w14:paraId="6291041F"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92" w:type="dxa"/>
            <w:shd w:val="clear" w:color="auto" w:fill="C6EFCE"/>
            <w:noWrap/>
          </w:tcPr>
          <w:p w14:paraId="705811D2"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51" w:type="dxa"/>
            <w:shd w:val="clear" w:color="auto" w:fill="C6EFCE"/>
            <w:noWrap/>
          </w:tcPr>
          <w:p w14:paraId="7DB08917"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50" w:type="dxa"/>
            <w:shd w:val="clear" w:color="auto" w:fill="C6EFCE"/>
            <w:noWrap/>
          </w:tcPr>
          <w:p w14:paraId="7888357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1C77BE5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4592" w:type="dxa"/>
            <w:shd w:val="clear" w:color="auto" w:fill="C6EFCE"/>
            <w:noWrap/>
          </w:tcPr>
          <w:p w14:paraId="38CD0A2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Viia lõpule kõik programmi „Infrastruktuuri arendamine ja hoonete restaureerimine“ tööd endises kuninglikus Tatois asuvas pärandvaras, sealhulgas:</w:t>
            </w:r>
          </w:p>
          <w:p w14:paraId="2D0B8D7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i) infrastruktuuritööd; </w:t>
            </w:r>
          </w:p>
          <w:p w14:paraId="2F3F5F3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ii) taaskasutatava palee taastamine muuseumina;</w:t>
            </w:r>
          </w:p>
          <w:p w14:paraId="2D343E9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iii) palee näitus; </w:t>
            </w:r>
          </w:p>
          <w:p w14:paraId="4851BB2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iv) põllumajandushoone restaureerimine ja taaskasutamine muuseumina; </w:t>
            </w:r>
          </w:p>
          <w:p w14:paraId="0285F65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v) uue põllumajandushoone museoloogiline uuring; </w:t>
            </w:r>
          </w:p>
          <w:p w14:paraId="6848A81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vi) paleeaedade restaureerimine; </w:t>
            </w:r>
          </w:p>
          <w:p w14:paraId="466592E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vii) artefaktide säilitamine ja taastamine; </w:t>
            </w:r>
          </w:p>
          <w:p w14:paraId="41C1DE9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viii) artefaktide registreerimine, dokumenteerimine ja registreerimine; ning </w:t>
            </w:r>
          </w:p>
          <w:p w14:paraId="458540E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ix) leitud paberarhivaalide digiteerimine.</w:t>
            </w:r>
          </w:p>
        </w:tc>
      </w:tr>
    </w:tbl>
    <w:p w14:paraId="45EEBC4E" w14:textId="77777777" w:rsidR="00645BC7" w:rsidRPr="00E02B5D" w:rsidRDefault="00645BC7" w:rsidP="00645BC7">
      <w:pPr>
        <w:framePr w:w="15464" w:wrap="auto" w:hAnchor="text"/>
        <w:spacing w:before="120" w:after="120" w:line="240" w:lineRule="auto"/>
        <w:rPr>
          <w:rFonts w:ascii="Times New Roman" w:hAnsi="Times New Roman" w:cs="Times New Roman"/>
          <w:noProof/>
          <w:sz w:val="24"/>
          <w:lang w:val="en-GB"/>
        </w:rPr>
        <w:sectPr w:rsidR="00645BC7" w:rsidRPr="00E02B5D" w:rsidSect="00271D33">
          <w:headerReference w:type="even" r:id="rId50"/>
          <w:headerReference w:type="default" r:id="rId51"/>
          <w:footerReference w:type="even" r:id="rId52"/>
          <w:footerReference w:type="default" r:id="rId53"/>
          <w:headerReference w:type="first" r:id="rId54"/>
          <w:footerReference w:type="first" r:id="rId55"/>
          <w:pgSz w:w="16839" w:h="11907" w:orient="landscape"/>
          <w:pgMar w:top="720" w:right="720" w:bottom="851" w:left="720" w:header="709" w:footer="709" w:gutter="0"/>
          <w:cols w:space="720"/>
          <w:docGrid w:linePitch="360"/>
        </w:sectPr>
      </w:pPr>
    </w:p>
    <w:p w14:paraId="72BAD07A" w14:textId="77777777" w:rsidR="00E14CD0" w:rsidRPr="00E02B5D" w:rsidRDefault="45CB358E" w:rsidP="008AECE0">
      <w:pPr>
        <w:spacing w:before="120" w:after="120" w:line="240" w:lineRule="auto"/>
        <w:jc w:val="both"/>
        <w:rPr>
          <w:rFonts w:ascii="Times New Roman" w:hAnsi="Times New Roman" w:cs="Times New Roman"/>
          <w:b/>
          <w:bCs/>
          <w:i/>
          <w:iCs/>
          <w:noProof/>
          <w:color w:val="4F81BD"/>
          <w:sz w:val="24"/>
          <w:szCs w:val="24"/>
        </w:rPr>
      </w:pPr>
      <w:r>
        <w:rPr>
          <w:rFonts w:ascii="Times New Roman" w:hAnsi="Times New Roman"/>
          <w:b/>
          <w:noProof/>
          <w:sz w:val="24"/>
          <w:u w:val="single"/>
        </w:rPr>
        <w:t xml:space="preserve">B.3. </w:t>
      </w:r>
      <w:r>
        <w:rPr>
          <w:noProof/>
        </w:rPr>
        <w:tab/>
      </w:r>
      <w:r>
        <w:rPr>
          <w:rFonts w:ascii="Times New Roman" w:hAnsi="Times New Roman"/>
          <w:b/>
          <w:noProof/>
          <w:sz w:val="24"/>
          <w:u w:val="single"/>
        </w:rPr>
        <w:t xml:space="preserve">Laenuga seotud reformide ja investeeringute kirjeldus </w:t>
      </w:r>
    </w:p>
    <w:p w14:paraId="706B1471" w14:textId="77777777" w:rsidR="00DE45BB" w:rsidRPr="00E02B5D" w:rsidRDefault="00DE45BB" w:rsidP="00DE45BB">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Energiauuendusprogramm „Upgrade My Home“ (Meie kodu ajakohastamine) (meetme ID 16401)</w:t>
      </w:r>
    </w:p>
    <w:p w14:paraId="56FC16C7" w14:textId="77777777" w:rsidR="00DE45BB" w:rsidRPr="00691380" w:rsidRDefault="00DE45BB" w:rsidP="00DE45BB">
      <w:pPr>
        <w:spacing w:line="240" w:lineRule="auto"/>
        <w:jc w:val="both"/>
        <w:rPr>
          <w:rFonts w:ascii="Times New Roman" w:hAnsi="Times New Roman" w:cs="Times New Roman"/>
          <w:noProof/>
          <w:sz w:val="24"/>
          <w:szCs w:val="24"/>
        </w:rPr>
      </w:pPr>
      <w:r>
        <w:rPr>
          <w:rFonts w:ascii="Times New Roman" w:hAnsi="Times New Roman"/>
          <w:noProof/>
          <w:sz w:val="24"/>
        </w:rPr>
        <w:t>See meede koosneb avaliku sektori investeeringust rahastusse „Upgrade My Home“, et stimuleerida erainvesteeringuid ja parandada juurdepääsu rahastamisele Kreeka eluasemesektoris. Rahastu toimimiseks antakse laene otse erasektorile. Taaste- ja vastupidavusrahastu investeeringu alusel on rahastu „Upgrade My Home“ eesmärk esialgu eraldada vähemalt 300 miljonit eurot.</w:t>
      </w:r>
    </w:p>
    <w:p w14:paraId="2002C782" w14:textId="77777777" w:rsidR="00DE45BB" w:rsidRDefault="00DE45BB" w:rsidP="00DE45BB">
      <w:pPr>
        <w:spacing w:line="240" w:lineRule="auto"/>
        <w:jc w:val="both"/>
        <w:rPr>
          <w:rFonts w:ascii="Times New Roman" w:hAnsi="Times New Roman" w:cs="Times New Roman"/>
          <w:noProof/>
          <w:sz w:val="24"/>
          <w:szCs w:val="24"/>
        </w:rPr>
      </w:pPr>
      <w:r>
        <w:rPr>
          <w:rFonts w:ascii="Times New Roman" w:hAnsi="Times New Roman"/>
          <w:noProof/>
          <w:sz w:val="24"/>
        </w:rPr>
        <w:t xml:space="preserve">Rahastut „Upgrade My Home“ haldab rakenduspartnerina Kreeka Arengupank. Rahastu hõlmab järgmist tooterida: </w:t>
      </w:r>
    </w:p>
    <w:p w14:paraId="25AC7954" w14:textId="77777777" w:rsidR="00DE45BB" w:rsidRPr="00957598" w:rsidRDefault="00DE45BB" w:rsidP="00DE45BB">
      <w:pPr>
        <w:pStyle w:val="LegalNumPar2"/>
        <w:numPr>
          <w:ilvl w:val="1"/>
          <w:numId w:val="95"/>
        </w:numPr>
        <w:jc w:val="both"/>
        <w:rPr>
          <w:rFonts w:ascii="Times New Roman" w:hAnsi="Times New Roman" w:cs="Times New Roman"/>
          <w:noProof/>
          <w:sz w:val="24"/>
          <w:szCs w:val="24"/>
        </w:rPr>
      </w:pPr>
      <w:r>
        <w:rPr>
          <w:rFonts w:ascii="Times New Roman" w:hAnsi="Times New Roman"/>
          <w:noProof/>
          <w:sz w:val="24"/>
        </w:rPr>
        <w:t>Kreeka Arengupank valib rahastamisvahendis osalevad kommertspangad finantsvahendajateks avatud, läbipaistval ja mittediskrimineerival viisil avatud konkursi kaudu. Kommertspangad kaasrahastavad rahastu raames antud energiatõhusaks renoveerimise laene. Neid laene antakse üksikisikutele energia uuendamiseks nende põhi- või üürimata lisaeluruumides. Laenustruktuuriga nähakse ette 75 % intressivaba rahastamine rahastust „Upgrade My Home“ ja 25 % rahastamine osalevatelt pankadelt turuintressimääradega. Abikõlblikud kulud hõlmavad näiteks järgmisi sekkumisi:</w:t>
      </w:r>
    </w:p>
    <w:p w14:paraId="64B760B5" w14:textId="77777777" w:rsidR="00DE45BB" w:rsidRPr="00445574"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Soojusisolatsioon (sisemine/väline).</w:t>
      </w:r>
    </w:p>
    <w:p w14:paraId="6A05EDBF" w14:textId="77777777" w:rsidR="00DE45BB" w:rsidRPr="00445574"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Haljaskatuse paigaldamine.</w:t>
      </w:r>
    </w:p>
    <w:p w14:paraId="007EAB1B" w14:textId="77777777" w:rsidR="00DE45BB" w:rsidRPr="00445574"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Energiatõhusate aknaraamide ja klaaspaneelide asendamine.</w:t>
      </w:r>
    </w:p>
    <w:p w14:paraId="1676E1CF" w14:textId="77777777" w:rsidR="00DE45BB" w:rsidRPr="00445574"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Päikese-veesoojendi asendamine/paigaldamine.</w:t>
      </w:r>
    </w:p>
    <w:p w14:paraId="69C1821D" w14:textId="77777777" w:rsidR="00DE45BB" w:rsidRPr="00445574"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Püsivate väliste varjumissüsteemide paigaldamine.</w:t>
      </w:r>
    </w:p>
    <w:p w14:paraId="3FA9758E" w14:textId="77777777" w:rsidR="00DE45BB" w:rsidRPr="00445574"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Kütte- ja jahutussüsteemide asendamine/paigaldamine (toodetud fossiilkütus ei ole toetuskõlblik), kasutades taastuvaid energiaallikaid või suure tõhususega koostootmissüsteeme (nt elektrilised soojuspumbad, vaheldi kliimaseadmed, mis kuuluvad energiaklassi A+ või kõrgemasse energiaklassi).</w:t>
      </w:r>
    </w:p>
    <w:p w14:paraId="630F90AA" w14:textId="77777777" w:rsidR="00DE45BB" w:rsidRPr="00445574"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Termostaatiliste reguleerimissüsteemide paigaldamine.</w:t>
      </w:r>
    </w:p>
    <w:p w14:paraId="672DBFEB" w14:textId="77777777" w:rsidR="00DE45BB" w:rsidRPr="00445574"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Taastuvatest energiaallikatest toodetud energiasalvestussüsteemide (akude) paigaldamine.</w:t>
      </w:r>
    </w:p>
    <w:p w14:paraId="6128855E" w14:textId="77777777" w:rsidR="00DE45BB" w:rsidRPr="00445574"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Fotogalvaaniliste jaamade, väikeste tuuleturbiinide ja muude taastuvate energiaallikate paigaldamine.</w:t>
      </w:r>
    </w:p>
    <w:p w14:paraId="6A914FAC" w14:textId="77777777" w:rsidR="00DE45BB" w:rsidRPr="00445574"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Tehniliste konsultantide või inseneride paigaldustööd/teenused.</w:t>
      </w:r>
    </w:p>
    <w:p w14:paraId="63AA623B" w14:textId="77777777" w:rsidR="00DE45BB" w:rsidRPr="001B3812" w:rsidRDefault="00DE45BB" w:rsidP="00DE45BB">
      <w:pPr>
        <w:spacing w:line="240" w:lineRule="auto"/>
        <w:jc w:val="both"/>
        <w:rPr>
          <w:rFonts w:ascii="Times New Roman" w:hAnsi="Times New Roman" w:cs="Times New Roman"/>
          <w:noProof/>
          <w:sz w:val="24"/>
          <w:szCs w:val="24"/>
        </w:rPr>
      </w:pPr>
      <w:r>
        <w:rPr>
          <w:rFonts w:ascii="Times New Roman" w:hAnsi="Times New Roman"/>
          <w:noProof/>
          <w:sz w:val="24"/>
        </w:rPr>
        <w:t>Rahastusse „Upgrade My Home“ investeerimise rakendamiseks allkirjastavad Kreeka ja Kreeka Arengupank rakenduskokkuleppe. Rakenduskokkulepe sisaldab järgmist sisu:</w:t>
      </w:r>
    </w:p>
    <w:p w14:paraId="1A876F17" w14:textId="77777777" w:rsidR="00DE45BB" w:rsidRPr="0012215C" w:rsidRDefault="00DE45BB" w:rsidP="00DE45BB">
      <w:pPr>
        <w:pStyle w:val="LegalNumPar"/>
        <w:numPr>
          <w:ilvl w:val="0"/>
          <w:numId w:val="94"/>
        </w:numPr>
        <w:jc w:val="both"/>
        <w:rPr>
          <w:rFonts w:ascii="Times New Roman" w:eastAsia="Times New Roman" w:hAnsi="Times New Roman" w:cs="Times New Roman"/>
          <w:noProof/>
          <w:sz w:val="24"/>
          <w:szCs w:val="24"/>
        </w:rPr>
      </w:pPr>
      <w:r>
        <w:rPr>
          <w:rFonts w:ascii="Times New Roman" w:hAnsi="Times New Roman"/>
          <w:noProof/>
          <w:sz w:val="24"/>
        </w:rPr>
        <w:t>Rahastu „Upgrade My Home“ otsustusprotsessi kirjeldus. Rahastu lõpliku investeerimisotsuse teeb investeerimiskomitee või muu asjakohane samaväärne juhtorgan ning see kiidetakse heaks valitsusest sõltumatute liikmete häälteenamusega.</w:t>
      </w:r>
    </w:p>
    <w:p w14:paraId="58BD9048" w14:textId="7F605065" w:rsidR="00DE45BB" w:rsidRPr="00737A78" w:rsidRDefault="00DE45BB" w:rsidP="00DE45BB">
      <w:pPr>
        <w:pStyle w:val="LegalNumPar"/>
        <w:jc w:val="both"/>
        <w:rPr>
          <w:rFonts w:ascii="Times New Roman" w:hAnsi="Times New Roman" w:cs="Times New Roman"/>
          <w:noProof/>
          <w:sz w:val="24"/>
          <w:szCs w:val="24"/>
        </w:rPr>
      </w:pPr>
      <w:r>
        <w:rPr>
          <w:rFonts w:ascii="Times New Roman" w:hAnsi="Times New Roman"/>
          <w:noProof/>
          <w:sz w:val="24"/>
        </w:rPr>
        <w:t>Finantstoodete põhinõuded, mis hõlmavad järgmist:</w:t>
      </w:r>
    </w:p>
    <w:p w14:paraId="7B550C92" w14:textId="77777777" w:rsidR="00DE45BB" w:rsidRPr="00737A78"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Finantstoodete ja rahastamiskõlblike lõplike abisaajate kirjeldus.</w:t>
      </w:r>
    </w:p>
    <w:p w14:paraId="08D024E5" w14:textId="77777777" w:rsidR="00DE45BB" w:rsidRPr="0077290D"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Nõue, et kõik toetatavad investeeringud peavad olema majanduslikult elujõulised.</w:t>
      </w:r>
    </w:p>
    <w:p w14:paraId="34240F61" w14:textId="77777777" w:rsidR="00DE45BB" w:rsidRPr="00737A78" w:rsidRDefault="00DE45BB" w:rsidP="00DE45BB">
      <w:pPr>
        <w:pStyle w:val="LegalNumPar2"/>
        <w:jc w:val="both"/>
        <w:rPr>
          <w:rFonts w:ascii="Times New Roman" w:hAnsi="Times New Roman" w:cs="Times New Roman"/>
          <w:noProof/>
          <w:sz w:val="24"/>
          <w:szCs w:val="24"/>
        </w:rPr>
      </w:pPr>
      <w:r>
        <w:rPr>
          <w:rFonts w:ascii="Times New Roman" w:hAnsi="Times New Roman"/>
          <w:noProof/>
          <w:sz w:val="24"/>
        </w:rPr>
        <w:t>Nõue, et rahastu lõplikud abisaajad ei saa samade kulude katmiseks toetust muudest liidu vahenditest.</w:t>
      </w:r>
    </w:p>
    <w:p w14:paraId="666EB9D4" w14:textId="7DC01114" w:rsidR="00DE45BB" w:rsidRPr="00737A78" w:rsidRDefault="00DE45BB" w:rsidP="00DE45BB">
      <w:pPr>
        <w:pStyle w:val="LegalNumPar"/>
        <w:jc w:val="both"/>
        <w:rPr>
          <w:rFonts w:ascii="Times New Roman" w:hAnsi="Times New Roman" w:cs="Times New Roman"/>
          <w:noProof/>
          <w:sz w:val="24"/>
          <w:szCs w:val="24"/>
        </w:rPr>
      </w:pPr>
      <w:r>
        <w:rPr>
          <w:rFonts w:ascii="Times New Roman" w:hAnsi="Times New Roman"/>
          <w:noProof/>
          <w:sz w:val="24"/>
        </w:rPr>
        <w:t>Rakenduslepinguga hõlmatud summa, rakenduspartneri ja finantsvahendajate tasude struktuur ning nõue reinvesteerida kõik tagasimaksed vastavalt rahastu investeerimispoliitikale, välja arvatud juhul, kui neid kasutatakse taaste- ja vastupidavusrahastu laenude tagasimaksete teenindamiseks.</w:t>
      </w:r>
    </w:p>
    <w:p w14:paraId="40DBDFB2" w14:textId="77777777" w:rsidR="00DE45BB" w:rsidRPr="00737A78" w:rsidRDefault="00DE45BB" w:rsidP="00DE45BB">
      <w:pPr>
        <w:pStyle w:val="LegalNumPar"/>
        <w:jc w:val="both"/>
        <w:rPr>
          <w:rFonts w:ascii="Times New Roman" w:hAnsi="Times New Roman" w:cs="Times New Roman"/>
          <w:noProof/>
          <w:sz w:val="24"/>
          <w:szCs w:val="24"/>
        </w:rPr>
      </w:pPr>
      <w:r>
        <w:rPr>
          <w:rFonts w:ascii="Times New Roman" w:hAnsi="Times New Roman"/>
          <w:noProof/>
          <w:sz w:val="24"/>
        </w:rPr>
        <w:t>Seire-, auditeerimis- ja kontrollinõuded, sealhulgas selliste rakenduspartneri menetluste kirjeldus, millega tagatakse pettuste, korruptsiooni ja huvide konfliktide ennetamine, avastamine ja kõrvaldamine.</w:t>
      </w:r>
    </w:p>
    <w:p w14:paraId="4E2175CC" w14:textId="77777777" w:rsidR="00DE45BB" w:rsidRPr="00487796" w:rsidRDefault="00DE45BB" w:rsidP="00DE45BB">
      <w:pPr>
        <w:pStyle w:val="LegalNumPar"/>
        <w:jc w:val="both"/>
        <w:rPr>
          <w:rFonts w:ascii="Times New Roman" w:hAnsi="Times New Roman" w:cs="Times New Roman"/>
          <w:noProof/>
          <w:sz w:val="24"/>
          <w:szCs w:val="24"/>
        </w:rPr>
      </w:pPr>
      <w:r>
        <w:rPr>
          <w:rFonts w:ascii="Times New Roman" w:hAnsi="Times New Roman"/>
          <w:noProof/>
          <w:sz w:val="24"/>
        </w:rPr>
        <w:t xml:space="preserve">Kreeka Arengupank </w:t>
      </w:r>
      <w:r>
        <w:rPr>
          <w:rStyle w:val="normaltextrun"/>
          <w:rFonts w:ascii="Times New Roman" w:hAnsi="Times New Roman"/>
          <w:noProof/>
          <w:sz w:val="24"/>
        </w:rPr>
        <w:t>allkirjastab finantsvahendajatega rahastamislepingud kooskõlas põhinõuetega, mis esitatakse rakenduskokkuleppe lisas. Rahastamislepingute põhinõuded hõlmavad kõiki nõudeid, mille alusel rahastu tegutseb, sealhulgas järgmist: </w:t>
      </w:r>
    </w:p>
    <w:p w14:paraId="74B0ED8C" w14:textId="77777777" w:rsidR="00DE45BB" w:rsidRPr="00445574" w:rsidRDefault="00DE45BB" w:rsidP="00DE45BB">
      <w:pPr>
        <w:pStyle w:val="LegalNumPar2"/>
        <w:numPr>
          <w:ilvl w:val="1"/>
          <w:numId w:val="95"/>
        </w:numPr>
        <w:jc w:val="both"/>
        <w:rPr>
          <w:rFonts w:ascii="Times New Roman" w:hAnsi="Times New Roman" w:cs="Times New Roman"/>
          <w:noProof/>
          <w:sz w:val="24"/>
          <w:szCs w:val="24"/>
        </w:rPr>
      </w:pPr>
      <w:r>
        <w:rPr>
          <w:rFonts w:ascii="Times New Roman" w:hAnsi="Times New Roman"/>
          <w:noProof/>
          <w:sz w:val="24"/>
        </w:rPr>
        <w:t>Lõpliku otsuse laenude emiteerimise kohta teevad finantsvahendajad valitsusest sõltumatult kooskõlas oma põhimõtete ja menetlustega.</w:t>
      </w:r>
    </w:p>
    <w:p w14:paraId="4295F6EA" w14:textId="77777777" w:rsidR="00DE45BB" w:rsidRPr="00445574" w:rsidRDefault="00DE45BB" w:rsidP="00DE45BB">
      <w:pPr>
        <w:pStyle w:val="LegalNumPar2"/>
        <w:numPr>
          <w:ilvl w:val="1"/>
          <w:numId w:val="95"/>
        </w:numPr>
        <w:jc w:val="both"/>
        <w:rPr>
          <w:rFonts w:ascii="Times New Roman" w:hAnsi="Times New Roman" w:cs="Times New Roman"/>
          <w:noProof/>
          <w:sz w:val="24"/>
          <w:szCs w:val="24"/>
        </w:rPr>
      </w:pPr>
      <w:r>
        <w:rPr>
          <w:rFonts w:ascii="Times New Roman" w:hAnsi="Times New Roman"/>
          <w:noProof/>
          <w:sz w:val="24"/>
        </w:rPr>
        <w:t xml:space="preserve">Finantsvahendajate kohustus teha oma otsused </w:t>
      </w:r>
      <w:r w:rsidRPr="00746BE8">
        <w:rPr>
          <w:rFonts w:ascii="Times New Roman" w:hAnsi="Times New Roman"/>
          <w:i/>
          <w:iCs/>
          <w:noProof/>
          <w:sz w:val="24"/>
        </w:rPr>
        <w:t>mutatis mutandis</w:t>
      </w:r>
      <w:r>
        <w:rPr>
          <w:rFonts w:ascii="Times New Roman" w:hAnsi="Times New Roman"/>
          <w:noProof/>
          <w:sz w:val="24"/>
        </w:rPr>
        <w:t xml:space="preserve"> kooskõlas eespool nimetatud investeerimispoliitika nõuetega. </w:t>
      </w:r>
    </w:p>
    <w:p w14:paraId="0E2E4DF2" w14:textId="2AD00BEB" w:rsidR="00DE45BB" w:rsidRPr="00445574" w:rsidRDefault="00DE45BB" w:rsidP="00DE45BB">
      <w:pPr>
        <w:pStyle w:val="LegalNumPar2"/>
        <w:numPr>
          <w:ilvl w:val="1"/>
          <w:numId w:val="95"/>
        </w:numPr>
        <w:jc w:val="both"/>
        <w:rPr>
          <w:rFonts w:ascii="Times New Roman" w:hAnsi="Times New Roman" w:cs="Times New Roman"/>
          <w:noProof/>
          <w:sz w:val="24"/>
          <w:szCs w:val="24"/>
        </w:rPr>
      </w:pPr>
      <w:r>
        <w:rPr>
          <w:rFonts w:ascii="Times New Roman" w:hAnsi="Times New Roman"/>
          <w:noProof/>
          <w:sz w:val="24"/>
        </w:rPr>
        <w:t>Järelevalve-, auditeerimis- ja kontrollinõuded finantsvahendajatele, sealhulgas:</w:t>
      </w:r>
    </w:p>
    <w:p w14:paraId="2170F5B6" w14:textId="77777777" w:rsidR="00DE45BB" w:rsidRPr="00445574" w:rsidRDefault="00DE45BB" w:rsidP="00DE45BB">
      <w:pPr>
        <w:pStyle w:val="LegalNumPar2"/>
        <w:numPr>
          <w:ilvl w:val="2"/>
          <w:numId w:val="96"/>
        </w:numPr>
        <w:jc w:val="both"/>
        <w:rPr>
          <w:rFonts w:ascii="Times New Roman" w:hAnsi="Times New Roman" w:cs="Times New Roman"/>
          <w:noProof/>
          <w:sz w:val="24"/>
          <w:szCs w:val="24"/>
        </w:rPr>
      </w:pPr>
      <w:r>
        <w:rPr>
          <w:rFonts w:ascii="Times New Roman" w:hAnsi="Times New Roman"/>
          <w:noProof/>
          <w:sz w:val="24"/>
        </w:rPr>
        <w:t>Finantsvahendajate järelevalvesüsteemi kirjeldus, et anda aru kaasatud investeeringute kohta.</w:t>
      </w:r>
    </w:p>
    <w:p w14:paraId="058F14D2" w14:textId="77777777" w:rsidR="00DE45BB" w:rsidRPr="00445574" w:rsidRDefault="00DE45BB" w:rsidP="00DE45BB">
      <w:pPr>
        <w:pStyle w:val="LegalNumPar2"/>
        <w:numPr>
          <w:ilvl w:val="2"/>
          <w:numId w:val="96"/>
        </w:numPr>
        <w:jc w:val="both"/>
        <w:rPr>
          <w:rFonts w:ascii="Times New Roman" w:hAnsi="Times New Roman" w:cs="Times New Roman"/>
          <w:noProof/>
          <w:sz w:val="24"/>
          <w:szCs w:val="24"/>
        </w:rPr>
      </w:pPr>
      <w:r>
        <w:rPr>
          <w:rFonts w:ascii="Times New Roman" w:hAnsi="Times New Roman"/>
          <w:noProof/>
          <w:sz w:val="24"/>
        </w:rPr>
        <w:t xml:space="preserve">Selliste finantsvahendajate menetluste kirjeldus, millega tagatakse pettuste, korruptsiooni ja huvide konfliktide ennetamine, avastamine ja kõrvaldamine. </w:t>
      </w:r>
    </w:p>
    <w:p w14:paraId="5D1E7DA0" w14:textId="7C78B06A" w:rsidR="00DE45BB" w:rsidRPr="00445574" w:rsidRDefault="00DE45BB" w:rsidP="00DE45BB">
      <w:pPr>
        <w:pStyle w:val="LegalNumPar2"/>
        <w:numPr>
          <w:ilvl w:val="2"/>
          <w:numId w:val="96"/>
        </w:numPr>
        <w:jc w:val="both"/>
        <w:rPr>
          <w:rFonts w:ascii="Times New Roman" w:hAnsi="Times New Roman" w:cs="Times New Roman"/>
          <w:noProof/>
          <w:sz w:val="24"/>
          <w:szCs w:val="24"/>
        </w:rPr>
      </w:pPr>
      <w:r>
        <w:rPr>
          <w:rFonts w:ascii="Times New Roman" w:hAnsi="Times New Roman"/>
          <w:noProof/>
          <w:sz w:val="24"/>
        </w:rPr>
        <w:t>Kohustus kontrollida iga tegevuse rahastamiskõlblikkust vastavalt rakenduskokkuleppes sätestatud nõuetele, enne kui ta kohustub toimingut rahastama.</w:t>
      </w:r>
    </w:p>
    <w:p w14:paraId="75C64BF2" w14:textId="78D65B98" w:rsidR="00EF26F4" w:rsidRDefault="00DE45BB" w:rsidP="00DE45BB">
      <w:pPr>
        <w:pStyle w:val="LegalNumPar2"/>
        <w:numPr>
          <w:ilvl w:val="2"/>
          <w:numId w:val="96"/>
        </w:numPr>
        <w:jc w:val="both"/>
        <w:rPr>
          <w:rFonts w:ascii="Times New Roman" w:hAnsi="Times New Roman" w:cs="Times New Roman"/>
          <w:noProof/>
          <w:sz w:val="24"/>
          <w:szCs w:val="24"/>
        </w:rPr>
      </w:pPr>
      <w:r>
        <w:rPr>
          <w:rFonts w:ascii="Times New Roman" w:hAnsi="Times New Roman"/>
          <w:noProof/>
          <w:sz w:val="24"/>
        </w:rPr>
        <w:t xml:space="preserve">Kohustus teha riskipõhiseid järelauditeid kooskõlas finantsvahendajate auditikavaga. Nende audititega kontrollitakse järgmist: i) et kontrollisüsteemid on tõhusad, sealhulgas pettuste, korruptsiooni ja huvide konflikti avastamine; ii) kliimaeesmärgi nõuete täitmine; ning iii) järgitakse nõuet, et rahastu lõplikud abisaajad ei ole saanud samade kulude katmiseks toetust muudest liidu vahenditest. Auditite käigus kontrollitakse ka tehingute seaduslikkust ja kohaldatavate lepingute tingimuste täitmist. </w:t>
      </w:r>
    </w:p>
    <w:p w14:paraId="5284CC3B" w14:textId="77777777" w:rsidR="00EF26F4" w:rsidRDefault="00EF26F4">
      <w:pPr>
        <w:rPr>
          <w:rFonts w:ascii="Times New Roman" w:eastAsiaTheme="minorHAnsi" w:hAnsi="Times New Roman" w:cs="Times New Roman"/>
          <w:noProof/>
          <w:sz w:val="24"/>
          <w:szCs w:val="24"/>
        </w:rPr>
      </w:pPr>
      <w:r>
        <w:rPr>
          <w:noProof/>
        </w:rPr>
        <w:br w:type="page"/>
      </w:r>
    </w:p>
    <w:p w14:paraId="72F33F75" w14:textId="77777777" w:rsidR="00DE45BB" w:rsidRPr="00445574" w:rsidRDefault="00DE45BB" w:rsidP="00EF26F4">
      <w:pPr>
        <w:pStyle w:val="LegalNumPar2"/>
        <w:numPr>
          <w:ilvl w:val="0"/>
          <w:numId w:val="0"/>
        </w:numPr>
        <w:ind w:left="1069"/>
        <w:jc w:val="both"/>
        <w:rPr>
          <w:rFonts w:ascii="Times New Roman" w:hAnsi="Times New Roman" w:cs="Times New Roman"/>
          <w:noProof/>
          <w:sz w:val="24"/>
          <w:szCs w:val="24"/>
        </w:rPr>
      </w:pPr>
    </w:p>
    <w:p w14:paraId="535C8789" w14:textId="77777777" w:rsidR="00DE45BB" w:rsidRPr="004C50AD" w:rsidRDefault="00DE45BB" w:rsidP="00DE45BB">
      <w:pPr>
        <w:pStyle w:val="LegalNumPar"/>
        <w:jc w:val="both"/>
        <w:rPr>
          <w:rFonts w:ascii="Times New Roman" w:hAnsi="Times New Roman" w:cs="Times New Roman"/>
          <w:noProof/>
          <w:sz w:val="24"/>
          <w:szCs w:val="24"/>
        </w:rPr>
      </w:pPr>
      <w:r>
        <w:rPr>
          <w:rStyle w:val="normaltextrun"/>
          <w:rFonts w:ascii="Times New Roman" w:hAnsi="Times New Roman"/>
          <w:noProof/>
          <w:sz w:val="24"/>
        </w:rPr>
        <w:t>Nõuded rakenduspartneri tehtavatele kliimainvesteeringutele: vähemalt 120 miljonit eurot taaste- ja vastupidavusrahastu investeeringust rahastusse „Upgrade My Home“ aitab kaasa kliimamuutuste eesmärkide saavutamisele kooskõlas taaste- ja vastupidavusrahastu määruse VI lisaga</w:t>
      </w:r>
      <w:r w:rsidRPr="004C50AD">
        <w:rPr>
          <w:rStyle w:val="FootnoteReference"/>
          <w:rFonts w:ascii="Times New Roman" w:hAnsi="Times New Roman" w:cs="Times New Roman"/>
          <w:noProof/>
          <w:szCs w:val="24"/>
          <w:lang w:val="en-IE"/>
        </w:rPr>
        <w:footnoteReference w:id="6"/>
      </w:r>
      <w:r>
        <w:rPr>
          <w:rStyle w:val="normaltextrun"/>
          <w:rFonts w:ascii="Times New Roman" w:hAnsi="Times New Roman"/>
          <w:noProof/>
          <w:sz w:val="24"/>
        </w:rPr>
        <w:t>.</w:t>
      </w:r>
    </w:p>
    <w:p w14:paraId="5D6A2C48" w14:textId="1FC88018" w:rsidR="0094111C" w:rsidRDefault="00DE45BB" w:rsidP="00DE45BB">
      <w:pPr>
        <w:spacing w:before="120" w:after="120" w:line="240" w:lineRule="auto"/>
        <w:jc w:val="both"/>
        <w:rPr>
          <w:rFonts w:ascii="Times New Roman" w:hAnsi="Times New Roman"/>
          <w:b/>
          <w:noProof/>
          <w:sz w:val="24"/>
        </w:rPr>
      </w:pPr>
      <w:r>
        <w:rPr>
          <w:rFonts w:ascii="Times New Roman" w:hAnsi="Times New Roman"/>
          <w:noProof/>
          <w:sz w:val="24"/>
        </w:rPr>
        <w:t>Meetme rakendamine viiakse lõpule 31. augustiks 2026.</w:t>
      </w:r>
    </w:p>
    <w:p w14:paraId="2DE3A534" w14:textId="77777777" w:rsidR="008A4085" w:rsidRPr="00E02B5D" w:rsidRDefault="008A4085" w:rsidP="008A4085">
      <w:pPr>
        <w:spacing w:after="160" w:line="259" w:lineRule="auto"/>
        <w:ind w:left="709"/>
        <w:contextualSpacing/>
        <w:jc w:val="both"/>
        <w:rPr>
          <w:noProof/>
          <w:lang w:val="en-GB"/>
        </w:rPr>
      </w:pPr>
    </w:p>
    <w:p w14:paraId="0CEC766F" w14:textId="77777777" w:rsidR="008A4085" w:rsidRPr="00E02B5D" w:rsidRDefault="008A4085" w:rsidP="008A4085">
      <w:pPr>
        <w:spacing w:after="160" w:line="259" w:lineRule="auto"/>
        <w:ind w:left="709"/>
        <w:contextualSpacing/>
        <w:jc w:val="both"/>
        <w:rPr>
          <w:noProof/>
          <w:lang w:val="en-GB"/>
        </w:rPr>
        <w:sectPr w:rsidR="008A4085" w:rsidRPr="00E02B5D" w:rsidSect="008A4085">
          <w:headerReference w:type="even" r:id="rId56"/>
          <w:headerReference w:type="default" r:id="rId57"/>
          <w:footerReference w:type="even" r:id="rId58"/>
          <w:footerReference w:type="default" r:id="rId59"/>
          <w:headerReference w:type="first" r:id="rId60"/>
          <w:footerReference w:type="first" r:id="rId61"/>
          <w:pgSz w:w="11907" w:h="16839"/>
          <w:pgMar w:top="1134" w:right="1417" w:bottom="1134" w:left="1417" w:header="709" w:footer="326" w:gutter="0"/>
          <w:cols w:space="720"/>
          <w:docGrid w:linePitch="360"/>
        </w:sectPr>
      </w:pPr>
    </w:p>
    <w:p w14:paraId="66882FAD" w14:textId="77777777" w:rsidR="008A4085" w:rsidRPr="00E02B5D" w:rsidRDefault="00A34A8E" w:rsidP="008A4085">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B.4. </w:t>
      </w:r>
      <w:r>
        <w:rPr>
          <w:noProof/>
        </w:rPr>
        <w:tab/>
      </w:r>
      <w:r>
        <w:rPr>
          <w:rFonts w:ascii="Times New Roman" w:hAnsi="Times New Roman"/>
          <w:b/>
          <w:noProof/>
          <w:sz w:val="24"/>
          <w:u w:val="single"/>
        </w:rPr>
        <w:t xml:space="preserve">Laenu eesmärgid, sihid, näitajad ning seire ja rakendamise ajakava </w:t>
      </w:r>
    </w:p>
    <w:p w14:paraId="1199F843" w14:textId="77777777" w:rsidR="008A4085" w:rsidRPr="00E02B5D" w:rsidRDefault="00A34A8E" w:rsidP="008A4085">
      <w:pPr>
        <w:keepNext/>
        <w:keepLines/>
        <w:spacing w:before="40" w:after="240" w:line="240" w:lineRule="auto"/>
        <w:jc w:val="both"/>
        <w:outlineLvl w:val="4"/>
        <w:rPr>
          <w:rFonts w:ascii="Cambria" w:eastAsia="Times New Roman" w:hAnsi="Cambria"/>
          <w:noProof/>
          <w:color w:val="365F91"/>
          <w:sz w:val="24"/>
        </w:rPr>
      </w:pPr>
      <w:r>
        <w:rPr>
          <w:rFonts w:ascii="Cambria" w:hAnsi="Cambria"/>
          <w:noProof/>
          <w:color w:val="365F91"/>
          <w:sz w:val="24"/>
        </w:rPr>
        <w:t>Energiauuendusprogramm „Upgrade My Home“ (Meie kodu ajakohastamine) (16401)</w:t>
      </w: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1134"/>
        <w:gridCol w:w="1276"/>
        <w:gridCol w:w="1134"/>
        <w:gridCol w:w="1134"/>
        <w:gridCol w:w="713"/>
        <w:gridCol w:w="711"/>
        <w:gridCol w:w="851"/>
        <w:gridCol w:w="653"/>
        <w:gridCol w:w="5730"/>
      </w:tblGrid>
      <w:tr w:rsidR="008A4085" w:rsidRPr="003B132A" w14:paraId="145C01A9" w14:textId="77777777" w:rsidTr="00EF26F4">
        <w:trPr>
          <w:trHeight w:val="810"/>
          <w:tblHeader/>
          <w:jc w:val="center"/>
        </w:trPr>
        <w:tc>
          <w:tcPr>
            <w:tcW w:w="988" w:type="dxa"/>
            <w:vMerge w:val="restart"/>
            <w:shd w:val="clear" w:color="auto" w:fill="BDD7EE"/>
            <w:vAlign w:val="center"/>
            <w:hideMark/>
          </w:tcPr>
          <w:p w14:paraId="5AD5D1D8" w14:textId="77777777" w:rsidR="008A4085" w:rsidRPr="00E02B5D" w:rsidRDefault="008A4085">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Järjekorranumber</w:t>
            </w:r>
          </w:p>
        </w:tc>
        <w:tc>
          <w:tcPr>
            <w:tcW w:w="1559" w:type="dxa"/>
            <w:vMerge w:val="restart"/>
            <w:shd w:val="clear" w:color="auto" w:fill="BDD7EE"/>
            <w:vAlign w:val="center"/>
            <w:hideMark/>
          </w:tcPr>
          <w:p w14:paraId="57E02B73" w14:textId="77777777" w:rsidR="008A4085" w:rsidRPr="00E02B5D" w:rsidRDefault="008A4085">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Seotud meede (reform või investeering)</w:t>
            </w:r>
          </w:p>
        </w:tc>
        <w:tc>
          <w:tcPr>
            <w:tcW w:w="1134" w:type="dxa"/>
            <w:vMerge w:val="restart"/>
            <w:shd w:val="clear" w:color="auto" w:fill="BDD7EE"/>
            <w:vAlign w:val="center"/>
            <w:hideMark/>
          </w:tcPr>
          <w:p w14:paraId="4DEFCEC4" w14:textId="77777777" w:rsidR="008A4085" w:rsidRPr="00E02B5D" w:rsidRDefault="008A4085">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Eesmärk / siht</w:t>
            </w:r>
          </w:p>
        </w:tc>
        <w:tc>
          <w:tcPr>
            <w:tcW w:w="1276" w:type="dxa"/>
            <w:vMerge w:val="restart"/>
            <w:shd w:val="clear" w:color="auto" w:fill="BDD7EE"/>
            <w:vAlign w:val="center"/>
            <w:hideMark/>
          </w:tcPr>
          <w:p w14:paraId="03DC15F1" w14:textId="77777777" w:rsidR="008A4085" w:rsidRPr="00E02B5D" w:rsidRDefault="008A4085">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Nimi</w:t>
            </w:r>
          </w:p>
        </w:tc>
        <w:tc>
          <w:tcPr>
            <w:tcW w:w="1134" w:type="dxa"/>
            <w:vMerge w:val="restart"/>
            <w:shd w:val="clear" w:color="auto" w:fill="BDD7EE"/>
            <w:vAlign w:val="center"/>
            <w:hideMark/>
          </w:tcPr>
          <w:p w14:paraId="2D425EC5" w14:textId="77777777" w:rsidR="008A4085" w:rsidRPr="00E02B5D" w:rsidRDefault="008A4085">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Kvalitatiivsed näitajad (eesmärkide puhul)</w:t>
            </w:r>
          </w:p>
        </w:tc>
        <w:tc>
          <w:tcPr>
            <w:tcW w:w="2558" w:type="dxa"/>
            <w:gridSpan w:val="3"/>
            <w:shd w:val="clear" w:color="auto" w:fill="BDD7EE"/>
            <w:vAlign w:val="center"/>
            <w:hideMark/>
          </w:tcPr>
          <w:p w14:paraId="663A8973" w14:textId="77777777" w:rsidR="008A4085" w:rsidRPr="00E02B5D" w:rsidRDefault="008A4085">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Kvantitatiivsed näitajad (sihtide puhul)</w:t>
            </w:r>
          </w:p>
        </w:tc>
        <w:tc>
          <w:tcPr>
            <w:tcW w:w="1504" w:type="dxa"/>
            <w:gridSpan w:val="2"/>
            <w:shd w:val="clear" w:color="auto" w:fill="BDD7EE"/>
            <w:vAlign w:val="center"/>
            <w:hideMark/>
          </w:tcPr>
          <w:p w14:paraId="6EB7F178" w14:textId="77777777" w:rsidR="008A4085" w:rsidRPr="00E02B5D" w:rsidRDefault="008A4085">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Lõpuleviimise soovituslik ajakava</w:t>
            </w:r>
          </w:p>
        </w:tc>
        <w:tc>
          <w:tcPr>
            <w:tcW w:w="5730" w:type="dxa"/>
            <w:vMerge w:val="restart"/>
            <w:shd w:val="clear" w:color="auto" w:fill="BDD7EE"/>
            <w:vAlign w:val="center"/>
            <w:hideMark/>
          </w:tcPr>
          <w:p w14:paraId="21B769A1" w14:textId="77777777" w:rsidR="008A4085" w:rsidRPr="00E02B5D" w:rsidRDefault="008A4085">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Iga eesmärgi ja sihi kirjeldus</w:t>
            </w:r>
          </w:p>
        </w:tc>
      </w:tr>
      <w:tr w:rsidR="00CE445C" w:rsidRPr="00E02B5D" w14:paraId="2392B254" w14:textId="77777777" w:rsidTr="00EF26F4">
        <w:trPr>
          <w:trHeight w:val="581"/>
          <w:tblHeader/>
          <w:jc w:val="center"/>
        </w:trPr>
        <w:tc>
          <w:tcPr>
            <w:tcW w:w="988" w:type="dxa"/>
            <w:vMerge/>
            <w:vAlign w:val="center"/>
            <w:hideMark/>
          </w:tcPr>
          <w:p w14:paraId="28B85E67" w14:textId="77777777" w:rsidR="008A4085" w:rsidRPr="00AD4052" w:rsidRDefault="008A4085">
            <w:pPr>
              <w:spacing w:after="0" w:line="240" w:lineRule="auto"/>
              <w:rPr>
                <w:rFonts w:ascii="Times New Roman" w:eastAsia="Times New Roman" w:hAnsi="Times New Roman" w:cs="Times New Roman"/>
                <w:b/>
                <w:bCs/>
                <w:noProof/>
                <w:sz w:val="24"/>
                <w:szCs w:val="24"/>
                <w:lang w:eastAsia="en-GB"/>
              </w:rPr>
            </w:pPr>
          </w:p>
        </w:tc>
        <w:tc>
          <w:tcPr>
            <w:tcW w:w="1559" w:type="dxa"/>
            <w:vMerge/>
            <w:vAlign w:val="center"/>
            <w:hideMark/>
          </w:tcPr>
          <w:p w14:paraId="440A5D20" w14:textId="77777777" w:rsidR="008A4085" w:rsidRPr="00AD4052" w:rsidRDefault="008A4085">
            <w:pPr>
              <w:spacing w:after="0" w:line="240" w:lineRule="auto"/>
              <w:rPr>
                <w:rFonts w:ascii="Times New Roman" w:eastAsia="Times New Roman" w:hAnsi="Times New Roman" w:cs="Times New Roman"/>
                <w:b/>
                <w:bCs/>
                <w:noProof/>
                <w:sz w:val="24"/>
                <w:szCs w:val="24"/>
                <w:lang w:eastAsia="en-GB"/>
              </w:rPr>
            </w:pPr>
          </w:p>
        </w:tc>
        <w:tc>
          <w:tcPr>
            <w:tcW w:w="1134" w:type="dxa"/>
            <w:vMerge/>
            <w:vAlign w:val="center"/>
            <w:hideMark/>
          </w:tcPr>
          <w:p w14:paraId="5CA367F2" w14:textId="77777777" w:rsidR="008A4085" w:rsidRPr="00AD4052" w:rsidRDefault="008A4085">
            <w:pPr>
              <w:spacing w:after="0" w:line="240" w:lineRule="auto"/>
              <w:rPr>
                <w:rFonts w:ascii="Times New Roman" w:eastAsia="Times New Roman" w:hAnsi="Times New Roman" w:cs="Times New Roman"/>
                <w:b/>
                <w:bCs/>
                <w:noProof/>
                <w:sz w:val="24"/>
                <w:szCs w:val="24"/>
                <w:lang w:eastAsia="en-GB"/>
              </w:rPr>
            </w:pPr>
          </w:p>
        </w:tc>
        <w:tc>
          <w:tcPr>
            <w:tcW w:w="1276" w:type="dxa"/>
            <w:vMerge/>
            <w:vAlign w:val="center"/>
            <w:hideMark/>
          </w:tcPr>
          <w:p w14:paraId="03D78828" w14:textId="77777777" w:rsidR="008A4085" w:rsidRPr="00AD4052" w:rsidRDefault="008A4085">
            <w:pPr>
              <w:spacing w:after="0" w:line="240" w:lineRule="auto"/>
              <w:rPr>
                <w:rFonts w:ascii="Times New Roman" w:eastAsia="Times New Roman" w:hAnsi="Times New Roman" w:cs="Times New Roman"/>
                <w:b/>
                <w:bCs/>
                <w:noProof/>
                <w:sz w:val="24"/>
                <w:szCs w:val="24"/>
                <w:lang w:eastAsia="en-GB"/>
              </w:rPr>
            </w:pPr>
          </w:p>
        </w:tc>
        <w:tc>
          <w:tcPr>
            <w:tcW w:w="1134" w:type="dxa"/>
            <w:vMerge/>
            <w:vAlign w:val="center"/>
            <w:hideMark/>
          </w:tcPr>
          <w:p w14:paraId="7E8F26D1" w14:textId="77777777" w:rsidR="008A4085" w:rsidRPr="00AD4052" w:rsidRDefault="008A4085">
            <w:pPr>
              <w:spacing w:after="0" w:line="240" w:lineRule="auto"/>
              <w:rPr>
                <w:rFonts w:ascii="Times New Roman" w:eastAsia="Times New Roman" w:hAnsi="Times New Roman" w:cs="Times New Roman"/>
                <w:b/>
                <w:bCs/>
                <w:noProof/>
                <w:sz w:val="24"/>
                <w:szCs w:val="24"/>
                <w:lang w:eastAsia="en-GB"/>
              </w:rPr>
            </w:pPr>
          </w:p>
        </w:tc>
        <w:tc>
          <w:tcPr>
            <w:tcW w:w="1134" w:type="dxa"/>
            <w:shd w:val="clear" w:color="auto" w:fill="BDD7EE"/>
            <w:vAlign w:val="center"/>
            <w:hideMark/>
          </w:tcPr>
          <w:p w14:paraId="54D11A48" w14:textId="77777777" w:rsidR="008A4085" w:rsidRPr="00E02B5D" w:rsidRDefault="008A4085">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713" w:type="dxa"/>
            <w:shd w:val="clear" w:color="auto" w:fill="BDD7EE"/>
            <w:vAlign w:val="center"/>
            <w:hideMark/>
          </w:tcPr>
          <w:p w14:paraId="74EA2DD2" w14:textId="77777777" w:rsidR="008A4085" w:rsidRPr="00E02B5D" w:rsidRDefault="008A4085">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Lähtetase</w:t>
            </w:r>
          </w:p>
        </w:tc>
        <w:tc>
          <w:tcPr>
            <w:tcW w:w="711" w:type="dxa"/>
            <w:shd w:val="clear" w:color="auto" w:fill="BDD7EE"/>
            <w:vAlign w:val="center"/>
            <w:hideMark/>
          </w:tcPr>
          <w:p w14:paraId="56ECC02F" w14:textId="77777777" w:rsidR="008A4085" w:rsidRPr="00E02B5D" w:rsidRDefault="008A4085">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w:t>
            </w:r>
          </w:p>
        </w:tc>
        <w:tc>
          <w:tcPr>
            <w:tcW w:w="851" w:type="dxa"/>
            <w:shd w:val="clear" w:color="auto" w:fill="BDD7EE"/>
            <w:vAlign w:val="center"/>
            <w:hideMark/>
          </w:tcPr>
          <w:p w14:paraId="53959E52" w14:textId="77777777" w:rsidR="008A4085" w:rsidRPr="00E02B5D" w:rsidRDefault="008A4085">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653" w:type="dxa"/>
            <w:shd w:val="clear" w:color="auto" w:fill="BDD7EE"/>
            <w:vAlign w:val="center"/>
            <w:hideMark/>
          </w:tcPr>
          <w:p w14:paraId="2DE78210" w14:textId="77777777" w:rsidR="008A4085" w:rsidRPr="00E02B5D" w:rsidRDefault="008A4085">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5730" w:type="dxa"/>
            <w:vMerge/>
            <w:vAlign w:val="center"/>
            <w:hideMark/>
          </w:tcPr>
          <w:p w14:paraId="25756439" w14:textId="77777777" w:rsidR="008A4085" w:rsidRPr="00E02B5D" w:rsidRDefault="008A4085">
            <w:pPr>
              <w:spacing w:after="0" w:line="240" w:lineRule="auto"/>
              <w:rPr>
                <w:rFonts w:ascii="Times New Roman" w:eastAsia="Times New Roman" w:hAnsi="Times New Roman" w:cs="Times New Roman"/>
                <w:b/>
                <w:bCs/>
                <w:noProof/>
                <w:sz w:val="24"/>
                <w:szCs w:val="24"/>
                <w:lang w:val="en-GB" w:eastAsia="en-GB"/>
              </w:rPr>
            </w:pPr>
          </w:p>
        </w:tc>
      </w:tr>
      <w:tr w:rsidR="006D7FFA" w:rsidRPr="003B132A" w14:paraId="10359369" w14:textId="77777777" w:rsidTr="00EF26F4">
        <w:trPr>
          <w:trHeight w:val="314"/>
          <w:jc w:val="center"/>
        </w:trPr>
        <w:tc>
          <w:tcPr>
            <w:tcW w:w="988" w:type="dxa"/>
            <w:shd w:val="clear" w:color="auto" w:fill="C6EFCE"/>
            <w:noWrap/>
          </w:tcPr>
          <w:p w14:paraId="1F80C8E6" w14:textId="5E4A209E" w:rsidR="006D7FFA" w:rsidRPr="00E02B5D" w:rsidRDefault="00704F48" w:rsidP="006D7FFA">
            <w:pPr>
              <w:spacing w:after="0" w:line="240" w:lineRule="auto"/>
              <w:rPr>
                <w:rFonts w:eastAsia="Times New Roman" w:cs="Calibri"/>
                <w:noProof/>
                <w:color w:val="006100"/>
              </w:rPr>
            </w:pPr>
            <w:r>
              <w:rPr>
                <w:noProof/>
                <w:color w:val="006100"/>
                <w:sz w:val="18"/>
              </w:rPr>
              <w:t>374</w:t>
            </w:r>
          </w:p>
        </w:tc>
        <w:tc>
          <w:tcPr>
            <w:tcW w:w="1559" w:type="dxa"/>
            <w:shd w:val="clear" w:color="auto" w:fill="C6EFCE"/>
            <w:noWrap/>
          </w:tcPr>
          <w:p w14:paraId="2AA7D175" w14:textId="356231A8" w:rsidR="006D7FFA" w:rsidRPr="00E02B5D" w:rsidRDefault="006D7FFA" w:rsidP="006D7FFA">
            <w:pPr>
              <w:spacing w:after="0" w:line="240" w:lineRule="auto"/>
              <w:rPr>
                <w:rFonts w:eastAsia="Times New Roman" w:cs="Calibri"/>
                <w:noProof/>
                <w:color w:val="006100"/>
                <w:sz w:val="18"/>
                <w:szCs w:val="18"/>
              </w:rPr>
            </w:pPr>
            <w:r>
              <w:rPr>
                <w:noProof/>
                <w:color w:val="006100"/>
                <w:sz w:val="18"/>
              </w:rPr>
              <w:t>2-1.2. Renoveerimine – 16401_Energiauuendusprogramm „Upgrade My Home“</w:t>
            </w:r>
          </w:p>
        </w:tc>
        <w:tc>
          <w:tcPr>
            <w:tcW w:w="1134" w:type="dxa"/>
            <w:shd w:val="clear" w:color="auto" w:fill="C6EFCE"/>
            <w:noWrap/>
          </w:tcPr>
          <w:p w14:paraId="031B4E4C" w14:textId="77777777" w:rsidR="006D7FFA" w:rsidRPr="00E02B5D" w:rsidRDefault="006D7FFA" w:rsidP="006D7FFA">
            <w:pPr>
              <w:spacing w:after="0" w:line="240" w:lineRule="auto"/>
              <w:rPr>
                <w:rFonts w:eastAsia="Times New Roman" w:cs="Calibri"/>
                <w:noProof/>
                <w:color w:val="006100"/>
                <w:sz w:val="18"/>
                <w:szCs w:val="18"/>
              </w:rPr>
            </w:pPr>
            <w:r>
              <w:rPr>
                <w:noProof/>
                <w:color w:val="006100"/>
                <w:sz w:val="18"/>
              </w:rPr>
              <w:t>Eesmärk</w:t>
            </w:r>
          </w:p>
        </w:tc>
        <w:tc>
          <w:tcPr>
            <w:tcW w:w="1276" w:type="dxa"/>
            <w:shd w:val="clear" w:color="auto" w:fill="C6EFCE"/>
            <w:noWrap/>
          </w:tcPr>
          <w:p w14:paraId="49977673" w14:textId="5DC50762" w:rsidR="006D7FFA" w:rsidRPr="00E02B5D" w:rsidRDefault="00EC69D1" w:rsidP="006D7FFA">
            <w:pPr>
              <w:spacing w:after="0" w:line="240" w:lineRule="auto"/>
              <w:rPr>
                <w:rFonts w:eastAsia="Times New Roman" w:cs="Calibri"/>
                <w:noProof/>
                <w:color w:val="006100"/>
                <w:sz w:val="18"/>
                <w:szCs w:val="18"/>
              </w:rPr>
            </w:pPr>
            <w:r>
              <w:rPr>
                <w:noProof/>
                <w:color w:val="006100"/>
                <w:sz w:val="18"/>
              </w:rPr>
              <w:t>„Upgrade My Home“ – Kreeka Arengupanga ja rahandusministeeriumi vaheline rakendusleping</w:t>
            </w:r>
          </w:p>
        </w:tc>
        <w:tc>
          <w:tcPr>
            <w:tcW w:w="1134" w:type="dxa"/>
            <w:shd w:val="clear" w:color="auto" w:fill="C6EFCE"/>
            <w:noWrap/>
          </w:tcPr>
          <w:p w14:paraId="52A80680" w14:textId="789F176C" w:rsidR="006D7FFA" w:rsidRPr="003F268B" w:rsidRDefault="006D7FFA" w:rsidP="006D7FFA">
            <w:pPr>
              <w:spacing w:after="0" w:line="240" w:lineRule="auto"/>
              <w:rPr>
                <w:noProof/>
                <w:color w:val="006100"/>
                <w:sz w:val="18"/>
              </w:rPr>
            </w:pPr>
            <w:r>
              <w:rPr>
                <w:noProof/>
                <w:color w:val="006100"/>
                <w:sz w:val="18"/>
              </w:rPr>
              <w:t>Rakenduskokkuleppe jõustumine</w:t>
            </w:r>
          </w:p>
        </w:tc>
        <w:tc>
          <w:tcPr>
            <w:tcW w:w="1134" w:type="dxa"/>
            <w:shd w:val="clear" w:color="auto" w:fill="C6EFCE"/>
            <w:noWrap/>
          </w:tcPr>
          <w:p w14:paraId="130E3C7C" w14:textId="77777777" w:rsidR="006D7FFA" w:rsidRPr="003F268B" w:rsidRDefault="006D7FFA" w:rsidP="006D7FFA">
            <w:pPr>
              <w:spacing w:after="0" w:line="240" w:lineRule="auto"/>
              <w:rPr>
                <w:noProof/>
                <w:color w:val="006100"/>
                <w:sz w:val="18"/>
                <w:lang w:val="en-GB"/>
              </w:rPr>
            </w:pPr>
          </w:p>
        </w:tc>
        <w:tc>
          <w:tcPr>
            <w:tcW w:w="713" w:type="dxa"/>
            <w:shd w:val="clear" w:color="auto" w:fill="C6EFCE"/>
            <w:noWrap/>
          </w:tcPr>
          <w:p w14:paraId="24332EAD" w14:textId="77777777" w:rsidR="006D7FFA" w:rsidRPr="003F268B" w:rsidRDefault="006D7FFA" w:rsidP="006D7FFA">
            <w:pPr>
              <w:spacing w:after="0" w:line="240" w:lineRule="auto"/>
              <w:rPr>
                <w:noProof/>
                <w:color w:val="006100"/>
                <w:sz w:val="18"/>
                <w:lang w:val="en-GB"/>
              </w:rPr>
            </w:pPr>
          </w:p>
        </w:tc>
        <w:tc>
          <w:tcPr>
            <w:tcW w:w="711" w:type="dxa"/>
            <w:shd w:val="clear" w:color="auto" w:fill="C6EFCE"/>
            <w:noWrap/>
          </w:tcPr>
          <w:p w14:paraId="5A925D37" w14:textId="77777777" w:rsidR="006D7FFA" w:rsidRPr="003F268B" w:rsidRDefault="006D7FFA" w:rsidP="006D7FFA">
            <w:pPr>
              <w:spacing w:after="0" w:line="240" w:lineRule="auto"/>
              <w:rPr>
                <w:noProof/>
                <w:color w:val="006100"/>
                <w:sz w:val="18"/>
                <w:lang w:val="en-GB"/>
              </w:rPr>
            </w:pPr>
          </w:p>
        </w:tc>
        <w:tc>
          <w:tcPr>
            <w:tcW w:w="851" w:type="dxa"/>
            <w:shd w:val="clear" w:color="auto" w:fill="C6EFCE"/>
            <w:noWrap/>
          </w:tcPr>
          <w:p w14:paraId="3C0EF3ED" w14:textId="77777777" w:rsidR="006D7FFA" w:rsidRPr="003F268B" w:rsidRDefault="006D7FFA" w:rsidP="006D7FFA">
            <w:pPr>
              <w:spacing w:after="0" w:line="240" w:lineRule="auto"/>
              <w:rPr>
                <w:noProof/>
                <w:color w:val="006100"/>
                <w:sz w:val="18"/>
              </w:rPr>
            </w:pPr>
            <w:r>
              <w:rPr>
                <w:noProof/>
                <w:color w:val="006100"/>
                <w:sz w:val="18"/>
              </w:rPr>
              <w:t>4. kv</w:t>
            </w:r>
          </w:p>
        </w:tc>
        <w:tc>
          <w:tcPr>
            <w:tcW w:w="653" w:type="dxa"/>
            <w:shd w:val="clear" w:color="auto" w:fill="C6EFCE"/>
            <w:noWrap/>
          </w:tcPr>
          <w:p w14:paraId="24B0A8FC" w14:textId="77777777" w:rsidR="006D7FFA" w:rsidRPr="003F268B" w:rsidRDefault="006D7FFA" w:rsidP="006D7FFA">
            <w:pPr>
              <w:spacing w:after="0" w:line="240" w:lineRule="auto"/>
              <w:rPr>
                <w:noProof/>
                <w:color w:val="006100"/>
                <w:sz w:val="18"/>
              </w:rPr>
            </w:pPr>
            <w:r>
              <w:rPr>
                <w:noProof/>
                <w:color w:val="006100"/>
                <w:sz w:val="18"/>
              </w:rPr>
              <w:t>2024</w:t>
            </w:r>
          </w:p>
        </w:tc>
        <w:tc>
          <w:tcPr>
            <w:tcW w:w="5730" w:type="dxa"/>
            <w:shd w:val="clear" w:color="auto" w:fill="C6EFCE"/>
            <w:noWrap/>
          </w:tcPr>
          <w:p w14:paraId="284F95E1" w14:textId="4F21C0EE" w:rsidR="006D7FFA" w:rsidRPr="003F268B" w:rsidRDefault="578000AC" w:rsidP="006D7FFA">
            <w:pPr>
              <w:spacing w:after="0" w:line="240" w:lineRule="auto"/>
              <w:rPr>
                <w:noProof/>
                <w:color w:val="006100"/>
                <w:sz w:val="18"/>
              </w:rPr>
            </w:pPr>
            <w:r>
              <w:rPr>
                <w:noProof/>
                <w:color w:val="006100"/>
                <w:sz w:val="18"/>
              </w:rPr>
              <w:t>Rakenduskokkuleppe jõustumine.</w:t>
            </w:r>
          </w:p>
        </w:tc>
      </w:tr>
      <w:tr w:rsidR="003167D9" w:rsidRPr="003B132A" w14:paraId="5F424647" w14:textId="77777777" w:rsidTr="00EF26F4">
        <w:trPr>
          <w:trHeight w:val="314"/>
          <w:jc w:val="center"/>
        </w:trPr>
        <w:tc>
          <w:tcPr>
            <w:tcW w:w="988" w:type="dxa"/>
            <w:shd w:val="clear" w:color="auto" w:fill="C6EFCE"/>
            <w:noWrap/>
            <w:hideMark/>
          </w:tcPr>
          <w:p w14:paraId="28CE16B1" w14:textId="768DDE50" w:rsidR="003167D9" w:rsidRPr="00E02B5D" w:rsidRDefault="00704F48" w:rsidP="003167D9">
            <w:pPr>
              <w:spacing w:after="0" w:line="240" w:lineRule="auto"/>
              <w:rPr>
                <w:noProof/>
                <w:color w:val="006100"/>
                <w:sz w:val="18"/>
              </w:rPr>
            </w:pPr>
            <w:r>
              <w:rPr>
                <w:noProof/>
                <w:color w:val="006100"/>
                <w:sz w:val="18"/>
              </w:rPr>
              <w:t>375</w:t>
            </w:r>
          </w:p>
        </w:tc>
        <w:tc>
          <w:tcPr>
            <w:tcW w:w="1559" w:type="dxa"/>
            <w:shd w:val="clear" w:color="auto" w:fill="C6EFCE"/>
            <w:noWrap/>
            <w:hideMark/>
          </w:tcPr>
          <w:p w14:paraId="054952FB" w14:textId="1317DA18" w:rsidR="003167D9" w:rsidRPr="00E02B5D" w:rsidRDefault="003167D9" w:rsidP="003167D9">
            <w:pPr>
              <w:spacing w:after="0" w:line="240" w:lineRule="auto"/>
              <w:rPr>
                <w:rFonts w:eastAsia="Times New Roman" w:cs="Calibri"/>
                <w:noProof/>
                <w:color w:val="006100"/>
                <w:sz w:val="18"/>
                <w:szCs w:val="18"/>
              </w:rPr>
            </w:pPr>
            <w:r>
              <w:rPr>
                <w:noProof/>
                <w:color w:val="006100"/>
                <w:sz w:val="18"/>
              </w:rPr>
              <w:t>2-1.2. Renoveerimine – 16401_Energiauuendusprogramm „Upgrade My Home“</w:t>
            </w:r>
          </w:p>
        </w:tc>
        <w:tc>
          <w:tcPr>
            <w:tcW w:w="1134" w:type="dxa"/>
            <w:shd w:val="clear" w:color="auto" w:fill="C6EFCE"/>
            <w:noWrap/>
          </w:tcPr>
          <w:p w14:paraId="69011004" w14:textId="77777777" w:rsidR="003167D9" w:rsidRPr="00E02B5D" w:rsidRDefault="003167D9" w:rsidP="003167D9">
            <w:pPr>
              <w:spacing w:after="0" w:line="240" w:lineRule="auto"/>
              <w:rPr>
                <w:rFonts w:eastAsia="Times New Roman" w:cs="Calibri"/>
                <w:noProof/>
                <w:color w:val="006100"/>
                <w:sz w:val="18"/>
                <w:szCs w:val="18"/>
              </w:rPr>
            </w:pPr>
            <w:r>
              <w:rPr>
                <w:noProof/>
                <w:color w:val="006100"/>
                <w:sz w:val="18"/>
              </w:rPr>
              <w:t>Siht</w:t>
            </w:r>
          </w:p>
        </w:tc>
        <w:tc>
          <w:tcPr>
            <w:tcW w:w="1276" w:type="dxa"/>
            <w:shd w:val="clear" w:color="auto" w:fill="C6EFCE"/>
            <w:noWrap/>
          </w:tcPr>
          <w:p w14:paraId="68D0696E" w14:textId="1771D1D3" w:rsidR="003167D9" w:rsidRPr="00E02B5D" w:rsidRDefault="00EC69D1" w:rsidP="003167D9">
            <w:pPr>
              <w:spacing w:after="0" w:line="240" w:lineRule="auto"/>
              <w:rPr>
                <w:rFonts w:eastAsia="Times New Roman" w:cs="Calibri"/>
                <w:noProof/>
                <w:color w:val="006100"/>
                <w:sz w:val="18"/>
                <w:szCs w:val="18"/>
              </w:rPr>
            </w:pPr>
            <w:r>
              <w:rPr>
                <w:noProof/>
                <w:color w:val="006100"/>
                <w:sz w:val="18"/>
              </w:rPr>
              <w:t>„Upgrade My Home“ – lõplike toetusesaajatega allkirjastatud juriidilised lepingud – 50 %</w:t>
            </w:r>
          </w:p>
        </w:tc>
        <w:tc>
          <w:tcPr>
            <w:tcW w:w="1134" w:type="dxa"/>
            <w:shd w:val="clear" w:color="auto" w:fill="C6EFCE"/>
            <w:noWrap/>
          </w:tcPr>
          <w:p w14:paraId="1E698418" w14:textId="77777777" w:rsidR="003167D9" w:rsidRPr="00E02B5D" w:rsidRDefault="003167D9" w:rsidP="003167D9">
            <w:pPr>
              <w:spacing w:after="0" w:line="240" w:lineRule="auto"/>
              <w:rPr>
                <w:rFonts w:eastAsia="Times New Roman" w:cs="Calibri"/>
                <w:noProof/>
                <w:color w:val="006100"/>
                <w:sz w:val="18"/>
                <w:szCs w:val="18"/>
                <w:lang w:val="en-GB"/>
              </w:rPr>
            </w:pPr>
          </w:p>
        </w:tc>
        <w:tc>
          <w:tcPr>
            <w:tcW w:w="1134" w:type="dxa"/>
            <w:shd w:val="clear" w:color="auto" w:fill="C6EFCE"/>
            <w:noWrap/>
          </w:tcPr>
          <w:p w14:paraId="50FD4C1B" w14:textId="77777777" w:rsidR="003167D9" w:rsidRPr="00E02B5D" w:rsidRDefault="003167D9" w:rsidP="003167D9">
            <w:pPr>
              <w:spacing w:after="0" w:line="240" w:lineRule="auto"/>
              <w:rPr>
                <w:rFonts w:eastAsia="Times New Roman" w:cs="Calibri"/>
                <w:noProof/>
                <w:color w:val="006100"/>
                <w:sz w:val="18"/>
                <w:szCs w:val="18"/>
              </w:rPr>
            </w:pPr>
            <w:r>
              <w:rPr>
                <w:noProof/>
                <w:color w:val="006100"/>
                <w:sz w:val="18"/>
              </w:rPr>
              <w:t>Protsent (%)</w:t>
            </w:r>
          </w:p>
        </w:tc>
        <w:tc>
          <w:tcPr>
            <w:tcW w:w="713" w:type="dxa"/>
            <w:shd w:val="clear" w:color="auto" w:fill="C6EFCE"/>
            <w:noWrap/>
          </w:tcPr>
          <w:p w14:paraId="205D9B46" w14:textId="77777777" w:rsidR="003167D9" w:rsidRPr="00E02B5D" w:rsidRDefault="003167D9" w:rsidP="003167D9">
            <w:pPr>
              <w:spacing w:after="0" w:line="240" w:lineRule="auto"/>
              <w:rPr>
                <w:rFonts w:eastAsia="Times New Roman" w:cs="Calibri"/>
                <w:noProof/>
                <w:color w:val="006100"/>
                <w:sz w:val="18"/>
                <w:szCs w:val="18"/>
              </w:rPr>
            </w:pPr>
            <w:r>
              <w:rPr>
                <w:noProof/>
                <w:color w:val="006100"/>
                <w:sz w:val="18"/>
              </w:rPr>
              <w:t>0 %</w:t>
            </w:r>
          </w:p>
        </w:tc>
        <w:tc>
          <w:tcPr>
            <w:tcW w:w="711" w:type="dxa"/>
            <w:shd w:val="clear" w:color="auto" w:fill="C6EFCE"/>
            <w:noWrap/>
          </w:tcPr>
          <w:p w14:paraId="421AA2BF" w14:textId="77777777" w:rsidR="003167D9" w:rsidRPr="00E02B5D" w:rsidRDefault="003167D9" w:rsidP="003167D9">
            <w:pPr>
              <w:spacing w:after="0" w:line="240" w:lineRule="auto"/>
              <w:rPr>
                <w:rFonts w:eastAsia="Times New Roman" w:cs="Calibri"/>
                <w:noProof/>
                <w:color w:val="006100"/>
                <w:sz w:val="18"/>
                <w:szCs w:val="18"/>
              </w:rPr>
            </w:pPr>
            <w:r>
              <w:rPr>
                <w:noProof/>
                <w:color w:val="006100"/>
                <w:sz w:val="18"/>
              </w:rPr>
              <w:t>50 %</w:t>
            </w:r>
          </w:p>
        </w:tc>
        <w:tc>
          <w:tcPr>
            <w:tcW w:w="851" w:type="dxa"/>
            <w:shd w:val="clear" w:color="auto" w:fill="C6EFCE"/>
            <w:noWrap/>
          </w:tcPr>
          <w:p w14:paraId="12E25CD2" w14:textId="77777777" w:rsidR="003167D9" w:rsidRPr="00E02B5D" w:rsidRDefault="003167D9" w:rsidP="003167D9">
            <w:pPr>
              <w:spacing w:after="0" w:line="240" w:lineRule="auto"/>
              <w:rPr>
                <w:rFonts w:eastAsia="Times New Roman" w:cs="Calibri"/>
                <w:noProof/>
                <w:color w:val="006100"/>
                <w:sz w:val="18"/>
                <w:szCs w:val="18"/>
              </w:rPr>
            </w:pPr>
            <w:r>
              <w:rPr>
                <w:noProof/>
                <w:color w:val="006100"/>
                <w:sz w:val="18"/>
              </w:rPr>
              <w:t>4. kv</w:t>
            </w:r>
          </w:p>
        </w:tc>
        <w:tc>
          <w:tcPr>
            <w:tcW w:w="653" w:type="dxa"/>
            <w:shd w:val="clear" w:color="auto" w:fill="C6EFCE"/>
            <w:noWrap/>
          </w:tcPr>
          <w:p w14:paraId="110F9931" w14:textId="77777777" w:rsidR="003167D9" w:rsidRPr="00E02B5D" w:rsidRDefault="003167D9" w:rsidP="003167D9">
            <w:pPr>
              <w:spacing w:after="0" w:line="240" w:lineRule="auto"/>
              <w:rPr>
                <w:rFonts w:eastAsia="Times New Roman" w:cs="Calibri"/>
                <w:noProof/>
                <w:color w:val="006100"/>
                <w:sz w:val="18"/>
                <w:szCs w:val="18"/>
              </w:rPr>
            </w:pPr>
            <w:r>
              <w:rPr>
                <w:noProof/>
                <w:color w:val="006100"/>
                <w:sz w:val="18"/>
              </w:rPr>
              <w:t>2025</w:t>
            </w:r>
          </w:p>
        </w:tc>
        <w:tc>
          <w:tcPr>
            <w:tcW w:w="5730" w:type="dxa"/>
            <w:shd w:val="clear" w:color="auto" w:fill="C6EFCE"/>
            <w:noWrap/>
          </w:tcPr>
          <w:p w14:paraId="1E74A96C" w14:textId="0A1E401F" w:rsidR="003167D9" w:rsidRPr="00B62A3F" w:rsidRDefault="00B960DB" w:rsidP="008AECE0">
            <w:pPr>
              <w:spacing w:line="240" w:lineRule="auto"/>
              <w:jc w:val="both"/>
              <w:rPr>
                <w:noProof/>
                <w:color w:val="006100"/>
                <w:sz w:val="18"/>
              </w:rPr>
            </w:pPr>
            <w:r>
              <w:rPr>
                <w:noProof/>
                <w:color w:val="006100"/>
                <w:sz w:val="18"/>
              </w:rPr>
              <w:t>Finantsvahendajad peavad olema sõlminud lõplike abisaajatega juriidilised rahastamislepingud summas, mis on vajalik, et kasutada vähemalt 50 % taaste- ja vastupidavusrahastu investeeringutest rahastusse (võttes arvesse haldustasusid).</w:t>
            </w:r>
          </w:p>
          <w:p w14:paraId="7C9445AF" w14:textId="77777777" w:rsidR="003167D9" w:rsidRPr="00E02B5D" w:rsidRDefault="003167D9" w:rsidP="003167D9">
            <w:pPr>
              <w:spacing w:after="0" w:line="240" w:lineRule="auto"/>
              <w:rPr>
                <w:rFonts w:eastAsia="Times New Roman" w:cs="Calibri"/>
                <w:noProof/>
                <w:color w:val="006100"/>
                <w:sz w:val="18"/>
                <w:szCs w:val="18"/>
              </w:rPr>
            </w:pPr>
            <w:r>
              <w:rPr>
                <w:noProof/>
                <w:color w:val="006100"/>
                <w:sz w:val="18"/>
              </w:rPr>
              <w:t>Kreeka Arengupank koostab taaste- ja vastupidavusrahastu määruse VI lisas esitatud metoodikat kasutades aruande, milles kirjeldatakse üksikasjalikult selle rahastamise osakaalu, mis aitab kaasa kliimaeesmärkide saavutamisele.</w:t>
            </w:r>
          </w:p>
        </w:tc>
      </w:tr>
      <w:tr w:rsidR="00C225FB" w:rsidRPr="003B132A" w14:paraId="2B113F27" w14:textId="77777777" w:rsidTr="00EF26F4">
        <w:trPr>
          <w:trHeight w:val="314"/>
          <w:jc w:val="center"/>
        </w:trPr>
        <w:tc>
          <w:tcPr>
            <w:tcW w:w="988" w:type="dxa"/>
            <w:shd w:val="clear" w:color="auto" w:fill="C6EFCE"/>
            <w:noWrap/>
          </w:tcPr>
          <w:p w14:paraId="0C8F0DCE" w14:textId="0C4DDC18" w:rsidR="00C225FB" w:rsidRPr="00E02B5D" w:rsidRDefault="00704F48" w:rsidP="00C225FB">
            <w:pPr>
              <w:spacing w:after="0" w:line="240" w:lineRule="auto"/>
              <w:rPr>
                <w:noProof/>
                <w:color w:val="006100"/>
                <w:sz w:val="18"/>
              </w:rPr>
            </w:pPr>
            <w:r>
              <w:rPr>
                <w:noProof/>
                <w:color w:val="006100"/>
                <w:sz w:val="18"/>
              </w:rPr>
              <w:t>376</w:t>
            </w:r>
          </w:p>
        </w:tc>
        <w:tc>
          <w:tcPr>
            <w:tcW w:w="1559" w:type="dxa"/>
            <w:shd w:val="clear" w:color="auto" w:fill="C6EFCE"/>
            <w:noWrap/>
          </w:tcPr>
          <w:p w14:paraId="67113C8C" w14:textId="151678F4" w:rsidR="00C225FB" w:rsidRPr="00B62A3F" w:rsidRDefault="00C225FB" w:rsidP="00C225FB">
            <w:pPr>
              <w:spacing w:after="0" w:line="240" w:lineRule="auto"/>
              <w:rPr>
                <w:noProof/>
                <w:color w:val="006100"/>
                <w:sz w:val="18"/>
              </w:rPr>
            </w:pPr>
            <w:r>
              <w:rPr>
                <w:noProof/>
                <w:color w:val="006100"/>
                <w:sz w:val="18"/>
              </w:rPr>
              <w:t>2-1.2. Renoveerimine – 16401_Energiauuendusprogramm „Upgrade My Home“</w:t>
            </w:r>
          </w:p>
        </w:tc>
        <w:tc>
          <w:tcPr>
            <w:tcW w:w="1134" w:type="dxa"/>
            <w:shd w:val="clear" w:color="auto" w:fill="C6EFCE"/>
            <w:noWrap/>
          </w:tcPr>
          <w:p w14:paraId="1B4CC737" w14:textId="77777777" w:rsidR="00C225FB" w:rsidRPr="00E02B5D" w:rsidRDefault="00C225FB" w:rsidP="00C225FB">
            <w:pPr>
              <w:spacing w:after="0" w:line="240" w:lineRule="auto"/>
              <w:rPr>
                <w:rFonts w:eastAsia="Times New Roman" w:cs="Calibri"/>
                <w:noProof/>
                <w:color w:val="006100"/>
                <w:sz w:val="18"/>
                <w:szCs w:val="18"/>
              </w:rPr>
            </w:pPr>
            <w:r>
              <w:rPr>
                <w:noProof/>
                <w:color w:val="006100"/>
                <w:sz w:val="18"/>
              </w:rPr>
              <w:t>Siht</w:t>
            </w:r>
          </w:p>
        </w:tc>
        <w:tc>
          <w:tcPr>
            <w:tcW w:w="1276" w:type="dxa"/>
            <w:shd w:val="clear" w:color="auto" w:fill="C6EFCE"/>
            <w:noWrap/>
          </w:tcPr>
          <w:p w14:paraId="6B834239" w14:textId="6BFEF24C" w:rsidR="00C225FB" w:rsidRPr="00E02B5D" w:rsidRDefault="00EC69D1" w:rsidP="00C225FB">
            <w:pPr>
              <w:spacing w:after="0" w:line="240" w:lineRule="auto"/>
              <w:rPr>
                <w:rFonts w:eastAsia="Times New Roman" w:cs="Calibri"/>
                <w:noProof/>
                <w:color w:val="006100"/>
                <w:sz w:val="18"/>
                <w:szCs w:val="18"/>
              </w:rPr>
            </w:pPr>
            <w:r>
              <w:rPr>
                <w:noProof/>
                <w:color w:val="006100"/>
                <w:sz w:val="18"/>
              </w:rPr>
              <w:t>„Upgrade My Home“ – lõplike toetusesaajatega allkirjastatud juriidilised lepingud – 100 %</w:t>
            </w:r>
          </w:p>
        </w:tc>
        <w:tc>
          <w:tcPr>
            <w:tcW w:w="1134" w:type="dxa"/>
            <w:shd w:val="clear" w:color="auto" w:fill="C6EFCE"/>
            <w:noWrap/>
          </w:tcPr>
          <w:p w14:paraId="25907C38" w14:textId="77777777" w:rsidR="00C225FB" w:rsidRPr="00E02B5D" w:rsidRDefault="00C225FB" w:rsidP="00C225FB">
            <w:pPr>
              <w:spacing w:after="0" w:line="240" w:lineRule="auto"/>
              <w:rPr>
                <w:rFonts w:eastAsia="Times New Roman" w:cs="Calibri"/>
                <w:noProof/>
                <w:color w:val="006100"/>
                <w:sz w:val="18"/>
                <w:szCs w:val="18"/>
                <w:lang w:val="en-GB" w:eastAsia="en-GB"/>
              </w:rPr>
            </w:pPr>
          </w:p>
        </w:tc>
        <w:tc>
          <w:tcPr>
            <w:tcW w:w="1134" w:type="dxa"/>
            <w:shd w:val="clear" w:color="auto" w:fill="C6EFCE"/>
            <w:noWrap/>
          </w:tcPr>
          <w:p w14:paraId="32FA3F65" w14:textId="77777777" w:rsidR="00C225FB" w:rsidRPr="00E02B5D" w:rsidRDefault="00C225FB" w:rsidP="00C225FB">
            <w:pPr>
              <w:spacing w:after="0" w:line="240" w:lineRule="auto"/>
              <w:rPr>
                <w:rFonts w:eastAsia="Times New Roman" w:cs="Calibri"/>
                <w:noProof/>
                <w:color w:val="006100"/>
                <w:sz w:val="18"/>
                <w:szCs w:val="18"/>
              </w:rPr>
            </w:pPr>
            <w:r>
              <w:rPr>
                <w:noProof/>
                <w:color w:val="006100"/>
                <w:sz w:val="18"/>
              </w:rPr>
              <w:t>Protsent (%)</w:t>
            </w:r>
          </w:p>
        </w:tc>
        <w:tc>
          <w:tcPr>
            <w:tcW w:w="713" w:type="dxa"/>
            <w:shd w:val="clear" w:color="auto" w:fill="C6EFCE"/>
            <w:noWrap/>
          </w:tcPr>
          <w:p w14:paraId="455ED15E" w14:textId="77777777" w:rsidR="00C225FB" w:rsidRPr="00E02B5D" w:rsidRDefault="00C225FB" w:rsidP="00C225FB">
            <w:pPr>
              <w:spacing w:after="0" w:line="240" w:lineRule="auto"/>
              <w:rPr>
                <w:rFonts w:eastAsia="Times New Roman" w:cs="Calibri"/>
                <w:noProof/>
                <w:color w:val="006100"/>
                <w:sz w:val="18"/>
                <w:szCs w:val="18"/>
              </w:rPr>
            </w:pPr>
            <w:r>
              <w:rPr>
                <w:noProof/>
                <w:color w:val="006100"/>
                <w:sz w:val="18"/>
              </w:rPr>
              <w:t>50 %</w:t>
            </w:r>
          </w:p>
        </w:tc>
        <w:tc>
          <w:tcPr>
            <w:tcW w:w="711" w:type="dxa"/>
            <w:shd w:val="clear" w:color="auto" w:fill="C6EFCE"/>
            <w:noWrap/>
          </w:tcPr>
          <w:p w14:paraId="6192EE85" w14:textId="77777777" w:rsidR="00C225FB" w:rsidRPr="00E02B5D" w:rsidRDefault="00C225FB" w:rsidP="00C225FB">
            <w:pPr>
              <w:spacing w:after="0" w:line="240" w:lineRule="auto"/>
              <w:rPr>
                <w:rFonts w:eastAsia="Times New Roman" w:cs="Calibri"/>
                <w:noProof/>
                <w:color w:val="006100"/>
                <w:sz w:val="18"/>
                <w:szCs w:val="18"/>
              </w:rPr>
            </w:pPr>
            <w:r>
              <w:rPr>
                <w:noProof/>
                <w:color w:val="006100"/>
                <w:sz w:val="18"/>
              </w:rPr>
              <w:t>100 %</w:t>
            </w:r>
          </w:p>
        </w:tc>
        <w:tc>
          <w:tcPr>
            <w:tcW w:w="851" w:type="dxa"/>
            <w:shd w:val="clear" w:color="auto" w:fill="C6EFCE"/>
            <w:noWrap/>
          </w:tcPr>
          <w:p w14:paraId="5CD54951" w14:textId="77777777" w:rsidR="00C225FB" w:rsidRPr="00E02B5D" w:rsidRDefault="00C225FB" w:rsidP="00C225FB">
            <w:pPr>
              <w:spacing w:after="0" w:line="240" w:lineRule="auto"/>
              <w:rPr>
                <w:rFonts w:eastAsia="Times New Roman" w:cs="Calibri"/>
                <w:noProof/>
                <w:color w:val="006100"/>
                <w:sz w:val="18"/>
                <w:szCs w:val="18"/>
              </w:rPr>
            </w:pPr>
            <w:r>
              <w:rPr>
                <w:noProof/>
                <w:color w:val="006100"/>
                <w:sz w:val="18"/>
              </w:rPr>
              <w:t>2. kv</w:t>
            </w:r>
          </w:p>
        </w:tc>
        <w:tc>
          <w:tcPr>
            <w:tcW w:w="653" w:type="dxa"/>
            <w:shd w:val="clear" w:color="auto" w:fill="C6EFCE"/>
            <w:noWrap/>
          </w:tcPr>
          <w:p w14:paraId="7D6AA2EE" w14:textId="77777777" w:rsidR="00C225FB" w:rsidRPr="00E02B5D" w:rsidRDefault="00C225FB" w:rsidP="00C225FB">
            <w:pPr>
              <w:spacing w:after="0" w:line="240" w:lineRule="auto"/>
              <w:rPr>
                <w:rFonts w:eastAsia="Times New Roman" w:cs="Calibri"/>
                <w:noProof/>
                <w:color w:val="006100"/>
                <w:sz w:val="18"/>
                <w:szCs w:val="18"/>
              </w:rPr>
            </w:pPr>
            <w:r>
              <w:rPr>
                <w:noProof/>
                <w:color w:val="006100"/>
                <w:sz w:val="18"/>
              </w:rPr>
              <w:t>2026</w:t>
            </w:r>
          </w:p>
        </w:tc>
        <w:tc>
          <w:tcPr>
            <w:tcW w:w="5730" w:type="dxa"/>
            <w:shd w:val="clear" w:color="auto" w:fill="C6EFCE"/>
            <w:noWrap/>
          </w:tcPr>
          <w:p w14:paraId="7EF983FC" w14:textId="23317591" w:rsidR="00C225FB" w:rsidRPr="00B62A3F" w:rsidRDefault="00B960DB" w:rsidP="008AECE0">
            <w:pPr>
              <w:spacing w:line="240" w:lineRule="auto"/>
              <w:jc w:val="both"/>
              <w:rPr>
                <w:noProof/>
                <w:color w:val="006100"/>
                <w:sz w:val="18"/>
              </w:rPr>
            </w:pPr>
            <w:r>
              <w:rPr>
                <w:noProof/>
                <w:color w:val="006100"/>
                <w:sz w:val="18"/>
              </w:rPr>
              <w:t xml:space="preserve">Finantsvahendajad peavad olema sõlminud lõplike abisaajatega juriidilised rahastamislepingud summas, mis on vajalik, et kasutada 100 % taaste- ja vastupidavusrahastu investeeringutest rahastusse (võttes arvesse haldustasusid). </w:t>
            </w:r>
          </w:p>
          <w:p w14:paraId="454960BE" w14:textId="77777777" w:rsidR="00C225FB" w:rsidRPr="00E02B5D" w:rsidRDefault="00C225FB" w:rsidP="00C225FB">
            <w:pPr>
              <w:spacing w:after="0" w:line="240" w:lineRule="auto"/>
              <w:rPr>
                <w:rFonts w:eastAsia="Times New Roman" w:cs="Calibri"/>
                <w:noProof/>
                <w:color w:val="006100"/>
                <w:sz w:val="18"/>
                <w:szCs w:val="18"/>
              </w:rPr>
            </w:pPr>
            <w:r>
              <w:rPr>
                <w:noProof/>
                <w:color w:val="006100"/>
                <w:sz w:val="18"/>
              </w:rPr>
              <w:t>Vähemalt 40 % sellest rahastamisest aitab kaasa kliimaeesmärkide saavutamisele, kasutades taaste- ja vastupidavusrahastu määruse VI lisas esitatud metoodikat.</w:t>
            </w:r>
          </w:p>
        </w:tc>
      </w:tr>
      <w:tr w:rsidR="00DE6FCC" w:rsidRPr="003B132A" w14:paraId="22B0A746" w14:textId="77777777" w:rsidTr="00EF26F4">
        <w:trPr>
          <w:trHeight w:val="314"/>
          <w:jc w:val="center"/>
        </w:trPr>
        <w:tc>
          <w:tcPr>
            <w:tcW w:w="988" w:type="dxa"/>
            <w:shd w:val="clear" w:color="auto" w:fill="C6EFCE"/>
            <w:noWrap/>
          </w:tcPr>
          <w:p w14:paraId="4FB084BF" w14:textId="2FCA7B8C" w:rsidR="00DE6FCC" w:rsidRPr="00E02B5D" w:rsidRDefault="00704F48" w:rsidP="00DE6FCC">
            <w:pPr>
              <w:spacing w:after="0" w:line="240" w:lineRule="auto"/>
              <w:rPr>
                <w:rFonts w:eastAsia="Times New Roman" w:cs="Calibri"/>
                <w:noProof/>
                <w:color w:val="006100"/>
              </w:rPr>
            </w:pPr>
            <w:r>
              <w:rPr>
                <w:noProof/>
                <w:color w:val="006100"/>
                <w:sz w:val="18"/>
              </w:rPr>
              <w:t>377</w:t>
            </w:r>
          </w:p>
        </w:tc>
        <w:tc>
          <w:tcPr>
            <w:tcW w:w="1559" w:type="dxa"/>
            <w:shd w:val="clear" w:color="auto" w:fill="C6EFCE"/>
            <w:noWrap/>
          </w:tcPr>
          <w:p w14:paraId="41E17B76" w14:textId="1A2ADEE4" w:rsidR="00DE6FCC" w:rsidRPr="00B62A3F" w:rsidRDefault="00DE6FCC" w:rsidP="00DE6FCC">
            <w:pPr>
              <w:spacing w:after="0" w:line="240" w:lineRule="auto"/>
              <w:rPr>
                <w:noProof/>
                <w:color w:val="006100"/>
                <w:sz w:val="18"/>
              </w:rPr>
            </w:pPr>
            <w:r>
              <w:rPr>
                <w:noProof/>
                <w:color w:val="006100"/>
                <w:sz w:val="18"/>
              </w:rPr>
              <w:t>2-1.2. Renoveerimine – 16401_Energiauuendusprogramm „Upgrade My Home“</w:t>
            </w:r>
          </w:p>
        </w:tc>
        <w:tc>
          <w:tcPr>
            <w:tcW w:w="1134" w:type="dxa"/>
            <w:shd w:val="clear" w:color="auto" w:fill="C6EFCE"/>
            <w:noWrap/>
          </w:tcPr>
          <w:p w14:paraId="024A432D" w14:textId="77777777" w:rsidR="00DE6FCC" w:rsidRPr="00E02B5D" w:rsidRDefault="00DE6FCC" w:rsidP="00DE6FCC">
            <w:pPr>
              <w:spacing w:after="0" w:line="240" w:lineRule="auto"/>
              <w:rPr>
                <w:rFonts w:eastAsia="Times New Roman" w:cs="Calibri"/>
                <w:noProof/>
                <w:color w:val="006100"/>
                <w:sz w:val="18"/>
                <w:szCs w:val="18"/>
              </w:rPr>
            </w:pPr>
            <w:r>
              <w:rPr>
                <w:noProof/>
                <w:color w:val="006100"/>
                <w:sz w:val="18"/>
              </w:rPr>
              <w:t>Eesmärk</w:t>
            </w:r>
          </w:p>
        </w:tc>
        <w:tc>
          <w:tcPr>
            <w:tcW w:w="1276" w:type="dxa"/>
            <w:shd w:val="clear" w:color="auto" w:fill="C6EFCE"/>
            <w:noWrap/>
          </w:tcPr>
          <w:p w14:paraId="75FFB8A3" w14:textId="2E759667" w:rsidR="00DE6FCC" w:rsidRPr="00E02B5D" w:rsidRDefault="00EC69D1" w:rsidP="00DE6FCC">
            <w:pPr>
              <w:spacing w:after="0" w:line="240" w:lineRule="auto"/>
              <w:rPr>
                <w:rFonts w:eastAsia="Times New Roman" w:cs="Calibri"/>
                <w:noProof/>
                <w:color w:val="006100"/>
                <w:sz w:val="18"/>
                <w:szCs w:val="18"/>
              </w:rPr>
            </w:pPr>
            <w:r>
              <w:rPr>
                <w:noProof/>
                <w:color w:val="006100"/>
                <w:sz w:val="18"/>
              </w:rPr>
              <w:t>„Upgrade My Home“ – Rahandusministeerium on investeeringu lõpule viinud</w:t>
            </w:r>
          </w:p>
        </w:tc>
        <w:tc>
          <w:tcPr>
            <w:tcW w:w="1134" w:type="dxa"/>
            <w:shd w:val="clear" w:color="auto" w:fill="C6EFCE"/>
            <w:noWrap/>
          </w:tcPr>
          <w:p w14:paraId="6E5B3442" w14:textId="77777777" w:rsidR="00DE6FCC" w:rsidRPr="00E02B5D" w:rsidRDefault="00DE6FCC" w:rsidP="00DE6FCC">
            <w:pPr>
              <w:spacing w:after="0" w:line="240" w:lineRule="auto"/>
              <w:rPr>
                <w:rFonts w:eastAsia="Times New Roman" w:cs="Calibri"/>
                <w:noProof/>
                <w:color w:val="006100"/>
                <w:sz w:val="18"/>
                <w:szCs w:val="18"/>
              </w:rPr>
            </w:pPr>
            <w:r>
              <w:rPr>
                <w:noProof/>
                <w:color w:val="006100"/>
                <w:sz w:val="18"/>
              </w:rPr>
              <w:t xml:space="preserve">Üleviimistunnistus </w:t>
            </w:r>
          </w:p>
        </w:tc>
        <w:tc>
          <w:tcPr>
            <w:tcW w:w="1134" w:type="dxa"/>
            <w:shd w:val="clear" w:color="auto" w:fill="C6EFCE"/>
            <w:noWrap/>
          </w:tcPr>
          <w:p w14:paraId="3BF0C03D" w14:textId="77777777" w:rsidR="00DE6FCC" w:rsidRPr="00E02B5D" w:rsidRDefault="00DE6FCC" w:rsidP="00DE6FCC">
            <w:pPr>
              <w:spacing w:after="0" w:line="240" w:lineRule="auto"/>
              <w:rPr>
                <w:rFonts w:eastAsia="Times New Roman" w:cs="Calibri"/>
                <w:noProof/>
                <w:color w:val="006100"/>
                <w:sz w:val="18"/>
                <w:szCs w:val="18"/>
                <w:lang w:val="en-GB"/>
              </w:rPr>
            </w:pPr>
          </w:p>
        </w:tc>
        <w:tc>
          <w:tcPr>
            <w:tcW w:w="713" w:type="dxa"/>
            <w:shd w:val="clear" w:color="auto" w:fill="C6EFCE"/>
            <w:noWrap/>
          </w:tcPr>
          <w:p w14:paraId="1E0BAC2B" w14:textId="77777777" w:rsidR="00DE6FCC" w:rsidRPr="00E02B5D" w:rsidRDefault="00DE6FCC" w:rsidP="00DE6FCC">
            <w:pPr>
              <w:spacing w:after="0" w:line="240" w:lineRule="auto"/>
              <w:rPr>
                <w:rFonts w:eastAsia="Times New Roman" w:cs="Calibri"/>
                <w:noProof/>
                <w:color w:val="006100"/>
                <w:sz w:val="18"/>
                <w:szCs w:val="18"/>
                <w:lang w:val="en-GB"/>
              </w:rPr>
            </w:pPr>
          </w:p>
        </w:tc>
        <w:tc>
          <w:tcPr>
            <w:tcW w:w="711" w:type="dxa"/>
            <w:shd w:val="clear" w:color="auto" w:fill="C6EFCE"/>
            <w:noWrap/>
          </w:tcPr>
          <w:p w14:paraId="40D8B674" w14:textId="77777777" w:rsidR="00DE6FCC" w:rsidRPr="00E02B5D" w:rsidRDefault="00DE6FCC" w:rsidP="00DE6FCC">
            <w:pPr>
              <w:spacing w:after="0" w:line="240" w:lineRule="auto"/>
              <w:rPr>
                <w:rFonts w:eastAsia="Times New Roman" w:cs="Calibri"/>
                <w:noProof/>
                <w:color w:val="006100"/>
                <w:sz w:val="18"/>
                <w:szCs w:val="18"/>
                <w:lang w:val="en-GB"/>
              </w:rPr>
            </w:pPr>
          </w:p>
        </w:tc>
        <w:tc>
          <w:tcPr>
            <w:tcW w:w="851" w:type="dxa"/>
            <w:shd w:val="clear" w:color="auto" w:fill="C6EFCE"/>
            <w:noWrap/>
          </w:tcPr>
          <w:p w14:paraId="54DC48E5" w14:textId="77777777" w:rsidR="00DE6FCC" w:rsidRPr="00E02B5D" w:rsidRDefault="00DE6FCC" w:rsidP="00DE6FCC">
            <w:pPr>
              <w:spacing w:after="0" w:line="240" w:lineRule="auto"/>
              <w:rPr>
                <w:rFonts w:eastAsia="Times New Roman" w:cs="Calibri"/>
                <w:noProof/>
                <w:color w:val="006100"/>
                <w:sz w:val="18"/>
                <w:szCs w:val="18"/>
              </w:rPr>
            </w:pPr>
            <w:r>
              <w:rPr>
                <w:noProof/>
                <w:color w:val="006100"/>
                <w:sz w:val="18"/>
              </w:rPr>
              <w:t>2. kv</w:t>
            </w:r>
          </w:p>
        </w:tc>
        <w:tc>
          <w:tcPr>
            <w:tcW w:w="653" w:type="dxa"/>
            <w:shd w:val="clear" w:color="auto" w:fill="C6EFCE"/>
            <w:noWrap/>
          </w:tcPr>
          <w:p w14:paraId="21E56158" w14:textId="77777777" w:rsidR="00DE6FCC" w:rsidRPr="00E02B5D" w:rsidRDefault="00DE6FCC" w:rsidP="00DE6FCC">
            <w:pPr>
              <w:spacing w:after="0" w:line="240" w:lineRule="auto"/>
              <w:rPr>
                <w:rFonts w:eastAsia="Times New Roman" w:cs="Calibri"/>
                <w:noProof/>
                <w:color w:val="006100"/>
                <w:sz w:val="18"/>
                <w:szCs w:val="18"/>
              </w:rPr>
            </w:pPr>
            <w:r>
              <w:rPr>
                <w:noProof/>
                <w:color w:val="006100"/>
                <w:sz w:val="18"/>
              </w:rPr>
              <w:t>2026</w:t>
            </w:r>
          </w:p>
        </w:tc>
        <w:tc>
          <w:tcPr>
            <w:tcW w:w="5730" w:type="dxa"/>
            <w:shd w:val="clear" w:color="auto" w:fill="C6EFCE"/>
            <w:noWrap/>
          </w:tcPr>
          <w:p w14:paraId="77D432E0" w14:textId="77777777" w:rsidR="00DE6FCC" w:rsidRPr="00E02B5D" w:rsidRDefault="5C358DB8" w:rsidP="00DE6FCC">
            <w:pPr>
              <w:spacing w:after="0" w:line="240" w:lineRule="auto"/>
              <w:rPr>
                <w:rFonts w:eastAsia="Times New Roman" w:cs="Calibri"/>
                <w:noProof/>
                <w:color w:val="006100"/>
                <w:sz w:val="18"/>
                <w:szCs w:val="18"/>
              </w:rPr>
            </w:pPr>
            <w:r>
              <w:rPr>
                <w:noProof/>
                <w:color w:val="006100"/>
                <w:sz w:val="18"/>
              </w:rPr>
              <w:t>Kreeka kannab rahastu jaoks üle 300 miljonit eurot Kreeka Arengupangale.</w:t>
            </w:r>
          </w:p>
        </w:tc>
      </w:tr>
    </w:tbl>
    <w:p w14:paraId="7923CE42" w14:textId="77777777" w:rsidR="008A4085" w:rsidRPr="00AD4052" w:rsidRDefault="008A4085" w:rsidP="008A4085">
      <w:pPr>
        <w:spacing w:before="120" w:after="120" w:line="240" w:lineRule="auto"/>
        <w:jc w:val="both"/>
        <w:rPr>
          <w:rFonts w:ascii="Times New Roman" w:hAnsi="Times New Roman" w:cs="Times New Roman"/>
          <w:noProof/>
          <w:sz w:val="24"/>
        </w:rPr>
        <w:sectPr w:rsidR="008A4085" w:rsidRPr="00AD4052" w:rsidSect="008A4085">
          <w:headerReference w:type="even" r:id="rId62"/>
          <w:headerReference w:type="default" r:id="rId63"/>
          <w:footerReference w:type="even" r:id="rId64"/>
          <w:footerReference w:type="default" r:id="rId65"/>
          <w:headerReference w:type="first" r:id="rId66"/>
          <w:footerReference w:type="first" r:id="rId67"/>
          <w:pgSz w:w="16839" w:h="11907" w:orient="landscape"/>
          <w:pgMar w:top="720" w:right="720" w:bottom="720" w:left="720" w:header="709" w:footer="75" w:gutter="0"/>
          <w:cols w:space="720"/>
          <w:docGrid w:linePitch="360"/>
        </w:sectPr>
      </w:pPr>
    </w:p>
    <w:p w14:paraId="6DAC9FA7" w14:textId="77777777" w:rsidR="00645BC7" w:rsidRPr="00E02B5D" w:rsidRDefault="00645BC7" w:rsidP="006E0EA2">
      <w:pPr>
        <w:spacing w:before="120" w:after="120" w:line="240" w:lineRule="auto"/>
        <w:jc w:val="both"/>
        <w:outlineLvl w:val="3"/>
        <w:rPr>
          <w:rFonts w:ascii="Times New Roman" w:hAnsi="Times New Roman" w:cs="Times New Roman"/>
          <w:b/>
          <w:noProof/>
          <w:sz w:val="24"/>
        </w:rPr>
      </w:pPr>
      <w:r>
        <w:rPr>
          <w:rFonts w:ascii="Times New Roman" w:hAnsi="Times New Roman"/>
          <w:b/>
          <w:noProof/>
          <w:sz w:val="24"/>
        </w:rPr>
        <w:t>C. KOMPONENT 1.3. LAADIMINE JA TANKIMINE</w:t>
      </w:r>
    </w:p>
    <w:p w14:paraId="1275B63E"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laadimise ja tankimise komponent hõlmab sihipäraseid reforme ja investeeringuid, et suurendada säästvat liikuvust, suurendada majanduskasvu, luua töövõimalusi ja edendada sotsiaalset vastupanuvõimet. Selle komponendi alla kuuluvad meetmed on seotud säästva liikuvuse üleriigilise strateegiaga, toetades seega riikliku energia- ja kliimakava rakendamist. Samuti aitavad nad kaasa keskkonnasäästlikule majandusele üleminekule, toetades ettevõtjaid, kes teevad toiminguid, mis on seotud vähese CO</w:t>
      </w:r>
      <w:r>
        <w:rPr>
          <w:rFonts w:ascii="Times New Roman" w:hAnsi="Times New Roman"/>
          <w:noProof/>
          <w:sz w:val="24"/>
          <w:vertAlign w:val="subscript"/>
        </w:rPr>
        <w:t>2</w:t>
      </w:r>
      <w:r>
        <w:rPr>
          <w:rFonts w:ascii="Times New Roman" w:hAnsi="Times New Roman"/>
          <w:noProof/>
          <w:sz w:val="24"/>
        </w:rPr>
        <w:t xml:space="preserve"> heitega majanduse ja kliimamuutustele vastupanu võimega. Komponent hõlmab ka reforme, millega toetatakse e-liikuvuse taristu paigaldamist, ning linna- ja piirkondlike avalike reisijateveoteenuste läbivaatamist. Komponent hõlmab ka investeeringuid, millega toetatakse e-liikuvusega seotud tarnete mahu suurendamist ning busside ja taksode asendamist akutoitega elektrisõidukitega. </w:t>
      </w:r>
    </w:p>
    <w:p w14:paraId="48DD23A4"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See komponent toetab 2020. aasta riigipõhist soovitust 3 ja 2019. aasta riigipõhist soovitust 2 avaliku ja erasektori investeeringute kohta.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66AD307B" w14:textId="77777777" w:rsidR="00645BC7" w:rsidRPr="00E02B5D" w:rsidRDefault="00645BC7" w:rsidP="00645BC7">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C.1. </w:t>
      </w:r>
      <w:r>
        <w:rPr>
          <w:noProof/>
        </w:rPr>
        <w:tab/>
      </w:r>
      <w:r>
        <w:rPr>
          <w:rFonts w:ascii="Times New Roman" w:hAnsi="Times New Roman"/>
          <w:b/>
          <w:noProof/>
          <w:sz w:val="24"/>
          <w:u w:val="single"/>
        </w:rPr>
        <w:t>Tagastamatu rahalise toetusega seotud reformide ja investeeringute kirjeldus</w:t>
      </w:r>
    </w:p>
    <w:p w14:paraId="1D29B9B9"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Produc-E Green (meetme ID: 16831)</w:t>
      </w:r>
    </w:p>
    <w:p w14:paraId="17E07F0C" w14:textId="13E6F596" w:rsidR="00EF26F4" w:rsidRDefault="38C6ED78" w:rsidP="00645BC7">
      <w:pPr>
        <w:spacing w:before="120" w:after="120" w:line="240" w:lineRule="auto"/>
        <w:jc w:val="both"/>
        <w:rPr>
          <w:rFonts w:ascii="Times New Roman" w:hAnsi="Times New Roman"/>
          <w:noProof/>
          <w:sz w:val="24"/>
          <w:szCs w:val="24"/>
        </w:rPr>
      </w:pPr>
      <w:r>
        <w:rPr>
          <w:rFonts w:ascii="Times New Roman" w:hAnsi="Times New Roman"/>
          <w:noProof/>
          <w:sz w:val="24"/>
        </w:rPr>
        <w:t>See investeering koosneb kahest projektist, mille mõlema eesmärk on aidata kaasa vähese CO</w:t>
      </w:r>
      <w:r>
        <w:rPr>
          <w:rFonts w:ascii="Times New Roman" w:hAnsi="Times New Roman"/>
          <w:noProof/>
          <w:sz w:val="24"/>
          <w:vertAlign w:val="subscript"/>
        </w:rPr>
        <w:t>2</w:t>
      </w:r>
      <w:r>
        <w:rPr>
          <w:rFonts w:ascii="Times New Roman" w:hAnsi="Times New Roman"/>
          <w:noProof/>
          <w:sz w:val="24"/>
        </w:rPr>
        <w:t xml:space="preserve"> heitega majandusele ja kliimamuutustele vastupanu võimele. Esimese projektiga toetatakse elektromobiilsuse pakkumist ja rohepöörde edendamist, arendades välja rohkem kui kümme tööstusüksust uuenduslike toodete või teenuste jaoks, näiteks elektriautoakude ringlussevõtt toorainete, näiteks liitiumi ja koobalti korduskasutamise teel või elektrisõidukite ja tava- või suure võimsusega laadimispunktide projekteerimise kaudu, ja/või investeeringud, mis on seotud rohepöörde tööstuses kasutatavate materjalide (v.a kaevandamine), seadmete või osade tootmise või töötlemisega, need võivad hõlmata elektriautode, laevade, ahelaplaatide, päikesepaneelide, päikesekütteseadmete, tuuleturbiinide, kaablite, hoonete energiajuhtimissüsteemide, taastuvenergiaprojektide paigaldusseadmete, tõhusamate komponentide, nagu soojuspumbad ja mis tahes liiki seadmete osad, eelkõige sektorites, mis ei ole hõlmatud ELi heitkogustega kauplemise süsteemiga (ELi HKS). Tagamaks, et meede vastab tehnilistele suunistele põhimõtte „ei kahjusta oluliselt“ kohaldamise kohta (2021/C58/01), jäetakse konkursikutsetes esitatud abikõlblikkuse kriteeriumide hulgast välja järgmised tegevused:</w:t>
      </w:r>
      <w:r>
        <w:rPr>
          <w:rFonts w:ascii="Times New Roman" w:hAnsi="Times New Roman"/>
          <w:noProof/>
          <w:color w:val="FF0000"/>
          <w:sz w:val="24"/>
        </w:rPr>
        <w:t xml:space="preserve"> </w:t>
      </w:r>
      <w:r>
        <w:rPr>
          <w:rFonts w:ascii="Times New Roman" w:hAnsi="Times New Roman"/>
          <w:noProof/>
          <w:sz w:val="24"/>
        </w:rPr>
        <w:t>i) fossiilkütustega seotud tegevus, sealhulgas allkasutus tootmisahela järgmistes etappides</w:t>
      </w:r>
      <w:r w:rsidR="00645BC7" w:rsidRPr="00E02B5D">
        <w:rPr>
          <w:rFonts w:ascii="Times New Roman" w:hAnsi="Times New Roman" w:cs="Times New Roman"/>
          <w:noProof/>
          <w:sz w:val="24"/>
          <w:szCs w:val="24"/>
          <w:vertAlign w:val="superscript"/>
          <w:lang w:val="en-GB"/>
        </w:rPr>
        <w:footnoteReference w:id="7"/>
      </w:r>
      <w:r>
        <w:rPr>
          <w:rFonts w:ascii="Times New Roman" w:hAnsi="Times New Roman"/>
          <w:noProof/>
          <w:sz w:val="24"/>
        </w:rPr>
        <w:t>; ii) ELi heitkogustega kauplemise süsteemi (HKS) raames toimuv tegevus, mille prognoositav kasvuhoonegaaside heide ei ole asjaomastest võrdlusalustest</w:t>
      </w:r>
      <w:r w:rsidR="00645BC7" w:rsidRPr="00E02B5D">
        <w:rPr>
          <w:rFonts w:ascii="Times New Roman" w:hAnsi="Times New Roman" w:cs="Times New Roman"/>
          <w:noProof/>
          <w:sz w:val="24"/>
          <w:szCs w:val="24"/>
          <w:vertAlign w:val="superscript"/>
          <w:lang w:val="en-GB"/>
        </w:rPr>
        <w:footnoteReference w:id="8"/>
      </w:r>
      <w:r>
        <w:rPr>
          <w:rFonts w:ascii="Times New Roman" w:hAnsi="Times New Roman"/>
          <w:noProof/>
          <w:sz w:val="24"/>
        </w:rPr>
        <w:t xml:space="preserve"> madalam; </w:t>
      </w:r>
    </w:p>
    <w:p w14:paraId="54ECF66E" w14:textId="77777777" w:rsidR="00EF26F4" w:rsidRDefault="00EF26F4">
      <w:pPr>
        <w:rPr>
          <w:rFonts w:ascii="Times New Roman" w:hAnsi="Times New Roman"/>
          <w:noProof/>
          <w:sz w:val="24"/>
          <w:szCs w:val="24"/>
        </w:rPr>
      </w:pPr>
      <w:r>
        <w:rPr>
          <w:noProof/>
        </w:rPr>
        <w:br w:type="page"/>
      </w:r>
    </w:p>
    <w:p w14:paraId="64C6BC48" w14:textId="1A76A6E2" w:rsidR="00645BC7" w:rsidRPr="00E02B5D" w:rsidRDefault="38C6ED78"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iii) prügilate, jäätmepõletustehaste</w:t>
      </w:r>
      <w:r w:rsidR="00645BC7" w:rsidRPr="00E02B5D">
        <w:rPr>
          <w:rFonts w:ascii="Times New Roman" w:hAnsi="Times New Roman" w:cs="Times New Roman"/>
          <w:noProof/>
          <w:sz w:val="24"/>
          <w:szCs w:val="24"/>
          <w:vertAlign w:val="superscript"/>
          <w:lang w:val="en-GB"/>
        </w:rPr>
        <w:footnoteReference w:id="9"/>
      </w:r>
      <w:r>
        <w:rPr>
          <w:rFonts w:ascii="Times New Roman" w:hAnsi="Times New Roman"/>
          <w:noProof/>
          <w:sz w:val="24"/>
        </w:rPr>
        <w:t xml:space="preserve"> ja mehhaanilis-bioloogilise töötlemise jaamadega</w:t>
      </w:r>
      <w:r w:rsidR="00645BC7" w:rsidRPr="00E02B5D">
        <w:rPr>
          <w:rFonts w:ascii="Times New Roman" w:hAnsi="Times New Roman" w:cs="Times New Roman"/>
          <w:noProof/>
          <w:sz w:val="24"/>
          <w:szCs w:val="24"/>
          <w:vertAlign w:val="superscript"/>
          <w:lang w:val="en-GB"/>
        </w:rPr>
        <w:footnoteReference w:id="10"/>
      </w:r>
      <w:r>
        <w:rPr>
          <w:rFonts w:ascii="Times New Roman" w:hAnsi="Times New Roman"/>
          <w:noProof/>
          <w:sz w:val="24"/>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w:t>
      </w:r>
    </w:p>
    <w:p w14:paraId="41BCEFCE"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Teise projektiga toetatakse esimese CO</w:t>
      </w:r>
      <w:r>
        <w:rPr>
          <w:rFonts w:ascii="Times New Roman" w:hAnsi="Times New Roman"/>
          <w:noProof/>
          <w:sz w:val="24"/>
          <w:vertAlign w:val="subscript"/>
        </w:rPr>
        <w:t>2</w:t>
      </w:r>
      <w:r>
        <w:rPr>
          <w:rFonts w:ascii="Times New Roman" w:hAnsi="Times New Roman"/>
          <w:noProof/>
          <w:sz w:val="24"/>
        </w:rPr>
        <w:t xml:space="preserve"> hoidla arendamist Kreekas. Süsinikdioksiidi kogumise ja säilitamise rajatis on ette nähtud kohalikelt heitetekitajatelt kogutud CO</w:t>
      </w:r>
      <w:r>
        <w:rPr>
          <w:rFonts w:ascii="Times New Roman" w:hAnsi="Times New Roman"/>
          <w:noProof/>
          <w:sz w:val="24"/>
          <w:vertAlign w:val="subscript"/>
        </w:rPr>
        <w:t>2</w:t>
      </w:r>
      <w:r>
        <w:rPr>
          <w:rFonts w:ascii="Times New Roman" w:hAnsi="Times New Roman"/>
          <w:noProof/>
          <w:sz w:val="24"/>
        </w:rPr>
        <w:t xml:space="preserve"> pikaajaliseks säilitamiseks (kuni 150 km) ja see jõuab rajatisse torustiku kaudu, samas kui kaugemates kohtades kogutud CO</w:t>
      </w:r>
      <w:r>
        <w:rPr>
          <w:rFonts w:ascii="Times New Roman" w:hAnsi="Times New Roman"/>
          <w:noProof/>
          <w:sz w:val="24"/>
          <w:vertAlign w:val="subscript"/>
        </w:rPr>
        <w:t>2</w:t>
      </w:r>
      <w:r>
        <w:rPr>
          <w:rFonts w:ascii="Times New Roman" w:hAnsi="Times New Roman"/>
          <w:noProof/>
          <w:sz w:val="24"/>
        </w:rPr>
        <w:t xml:space="preserve"> saabub laevaga ja siseneb puhverladustamisrajatisse. Süsinikdioksiidi kogumise ja säilitamise rajatise võimsus peab esialgu olema üks miljon tonni aastas ja maht vähemalt 25 aastat.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Eelkõige ei kasutata süsinikdioksiidi kogumise ja säilitamise rajatises ärilist naftatootmist või nafta taaskasutamist (teatud nafta või gaasi ammutamine võib olla vajalik ohutuse või tehnilistel põhjustel. Lisaks peab süsinikdioksiidi kogumine ja säilitamine vastama ka nõudele, mille kohaselt ei tohi olla tehnoloogilisi rakendusi ega mis tahes liiki rajatisi ja seadmeid, mis on loodud nafta tõhustatud taaskasutamise ja naftatootmise suurendamiseks. Jälgitakse, et nafta või gaasi võimalik kaevandamine piirduks surve juhtimise ja säilitamiskohtade ohutuse tagamise hädavajalike vajadustega ning et selline kaevandamine toimuks ainult juhul, kui see on CO</w:t>
      </w:r>
      <w:r>
        <w:rPr>
          <w:rFonts w:ascii="Times New Roman" w:hAnsi="Times New Roman"/>
          <w:noProof/>
          <w:sz w:val="24"/>
          <w:vertAlign w:val="subscript"/>
        </w:rPr>
        <w:t>2</w:t>
      </w:r>
      <w:r>
        <w:rPr>
          <w:rFonts w:ascii="Times New Roman" w:hAnsi="Times New Roman"/>
          <w:noProof/>
          <w:sz w:val="24"/>
        </w:rPr>
        <w:t xml:space="preserve"> ohutu säilitamise tagamiseks hädavajalik. CO</w:t>
      </w:r>
      <w:r>
        <w:rPr>
          <w:rFonts w:ascii="Times New Roman" w:hAnsi="Times New Roman"/>
          <w:noProof/>
          <w:sz w:val="24"/>
          <w:vertAlign w:val="subscript"/>
        </w:rPr>
        <w:t>2</w:t>
      </w:r>
      <w:r>
        <w:rPr>
          <w:rFonts w:ascii="Times New Roman" w:hAnsi="Times New Roman"/>
          <w:noProof/>
          <w:sz w:val="24"/>
        </w:rPr>
        <w:t>, koos mis tahes õli või gaasiga, mida võib ekstraheerida, eraldatakse ja suunatakse tagasi püsivasse säilitamiskohta.</w:t>
      </w:r>
    </w:p>
    <w:p w14:paraId="0848793F"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 rakendamine viiakse lõpule 31. detsembriks 2025.</w:t>
      </w:r>
    </w:p>
    <w:p w14:paraId="5F601D55"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Elektrisõidukite laadimistaristu paigaldamise ja käitamise raamistik (meetme ID: 16281)</w:t>
      </w:r>
    </w:p>
    <w:p w14:paraId="05522F9B"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Reformiga kehtestatakse põhjalik õigusraamistik elektrisõidukite laadimispunktide paigaldamiseks ja käitamiseks. See aitab Kreekal saavutada riikliku energia- ja kliimakava eesmärki, mille kohaselt peab 2030. aastaks olema elektrisõidukite osakaal siseturul 30 %. Keskkonna- ja energeetikaministeerium võtab 2022. aasta lõpuks vastu vähemalt 300 kohalike omavalitsuste esitatud kava üldkasutatavate elektrisõidukite laadimispunktide paigaldamiseks. Reformi rakendamine viiakse lõpule 31. detsembriks 2022.</w:t>
      </w:r>
    </w:p>
    <w:p w14:paraId="3CF90C19"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Elektromobiilsus (meetme ID: 16924)</w:t>
      </w:r>
    </w:p>
    <w:p w14:paraId="45CBFA25" w14:textId="3D48375B" w:rsidR="00EF26F4" w:rsidRDefault="00645BC7" w:rsidP="00EF26F4">
      <w:pPr>
        <w:spacing w:before="120" w:after="120" w:line="240" w:lineRule="auto"/>
        <w:jc w:val="both"/>
        <w:rPr>
          <w:rFonts w:ascii="Times New Roman" w:hAnsi="Times New Roman"/>
          <w:noProof/>
          <w:sz w:val="24"/>
        </w:rPr>
      </w:pPr>
      <w:r>
        <w:rPr>
          <w:rFonts w:ascii="Times New Roman" w:hAnsi="Times New Roman"/>
          <w:noProof/>
          <w:sz w:val="24"/>
        </w:rPr>
        <w:t xml:space="preserve">Investeering on suunatud e-liikuvusele kooskõlas riikliku energia- ja kliimakava eesmärkidega ning hõlmab järgmist: 1) avalike laadimispunktide rajamise toetamine peamistes linna- ja linnalähipiirkondades ja huvipakkuvates kohtades (nt lennujaamad, kiirteed, sadamad ja parkimisalad); 2) vanemate busside asendamine 220 uue elektribussiga; 3) stiimulid vanemate taksode asendamiseks 1 770 akutoitel elektrisõidukiga; </w:t>
      </w:r>
      <w:r>
        <w:rPr>
          <w:rFonts w:ascii="Times New Roman" w:hAnsi="Times New Roman"/>
          <w:noProof/>
          <w:sz w:val="24"/>
        </w:rPr>
        <w:br w:type="page"/>
      </w:r>
    </w:p>
    <w:p w14:paraId="3951FD2A" w14:textId="3260C756" w:rsidR="00645BC7" w:rsidRPr="00E02B5D" w:rsidRDefault="00645BC7" w:rsidP="13CC7524">
      <w:pPr>
        <w:spacing w:before="120" w:after="120" w:line="240" w:lineRule="auto"/>
        <w:jc w:val="both"/>
        <w:rPr>
          <w:rFonts w:ascii="Times New Roman" w:hAnsi="Times New Roman" w:cs="Times New Roman"/>
          <w:b/>
          <w:bCs/>
          <w:noProof/>
          <w:sz w:val="24"/>
          <w:szCs w:val="24"/>
          <w:u w:val="single"/>
        </w:rPr>
      </w:pPr>
      <w:r>
        <w:rPr>
          <w:rFonts w:ascii="Times New Roman" w:hAnsi="Times New Roman"/>
          <w:noProof/>
          <w:sz w:val="24"/>
        </w:rPr>
        <w:t xml:space="preserve">4) bussiettevõtjate avaliku teenindamise kohustusi käsitlevate õigusaktide reform kooskõlas kehtiva ELi </w:t>
      </w:r>
      <w:r w:rsidRPr="00746BE8">
        <w:rPr>
          <w:rFonts w:ascii="Times New Roman" w:hAnsi="Times New Roman"/>
          <w:i/>
          <w:iCs/>
          <w:noProof/>
          <w:sz w:val="24"/>
        </w:rPr>
        <w:t>acquis</w:t>
      </w:r>
      <w:r>
        <w:rPr>
          <w:rFonts w:ascii="Times New Roman" w:hAnsi="Times New Roman"/>
          <w:noProof/>
          <w:sz w:val="24"/>
        </w:rPr>
        <w:t>’ga, mis võimaldab väljaspool Ateenat ja Thessaloníkit asuvatel bussiettevõtjatel kindlalt investeerida elektrisõidukitesse; ning 5) teostatavusuuringu tegemine, et luua e-transpordi amet, mis tagab asjakohase planeerimise ja koordineerimise transpordi- ja energiainfrastruktuuride, piirkondlike ja kohalike omavalitsuste ning muude teadus- ja erasektori sidusrühmade vahel. Investeerimiskomponent, mis asendab vanu busse ja sõidukeid, peab vastama DNSH-põhimõttele (2021/C58/01), pöörates erilist tähelepanu vanade sõidukite/busside lammutamisele, mida teeb volitatud töötlemisettevõte vastavalt kasutuselt kõrvaldatud sõidukeid käsitlevale direktiivile (2000/53/EÜ). Investeeringu rakendamine viiakse lõpule 31. detsembriks 2025.</w:t>
      </w:r>
    </w:p>
    <w:p w14:paraId="254962C5" w14:textId="77777777" w:rsidR="00645BC7" w:rsidRPr="00AD4052" w:rsidRDefault="00645BC7" w:rsidP="00645BC7">
      <w:pPr>
        <w:spacing w:before="120" w:after="120" w:line="240" w:lineRule="auto"/>
        <w:ind w:left="709"/>
        <w:jc w:val="both"/>
        <w:rPr>
          <w:rFonts w:ascii="Times New Roman" w:hAnsi="Times New Roman" w:cs="Times New Roman"/>
          <w:noProof/>
          <w:sz w:val="24"/>
        </w:rPr>
        <w:sectPr w:rsidR="00645BC7" w:rsidRPr="00AD4052" w:rsidSect="00AF58D0">
          <w:headerReference w:type="even" r:id="rId68"/>
          <w:headerReference w:type="default" r:id="rId69"/>
          <w:footerReference w:type="even" r:id="rId70"/>
          <w:footerReference w:type="default" r:id="rId71"/>
          <w:headerReference w:type="first" r:id="rId72"/>
          <w:footerReference w:type="first" r:id="rId73"/>
          <w:pgSz w:w="11907" w:h="16839"/>
          <w:pgMar w:top="1134" w:right="1418" w:bottom="1134" w:left="1418" w:header="709" w:footer="182" w:gutter="0"/>
          <w:cols w:space="720"/>
          <w:docGrid w:linePitch="360"/>
        </w:sectPr>
      </w:pPr>
    </w:p>
    <w:p w14:paraId="0B5EE8C6" w14:textId="77777777" w:rsidR="00645BC7" w:rsidRPr="00E02B5D" w:rsidRDefault="00645BC7" w:rsidP="00645BC7">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noProof/>
          <w:sz w:val="24"/>
          <w:u w:val="single"/>
        </w:rPr>
        <w:t xml:space="preserve">C.2. </w:t>
      </w:r>
      <w:r>
        <w:rPr>
          <w:noProof/>
        </w:rPr>
        <w:tab/>
      </w:r>
      <w:r>
        <w:rPr>
          <w:rFonts w:ascii="Times New Roman" w:hAnsi="Times New Roman"/>
          <w:b/>
          <w:noProof/>
          <w:sz w:val="24"/>
          <w:u w:val="single"/>
        </w:rPr>
        <w:t>Tagastamatu rahalise toetuse eesmärgid, sihid, näitajad ning seire ja rakendamise ajakava</w:t>
      </w:r>
    </w:p>
    <w:p w14:paraId="5314B92A" w14:textId="77777777" w:rsidR="00645BC7" w:rsidRPr="00AD4052" w:rsidRDefault="00645BC7" w:rsidP="00685365">
      <w:pPr>
        <w:rPr>
          <w:noProof/>
        </w:rPr>
      </w:pPr>
    </w:p>
    <w:p w14:paraId="5D1053CD" w14:textId="77777777" w:rsidR="00645BC7" w:rsidRPr="00E02B5D" w:rsidRDefault="00645BC7"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Põhireform 3: Elektrisõidukite laadimistaristu paigaldamise ja käitamise raamistik</w:t>
      </w:r>
    </w:p>
    <w:tbl>
      <w:tblPr>
        <w:tblpPr w:leftFromText="180" w:rightFromText="180" w:vertAnchor="text" w:tblpXSpec="center" w:tblpY="1"/>
        <w:tblOverlap w:val="neve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596"/>
        <w:gridCol w:w="966"/>
        <w:gridCol w:w="1383"/>
        <w:gridCol w:w="1717"/>
        <w:gridCol w:w="2101"/>
        <w:gridCol w:w="1090"/>
        <w:gridCol w:w="906"/>
        <w:gridCol w:w="992"/>
        <w:gridCol w:w="851"/>
        <w:gridCol w:w="3437"/>
      </w:tblGrid>
      <w:tr w:rsidR="00645BC7" w:rsidRPr="003B132A" w14:paraId="096DCA69" w14:textId="77777777" w:rsidTr="001D1DC6">
        <w:trPr>
          <w:trHeight w:val="927"/>
          <w:tblHeader/>
        </w:trPr>
        <w:tc>
          <w:tcPr>
            <w:tcW w:w="1116" w:type="dxa"/>
            <w:vMerge w:val="restart"/>
            <w:shd w:val="clear" w:color="auto" w:fill="BDD7EE"/>
            <w:vAlign w:val="center"/>
            <w:hideMark/>
          </w:tcPr>
          <w:p w14:paraId="566BCD9E" w14:textId="6C77623A"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1D1DC6">
              <w:rPr>
                <w:rFonts w:ascii="Times New Roman" w:hAnsi="Times New Roman"/>
                <w:b/>
                <w:noProof/>
                <w:sz w:val="18"/>
              </w:rPr>
              <w:t>-</w:t>
            </w:r>
            <w:r>
              <w:rPr>
                <w:rFonts w:ascii="Times New Roman" w:hAnsi="Times New Roman"/>
                <w:b/>
                <w:noProof/>
                <w:sz w:val="18"/>
              </w:rPr>
              <w:t>number</w:t>
            </w:r>
          </w:p>
        </w:tc>
        <w:tc>
          <w:tcPr>
            <w:tcW w:w="1596" w:type="dxa"/>
            <w:vMerge w:val="restart"/>
            <w:shd w:val="clear" w:color="auto" w:fill="BDD7EE"/>
            <w:vAlign w:val="center"/>
            <w:hideMark/>
          </w:tcPr>
          <w:p w14:paraId="00BC00B1"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6" w:type="dxa"/>
            <w:vMerge w:val="restart"/>
            <w:shd w:val="clear" w:color="auto" w:fill="BDD7EE"/>
            <w:vAlign w:val="center"/>
            <w:hideMark/>
          </w:tcPr>
          <w:p w14:paraId="4773350E"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383" w:type="dxa"/>
            <w:vMerge w:val="restart"/>
            <w:shd w:val="clear" w:color="auto" w:fill="BDD7EE"/>
            <w:vAlign w:val="center"/>
            <w:hideMark/>
          </w:tcPr>
          <w:p w14:paraId="29C7411D"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717" w:type="dxa"/>
            <w:vMerge w:val="restart"/>
            <w:shd w:val="clear" w:color="auto" w:fill="BDD7EE"/>
            <w:vAlign w:val="center"/>
            <w:hideMark/>
          </w:tcPr>
          <w:p w14:paraId="5C19D179" w14:textId="77777777" w:rsidR="00645BC7" w:rsidRPr="00E02B5D" w:rsidRDefault="00645BC7" w:rsidP="00E21C89">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4097" w:type="dxa"/>
            <w:gridSpan w:val="3"/>
            <w:shd w:val="clear" w:color="auto" w:fill="BDD7EE"/>
            <w:vAlign w:val="center"/>
            <w:hideMark/>
          </w:tcPr>
          <w:p w14:paraId="6585E3EC"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843" w:type="dxa"/>
            <w:gridSpan w:val="2"/>
            <w:shd w:val="clear" w:color="auto" w:fill="BDD7EE"/>
            <w:vAlign w:val="center"/>
            <w:hideMark/>
          </w:tcPr>
          <w:p w14:paraId="5C85D430"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437" w:type="dxa"/>
            <w:vMerge w:val="restart"/>
            <w:shd w:val="clear" w:color="auto" w:fill="BDD7EE"/>
            <w:vAlign w:val="center"/>
            <w:hideMark/>
          </w:tcPr>
          <w:p w14:paraId="152A0E28"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645BC7" w:rsidRPr="00E02B5D" w14:paraId="50537E29" w14:textId="77777777" w:rsidTr="001D1DC6">
        <w:trPr>
          <w:trHeight w:val="619"/>
        </w:trPr>
        <w:tc>
          <w:tcPr>
            <w:tcW w:w="1116" w:type="dxa"/>
            <w:vMerge/>
            <w:vAlign w:val="center"/>
            <w:hideMark/>
          </w:tcPr>
          <w:p w14:paraId="53FAC242"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596" w:type="dxa"/>
            <w:vMerge/>
            <w:vAlign w:val="center"/>
            <w:hideMark/>
          </w:tcPr>
          <w:p w14:paraId="55FB4CF2"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966" w:type="dxa"/>
            <w:vMerge/>
            <w:vAlign w:val="center"/>
            <w:hideMark/>
          </w:tcPr>
          <w:p w14:paraId="24C3BA21"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383" w:type="dxa"/>
            <w:vMerge/>
            <w:vAlign w:val="center"/>
            <w:hideMark/>
          </w:tcPr>
          <w:p w14:paraId="03C85224"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717" w:type="dxa"/>
            <w:vMerge/>
            <w:vAlign w:val="center"/>
            <w:hideMark/>
          </w:tcPr>
          <w:p w14:paraId="3703F3DD"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2101" w:type="dxa"/>
            <w:shd w:val="clear" w:color="auto" w:fill="BDD7EE"/>
            <w:vAlign w:val="center"/>
            <w:hideMark/>
          </w:tcPr>
          <w:p w14:paraId="2DAF3563"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090" w:type="dxa"/>
            <w:shd w:val="clear" w:color="auto" w:fill="BDD7EE"/>
            <w:vAlign w:val="center"/>
            <w:hideMark/>
          </w:tcPr>
          <w:p w14:paraId="359FD11C"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shd w:val="clear" w:color="auto" w:fill="BDD7EE"/>
            <w:vAlign w:val="center"/>
            <w:hideMark/>
          </w:tcPr>
          <w:p w14:paraId="4F25F736"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992" w:type="dxa"/>
            <w:shd w:val="clear" w:color="auto" w:fill="BDD7EE"/>
            <w:vAlign w:val="center"/>
            <w:hideMark/>
          </w:tcPr>
          <w:p w14:paraId="7E89BCDD"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851" w:type="dxa"/>
            <w:shd w:val="clear" w:color="auto" w:fill="BDD7EE"/>
            <w:vAlign w:val="center"/>
            <w:hideMark/>
          </w:tcPr>
          <w:p w14:paraId="051F59DB"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437" w:type="dxa"/>
            <w:vMerge/>
            <w:vAlign w:val="center"/>
            <w:hideMark/>
          </w:tcPr>
          <w:p w14:paraId="1EC6EBDF" w14:textId="77777777" w:rsidR="00645BC7" w:rsidRPr="00E02B5D" w:rsidRDefault="00645BC7" w:rsidP="00D00694">
            <w:pPr>
              <w:spacing w:after="0" w:line="240" w:lineRule="auto"/>
              <w:rPr>
                <w:rFonts w:ascii="Times New Roman" w:eastAsia="Times New Roman" w:hAnsi="Times New Roman" w:cs="Times New Roman"/>
                <w:b/>
                <w:bCs/>
                <w:noProof/>
                <w:sz w:val="18"/>
                <w:szCs w:val="18"/>
                <w:lang w:val="en-GB" w:eastAsia="en-GB"/>
              </w:rPr>
            </w:pPr>
          </w:p>
        </w:tc>
      </w:tr>
      <w:tr w:rsidR="00645BC7" w:rsidRPr="003B132A" w14:paraId="22D3F8DA" w14:textId="77777777" w:rsidTr="001D1DC6">
        <w:trPr>
          <w:trHeight w:val="309"/>
        </w:trPr>
        <w:tc>
          <w:tcPr>
            <w:tcW w:w="1116" w:type="dxa"/>
            <w:shd w:val="clear" w:color="auto" w:fill="C6EFCE"/>
            <w:noWrap/>
          </w:tcPr>
          <w:p w14:paraId="2E1BD4E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42</w:t>
            </w:r>
          </w:p>
        </w:tc>
        <w:tc>
          <w:tcPr>
            <w:tcW w:w="1596" w:type="dxa"/>
            <w:shd w:val="clear" w:color="auto" w:fill="C6EFCE"/>
            <w:noWrap/>
          </w:tcPr>
          <w:p w14:paraId="7CC4160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16281_EV laadimistaristu paigaldamise ja käitamise raamistik</w:t>
            </w:r>
          </w:p>
        </w:tc>
        <w:tc>
          <w:tcPr>
            <w:tcW w:w="966" w:type="dxa"/>
            <w:shd w:val="clear" w:color="auto" w:fill="C6EFCE"/>
            <w:noWrap/>
          </w:tcPr>
          <w:p w14:paraId="098E28D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383" w:type="dxa"/>
            <w:shd w:val="clear" w:color="auto" w:fill="C6EFCE"/>
            <w:noWrap/>
          </w:tcPr>
          <w:p w14:paraId="2DC29F2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Elektrisõidukite laadimispunktid – õigusraamistiku jõustumine</w:t>
            </w:r>
          </w:p>
        </w:tc>
        <w:tc>
          <w:tcPr>
            <w:tcW w:w="1717" w:type="dxa"/>
            <w:shd w:val="clear" w:color="auto" w:fill="C6EFCE"/>
            <w:noWrap/>
          </w:tcPr>
          <w:p w14:paraId="1E6027C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Vastuvõetud ministrite otsuste jõustumine.</w:t>
            </w:r>
          </w:p>
        </w:tc>
        <w:tc>
          <w:tcPr>
            <w:tcW w:w="2101" w:type="dxa"/>
            <w:shd w:val="clear" w:color="auto" w:fill="C6EFCE"/>
            <w:noWrap/>
          </w:tcPr>
          <w:p w14:paraId="69E204BB"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1090" w:type="dxa"/>
            <w:shd w:val="clear" w:color="auto" w:fill="C6EFCE"/>
            <w:noWrap/>
          </w:tcPr>
          <w:p w14:paraId="1EDC702C"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06" w:type="dxa"/>
            <w:shd w:val="clear" w:color="auto" w:fill="C6EFCE"/>
            <w:noWrap/>
          </w:tcPr>
          <w:p w14:paraId="09C81397"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92" w:type="dxa"/>
            <w:shd w:val="clear" w:color="auto" w:fill="C6EFCE"/>
            <w:noWrap/>
          </w:tcPr>
          <w:p w14:paraId="5BA445E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 kv</w:t>
            </w:r>
          </w:p>
        </w:tc>
        <w:tc>
          <w:tcPr>
            <w:tcW w:w="851" w:type="dxa"/>
            <w:shd w:val="clear" w:color="auto" w:fill="C6EFCE"/>
            <w:noWrap/>
          </w:tcPr>
          <w:p w14:paraId="481A4B5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2021</w:t>
            </w:r>
          </w:p>
        </w:tc>
        <w:tc>
          <w:tcPr>
            <w:tcW w:w="3437" w:type="dxa"/>
            <w:shd w:val="clear" w:color="auto" w:fill="C6EFCE"/>
            <w:noWrap/>
          </w:tcPr>
          <w:p w14:paraId="33C8363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Kõigi ministri otsuste jõustumine, mis on sätestatud seaduses 4710/2020 ja millele on alla kirjutanud keskkonna- ja energeetikaminister; Infrastruktuuri- ja transpordiminister, siseminister ja rahandusminister, kes korraldab elektrisõidukite turgu, keskendudes laadimisteenuste turule ning pakkudes maksupõhiseid stiimuleid elektrisõidukite ostmiseks ja elektrisõidukite laadimistaristu paigaldamiseks.</w:t>
            </w:r>
          </w:p>
        </w:tc>
      </w:tr>
      <w:tr w:rsidR="00645BC7" w:rsidRPr="003B132A" w14:paraId="0E08AC90" w14:textId="77777777" w:rsidTr="001D1DC6">
        <w:trPr>
          <w:trHeight w:val="309"/>
        </w:trPr>
        <w:tc>
          <w:tcPr>
            <w:tcW w:w="1116" w:type="dxa"/>
            <w:shd w:val="clear" w:color="auto" w:fill="C6EFCE"/>
            <w:noWrap/>
          </w:tcPr>
          <w:p w14:paraId="38FE911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43</w:t>
            </w:r>
          </w:p>
        </w:tc>
        <w:tc>
          <w:tcPr>
            <w:tcW w:w="1596" w:type="dxa"/>
            <w:shd w:val="clear" w:color="auto" w:fill="C6EFCE"/>
            <w:noWrap/>
          </w:tcPr>
          <w:p w14:paraId="1912288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16281_EV laadimistaristu paigaldamise ja käitamise raamistik</w:t>
            </w:r>
          </w:p>
        </w:tc>
        <w:tc>
          <w:tcPr>
            <w:tcW w:w="966" w:type="dxa"/>
            <w:shd w:val="clear" w:color="auto" w:fill="C6EFCE"/>
            <w:noWrap/>
          </w:tcPr>
          <w:p w14:paraId="68A8B95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Siht</w:t>
            </w:r>
          </w:p>
        </w:tc>
        <w:tc>
          <w:tcPr>
            <w:tcW w:w="1383" w:type="dxa"/>
            <w:shd w:val="clear" w:color="auto" w:fill="C6EFCE"/>
            <w:noWrap/>
          </w:tcPr>
          <w:p w14:paraId="2BDA848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Elektrisõidukite laadimispunktid – kinnitatud kohalikud kavad</w:t>
            </w:r>
          </w:p>
        </w:tc>
        <w:tc>
          <w:tcPr>
            <w:tcW w:w="1717" w:type="dxa"/>
            <w:shd w:val="clear" w:color="auto" w:fill="C6EFCE"/>
            <w:noWrap/>
          </w:tcPr>
          <w:p w14:paraId="791B5E5F"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2101" w:type="dxa"/>
            <w:shd w:val="clear" w:color="auto" w:fill="C6EFCE"/>
            <w:noWrap/>
          </w:tcPr>
          <w:p w14:paraId="2A00643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Keskkonna- ja energeetikaministeeriumi vastuvõetud kavade arv</w:t>
            </w:r>
          </w:p>
        </w:tc>
        <w:tc>
          <w:tcPr>
            <w:tcW w:w="1090" w:type="dxa"/>
            <w:shd w:val="clear" w:color="auto" w:fill="C6EFCE"/>
            <w:noWrap/>
          </w:tcPr>
          <w:p w14:paraId="6C1155A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0</w:t>
            </w:r>
          </w:p>
        </w:tc>
        <w:tc>
          <w:tcPr>
            <w:tcW w:w="906" w:type="dxa"/>
            <w:shd w:val="clear" w:color="auto" w:fill="C6EFCE"/>
            <w:noWrap/>
          </w:tcPr>
          <w:p w14:paraId="700F4F3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300</w:t>
            </w:r>
          </w:p>
        </w:tc>
        <w:tc>
          <w:tcPr>
            <w:tcW w:w="992" w:type="dxa"/>
            <w:shd w:val="clear" w:color="auto" w:fill="C6EFCE"/>
            <w:noWrap/>
          </w:tcPr>
          <w:p w14:paraId="165FCF4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851" w:type="dxa"/>
            <w:shd w:val="clear" w:color="auto" w:fill="C6EFCE"/>
            <w:noWrap/>
          </w:tcPr>
          <w:p w14:paraId="749F6A7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3437" w:type="dxa"/>
            <w:shd w:val="clear" w:color="auto" w:fill="C6EFCE"/>
            <w:noWrap/>
          </w:tcPr>
          <w:p w14:paraId="22C5819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Keskkonna- ja energeetikaministeerium võtab vastu vähemalt 300 kohalike omavalitsuste esitatud kava üldkasutatavate elektrisõidukite laadimispunktide paigaldamiseks.</w:t>
            </w:r>
          </w:p>
        </w:tc>
      </w:tr>
    </w:tbl>
    <w:p w14:paraId="7DD0C0B6" w14:textId="77777777" w:rsidR="00645BC7" w:rsidRPr="00AD4052" w:rsidRDefault="00645BC7" w:rsidP="00645BC7">
      <w:pPr>
        <w:spacing w:before="120" w:after="120" w:line="240" w:lineRule="auto"/>
        <w:ind w:left="709"/>
        <w:jc w:val="both"/>
        <w:rPr>
          <w:rFonts w:ascii="Times New Roman" w:hAnsi="Times New Roman" w:cs="Times New Roman"/>
          <w:noProof/>
          <w:sz w:val="24"/>
          <w:szCs w:val="24"/>
        </w:rPr>
      </w:pPr>
    </w:p>
    <w:p w14:paraId="4C7E135B" w14:textId="77777777" w:rsidR="00645BC7" w:rsidRPr="00E02B5D" w:rsidRDefault="00645BC7"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4: E-liikuvus</w:t>
      </w:r>
    </w:p>
    <w:p w14:paraId="1BB97309" w14:textId="77777777" w:rsidR="00645BC7" w:rsidRPr="00E02B5D" w:rsidRDefault="00645BC7"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Sellesse rühma kuuluvad järgmised meetmed:</w:t>
      </w:r>
    </w:p>
    <w:p w14:paraId="347EE61B" w14:textId="77777777" w:rsidR="00645BC7" w:rsidRPr="00E02B5D" w:rsidRDefault="00645BC7"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Produc-E Green (ID: 16831)</w:t>
      </w:r>
    </w:p>
    <w:p w14:paraId="5D603573" w14:textId="77777777" w:rsidR="00645BC7" w:rsidRPr="00E02B5D" w:rsidRDefault="00645BC7" w:rsidP="00645BC7">
      <w:pPr>
        <w:spacing w:before="120" w:after="120" w:line="240" w:lineRule="auto"/>
        <w:ind w:left="709"/>
        <w:rPr>
          <w:rFonts w:ascii="Times New Roman" w:hAnsi="Times New Roman" w:cs="Times New Roman"/>
          <w:noProof/>
          <w:sz w:val="24"/>
        </w:rPr>
        <w:sectPr w:rsidR="00645BC7" w:rsidRPr="00E02B5D" w:rsidSect="00AF58D0">
          <w:headerReference w:type="even" r:id="rId74"/>
          <w:headerReference w:type="default" r:id="rId75"/>
          <w:footerReference w:type="even" r:id="rId76"/>
          <w:footerReference w:type="default" r:id="rId77"/>
          <w:headerReference w:type="first" r:id="rId78"/>
          <w:footerReference w:type="first" r:id="rId79"/>
          <w:pgSz w:w="16839" w:h="11907" w:orient="landscape"/>
          <w:pgMar w:top="720" w:right="720" w:bottom="720" w:left="720" w:header="709" w:footer="501" w:gutter="0"/>
          <w:cols w:space="720"/>
          <w:docGrid w:linePitch="360"/>
        </w:sectPr>
      </w:pPr>
      <w:r>
        <w:rPr>
          <w:rFonts w:ascii="Times New Roman" w:hAnsi="Times New Roman"/>
          <w:noProof/>
          <w:sz w:val="24"/>
        </w:rPr>
        <w:t>●</w:t>
      </w:r>
      <w:r>
        <w:rPr>
          <w:noProof/>
        </w:rPr>
        <w:tab/>
      </w:r>
      <w:r>
        <w:rPr>
          <w:rFonts w:ascii="Times New Roman" w:hAnsi="Times New Roman"/>
          <w:noProof/>
          <w:sz w:val="24"/>
        </w:rPr>
        <w:t xml:space="preserve">Elektromobiilsus (ID: 16924) </w:t>
      </w:r>
    </w:p>
    <w:p w14:paraId="4EEF57BD" w14:textId="77777777" w:rsidR="00645BC7" w:rsidRPr="00E02B5D" w:rsidRDefault="00645BC7" w:rsidP="00645BC7">
      <w:pPr>
        <w:spacing w:before="120" w:after="120" w:line="240" w:lineRule="auto"/>
        <w:ind w:left="709"/>
        <w:rPr>
          <w:rFonts w:ascii="Times New Roman" w:hAnsi="Times New Roman" w:cs="Times New Roman"/>
          <w:noProof/>
          <w:sz w:val="24"/>
          <w:lang w:val="en-GB"/>
        </w:rPr>
      </w:pPr>
    </w:p>
    <w:tbl>
      <w:tblPr>
        <w:tblW w:w="15191" w:type="dxa"/>
        <w:tblInd w:w="113" w:type="dxa"/>
        <w:tblLook w:val="04A0" w:firstRow="1" w:lastRow="0" w:firstColumn="1" w:lastColumn="0" w:noHBand="0" w:noVBand="1"/>
      </w:tblPr>
      <w:tblGrid>
        <w:gridCol w:w="1476"/>
        <w:gridCol w:w="1744"/>
        <w:gridCol w:w="891"/>
        <w:gridCol w:w="1387"/>
        <w:gridCol w:w="2095"/>
        <w:gridCol w:w="1761"/>
        <w:gridCol w:w="868"/>
        <w:gridCol w:w="842"/>
        <w:gridCol w:w="764"/>
        <w:gridCol w:w="645"/>
        <w:gridCol w:w="2803"/>
      </w:tblGrid>
      <w:tr w:rsidR="007B4D63" w:rsidRPr="003B132A" w14:paraId="4B974AD3" w14:textId="77777777" w:rsidTr="008AECE0">
        <w:trPr>
          <w:trHeight w:val="939"/>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05DB21"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B4694A"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380FBA"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418" w:type="dxa"/>
            <w:vMerge w:val="restart"/>
            <w:tcBorders>
              <w:top w:val="single" w:sz="4" w:space="0" w:color="auto"/>
              <w:left w:val="nil"/>
              <w:bottom w:val="single" w:sz="4" w:space="0" w:color="auto"/>
              <w:right w:val="single" w:sz="4" w:space="0" w:color="auto"/>
            </w:tcBorders>
            <w:shd w:val="clear" w:color="auto" w:fill="BDD7EE"/>
            <w:vAlign w:val="center"/>
            <w:hideMark/>
          </w:tcPr>
          <w:p w14:paraId="33C0363A"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ED18DF" w14:textId="77777777" w:rsidR="00645BC7" w:rsidRPr="00E02B5D" w:rsidRDefault="00645BC7" w:rsidP="00E21C89">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253" w:type="dxa"/>
            <w:gridSpan w:val="3"/>
            <w:tcBorders>
              <w:top w:val="single" w:sz="4" w:space="0" w:color="auto"/>
              <w:left w:val="nil"/>
              <w:bottom w:val="single" w:sz="4" w:space="0" w:color="auto"/>
              <w:right w:val="single" w:sz="4" w:space="0" w:color="auto"/>
            </w:tcBorders>
            <w:shd w:val="clear" w:color="auto" w:fill="BDD7EE"/>
            <w:vAlign w:val="center"/>
            <w:hideMark/>
          </w:tcPr>
          <w:p w14:paraId="75E01FFD"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555" w:type="dxa"/>
            <w:gridSpan w:val="2"/>
            <w:tcBorders>
              <w:top w:val="single" w:sz="4" w:space="0" w:color="auto"/>
              <w:left w:val="nil"/>
              <w:bottom w:val="single" w:sz="4" w:space="0" w:color="auto"/>
              <w:right w:val="single" w:sz="4" w:space="0" w:color="auto"/>
            </w:tcBorders>
            <w:shd w:val="clear" w:color="auto" w:fill="BDD7EE"/>
            <w:vAlign w:val="center"/>
            <w:hideMark/>
          </w:tcPr>
          <w:p w14:paraId="32382C37"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1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0504D6"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6E0EA2" w:rsidRPr="00E02B5D" w14:paraId="25FCC058" w14:textId="77777777" w:rsidTr="00855F6A">
        <w:trPr>
          <w:trHeight w:val="531"/>
          <w:tblHead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61E6CA1"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83A0626"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0AB958"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754121"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785078DC"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4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2398303"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363E3EE"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3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A2BF323"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4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31B38BE"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65C9F3F"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191" w:type="dxa"/>
            <w:vMerge/>
            <w:tcBorders>
              <w:top w:val="single" w:sz="4" w:space="0" w:color="auto"/>
              <w:left w:val="single" w:sz="4" w:space="0" w:color="auto"/>
              <w:bottom w:val="single" w:sz="4" w:space="0" w:color="auto"/>
              <w:right w:val="single" w:sz="4" w:space="0" w:color="auto"/>
            </w:tcBorders>
            <w:vAlign w:val="center"/>
            <w:hideMark/>
          </w:tcPr>
          <w:p w14:paraId="0A562602" w14:textId="77777777" w:rsidR="00645BC7" w:rsidRPr="00E02B5D" w:rsidRDefault="00645BC7" w:rsidP="00D00694">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30F00A73"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C6BAA7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44</w:t>
            </w:r>
          </w:p>
        </w:tc>
        <w:tc>
          <w:tcPr>
            <w:tcW w:w="1378" w:type="dxa"/>
            <w:tcBorders>
              <w:top w:val="single" w:sz="4" w:space="0" w:color="auto"/>
              <w:left w:val="nil"/>
              <w:bottom w:val="single" w:sz="4" w:space="0" w:color="auto"/>
              <w:right w:val="single" w:sz="4" w:space="0" w:color="auto"/>
            </w:tcBorders>
            <w:shd w:val="clear" w:color="auto" w:fill="C6EFCE"/>
            <w:noWrap/>
          </w:tcPr>
          <w:p w14:paraId="797851E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16924_ Elektromobiilsus</w:t>
            </w:r>
          </w:p>
        </w:tc>
        <w:tc>
          <w:tcPr>
            <w:tcW w:w="992" w:type="dxa"/>
            <w:tcBorders>
              <w:top w:val="single" w:sz="4" w:space="0" w:color="auto"/>
              <w:left w:val="nil"/>
              <w:bottom w:val="single" w:sz="4" w:space="0" w:color="auto"/>
              <w:right w:val="single" w:sz="4" w:space="0" w:color="auto"/>
            </w:tcBorders>
            <w:shd w:val="clear" w:color="auto" w:fill="C6EFCE"/>
            <w:noWrap/>
          </w:tcPr>
          <w:p w14:paraId="17EBED1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418" w:type="dxa"/>
            <w:tcBorders>
              <w:top w:val="single" w:sz="4" w:space="0" w:color="auto"/>
              <w:left w:val="nil"/>
              <w:bottom w:val="single" w:sz="4" w:space="0" w:color="auto"/>
              <w:right w:val="single" w:sz="4" w:space="0" w:color="auto"/>
            </w:tcBorders>
            <w:shd w:val="clear" w:color="auto" w:fill="C6EFCE"/>
            <w:noWrap/>
          </w:tcPr>
          <w:p w14:paraId="50F3EFF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Ühistransport – avaliku teenindamise kohustuse turu reguleerimise jõustumine (bussid)</w:t>
            </w:r>
          </w:p>
        </w:tc>
        <w:tc>
          <w:tcPr>
            <w:tcW w:w="2377" w:type="dxa"/>
            <w:tcBorders>
              <w:top w:val="single" w:sz="4" w:space="0" w:color="auto"/>
              <w:left w:val="nil"/>
              <w:bottom w:val="single" w:sz="4" w:space="0" w:color="auto"/>
              <w:right w:val="single" w:sz="4" w:space="0" w:color="auto"/>
            </w:tcBorders>
            <w:shd w:val="clear" w:color="auto" w:fill="C6EFCE"/>
            <w:noWrap/>
          </w:tcPr>
          <w:p w14:paraId="39499153" w14:textId="77777777" w:rsidR="00645BC7" w:rsidRPr="00E02B5D" w:rsidRDefault="00645BC7" w:rsidP="00D00694">
            <w:pPr>
              <w:spacing w:after="0" w:line="240" w:lineRule="auto"/>
              <w:rPr>
                <w:rFonts w:eastAsia="Times New Roman" w:cs="Calibri"/>
                <w:noProof/>
                <w:color w:val="006100"/>
                <w:sz w:val="18"/>
                <w:szCs w:val="18"/>
                <w:highlight w:val="yellow"/>
              </w:rPr>
            </w:pPr>
            <w:r>
              <w:rPr>
                <w:noProof/>
                <w:color w:val="006100"/>
                <w:sz w:val="18"/>
              </w:rPr>
              <w:t>Muudetud õigusraamistiku jõustumine.</w:t>
            </w:r>
          </w:p>
        </w:tc>
        <w:tc>
          <w:tcPr>
            <w:tcW w:w="1460" w:type="dxa"/>
            <w:tcBorders>
              <w:top w:val="single" w:sz="4" w:space="0" w:color="auto"/>
              <w:left w:val="nil"/>
              <w:bottom w:val="single" w:sz="4" w:space="0" w:color="auto"/>
              <w:right w:val="single" w:sz="4" w:space="0" w:color="auto"/>
            </w:tcBorders>
            <w:shd w:val="clear" w:color="auto" w:fill="C6EFCE"/>
            <w:noWrap/>
          </w:tcPr>
          <w:p w14:paraId="5658F8A4"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2E477D1A"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079719E7"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4AC9630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2AE8A82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2021</w:t>
            </w:r>
          </w:p>
        </w:tc>
        <w:tc>
          <w:tcPr>
            <w:tcW w:w="3191" w:type="dxa"/>
            <w:tcBorders>
              <w:top w:val="single" w:sz="4" w:space="0" w:color="auto"/>
              <w:left w:val="nil"/>
              <w:bottom w:val="single" w:sz="4" w:space="0" w:color="auto"/>
              <w:right w:val="single" w:sz="4" w:space="0" w:color="auto"/>
            </w:tcBorders>
            <w:shd w:val="clear" w:color="auto" w:fill="C6EFCE"/>
            <w:noWrap/>
          </w:tcPr>
          <w:p w14:paraId="3A88E61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Tugevdada turu reguleerimist, jõustades avaliku linna- ja piirkondliku reisijateveo teenuste läbivaadatud õigusraamistiku (kooskõlas ELi lepinguga nr 1370/2007). Muudetud raamistik: a) tagada pidev reisijate ühistranspordi pakkumine linnas ja piirkonnas (regulaarne ja fikseeritud marsruut); b) teostada järelevalvet seonduvate transpordivõrkude kavandamise, korralduse ja toimimise üle; c) tagada ühistranspordi kõrge kvaliteet võimalikult väikeste kuludega; d) reguleerida ainuõiguste andmise protsessi avalike piirkondlike ja linnaliinide (regulaarsed ja fikseeritud liinid) käitamiseks; ning e) reguleerida eespool nimetatud teenuste osutamise eest makstava hüvitise suurust. Lisaks kehtestatakse seadusega üldised kriteeriumid reisijateveoteenuste hankimiseks tulevikus. Vastavad piirkonnad ja piirkondlikud üksused kehtestavad üksikasjalikud piirkonnapõhised kriteeriumid, milles võetakse nõuetekohaselt arvesse piirkonnapõhiseid transpordivajadusi, ning täpsustavad vastavalt hankemenetlust.</w:t>
            </w:r>
          </w:p>
        </w:tc>
      </w:tr>
      <w:tr w:rsidR="007B4D63" w:rsidRPr="003B132A" w14:paraId="78E5CAB3"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3CDAE8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45</w:t>
            </w:r>
          </w:p>
        </w:tc>
        <w:tc>
          <w:tcPr>
            <w:tcW w:w="1378" w:type="dxa"/>
            <w:tcBorders>
              <w:top w:val="single" w:sz="4" w:space="0" w:color="auto"/>
              <w:left w:val="nil"/>
              <w:bottom w:val="single" w:sz="4" w:space="0" w:color="auto"/>
              <w:right w:val="single" w:sz="4" w:space="0" w:color="auto"/>
            </w:tcBorders>
            <w:shd w:val="clear" w:color="auto" w:fill="C6EFCE"/>
            <w:noWrap/>
          </w:tcPr>
          <w:p w14:paraId="04AE29B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16924_ Elektromobiilsus</w:t>
            </w:r>
          </w:p>
        </w:tc>
        <w:tc>
          <w:tcPr>
            <w:tcW w:w="992" w:type="dxa"/>
            <w:tcBorders>
              <w:top w:val="single" w:sz="4" w:space="0" w:color="auto"/>
              <w:left w:val="nil"/>
              <w:bottom w:val="single" w:sz="4" w:space="0" w:color="auto"/>
              <w:right w:val="single" w:sz="4" w:space="0" w:color="auto"/>
            </w:tcBorders>
            <w:shd w:val="clear" w:color="auto" w:fill="C6EFCE"/>
            <w:noWrap/>
          </w:tcPr>
          <w:p w14:paraId="2883512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418" w:type="dxa"/>
            <w:tcBorders>
              <w:top w:val="single" w:sz="4" w:space="0" w:color="auto"/>
              <w:left w:val="nil"/>
              <w:bottom w:val="single" w:sz="4" w:space="0" w:color="auto"/>
              <w:right w:val="single" w:sz="4" w:space="0" w:color="auto"/>
            </w:tcBorders>
            <w:shd w:val="clear" w:color="auto" w:fill="C6EFCE"/>
            <w:noWrap/>
          </w:tcPr>
          <w:p w14:paraId="50CD592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Ühistransport – avaliku teenindamise kohustuse uue tururegulatsiooni rakendamine (bussid)</w:t>
            </w:r>
          </w:p>
        </w:tc>
        <w:tc>
          <w:tcPr>
            <w:tcW w:w="2377" w:type="dxa"/>
            <w:tcBorders>
              <w:top w:val="single" w:sz="4" w:space="0" w:color="auto"/>
              <w:left w:val="nil"/>
              <w:bottom w:val="single" w:sz="4" w:space="0" w:color="auto"/>
              <w:right w:val="single" w:sz="4" w:space="0" w:color="auto"/>
            </w:tcBorders>
            <w:shd w:val="clear" w:color="auto" w:fill="C6EFCE"/>
            <w:noWrap/>
          </w:tcPr>
          <w:p w14:paraId="70E1FD0A" w14:textId="77777777" w:rsidR="00645BC7" w:rsidRPr="00E02B5D" w:rsidRDefault="00645BC7" w:rsidP="00D00694">
            <w:pPr>
              <w:spacing w:after="0" w:line="240" w:lineRule="auto"/>
              <w:rPr>
                <w:rFonts w:eastAsia="Times New Roman" w:cs="Calibri"/>
                <w:noProof/>
                <w:color w:val="006100"/>
                <w:sz w:val="18"/>
                <w:szCs w:val="18"/>
                <w:highlight w:val="yellow"/>
              </w:rPr>
            </w:pPr>
            <w:r>
              <w:rPr>
                <w:noProof/>
                <w:color w:val="006100"/>
                <w:sz w:val="18"/>
              </w:rPr>
              <w:t>Läbivaadatud õigusraamistikuga seotud teiseste õigusaktide jõustumine.</w:t>
            </w:r>
          </w:p>
        </w:tc>
        <w:tc>
          <w:tcPr>
            <w:tcW w:w="1460" w:type="dxa"/>
            <w:tcBorders>
              <w:top w:val="single" w:sz="4" w:space="0" w:color="auto"/>
              <w:left w:val="nil"/>
              <w:bottom w:val="single" w:sz="4" w:space="0" w:color="auto"/>
              <w:right w:val="single" w:sz="4" w:space="0" w:color="auto"/>
            </w:tcBorders>
            <w:shd w:val="clear" w:color="auto" w:fill="C6EFCE"/>
            <w:noWrap/>
          </w:tcPr>
          <w:p w14:paraId="28B55A9A"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5061840F"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4814238B"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47A45B2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 kv</w:t>
            </w:r>
          </w:p>
        </w:tc>
        <w:tc>
          <w:tcPr>
            <w:tcW w:w="709" w:type="dxa"/>
            <w:tcBorders>
              <w:top w:val="single" w:sz="4" w:space="0" w:color="auto"/>
              <w:left w:val="nil"/>
              <w:bottom w:val="single" w:sz="4" w:space="0" w:color="auto"/>
              <w:right w:val="single" w:sz="4" w:space="0" w:color="auto"/>
            </w:tcBorders>
            <w:shd w:val="clear" w:color="auto" w:fill="C6EFCE"/>
            <w:noWrap/>
          </w:tcPr>
          <w:p w14:paraId="0749778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287A5A4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Muudetud õigusraamistikus osutatud teiseste õigusaktide jõustumine, et tugevdada avalike linna- ja piirkondlike reisijateveoteenuste turu reguleerimist.</w:t>
            </w:r>
          </w:p>
        </w:tc>
      </w:tr>
      <w:tr w:rsidR="007B4D63" w:rsidRPr="003B132A" w14:paraId="7CFF6602"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29E39B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46</w:t>
            </w:r>
          </w:p>
        </w:tc>
        <w:tc>
          <w:tcPr>
            <w:tcW w:w="1378" w:type="dxa"/>
            <w:tcBorders>
              <w:top w:val="single" w:sz="4" w:space="0" w:color="auto"/>
              <w:left w:val="nil"/>
              <w:bottom w:val="single" w:sz="4" w:space="0" w:color="auto"/>
              <w:right w:val="single" w:sz="4" w:space="0" w:color="auto"/>
            </w:tcBorders>
            <w:shd w:val="clear" w:color="auto" w:fill="C6EFCE"/>
            <w:noWrap/>
          </w:tcPr>
          <w:p w14:paraId="2B19626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3-1.3. Laadimine ja tankimine – 16831_Produc-E Green </w:t>
            </w:r>
          </w:p>
        </w:tc>
        <w:tc>
          <w:tcPr>
            <w:tcW w:w="992" w:type="dxa"/>
            <w:tcBorders>
              <w:top w:val="single" w:sz="4" w:space="0" w:color="auto"/>
              <w:left w:val="nil"/>
              <w:bottom w:val="single" w:sz="4" w:space="0" w:color="auto"/>
              <w:right w:val="single" w:sz="4" w:space="0" w:color="auto"/>
            </w:tcBorders>
            <w:shd w:val="clear" w:color="auto" w:fill="C6EFCE"/>
            <w:noWrap/>
          </w:tcPr>
          <w:p w14:paraId="07E1988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418" w:type="dxa"/>
            <w:tcBorders>
              <w:top w:val="single" w:sz="4" w:space="0" w:color="auto"/>
              <w:left w:val="nil"/>
              <w:bottom w:val="single" w:sz="4" w:space="0" w:color="auto"/>
              <w:right w:val="single" w:sz="4" w:space="0" w:color="auto"/>
            </w:tcBorders>
            <w:shd w:val="clear" w:color="auto" w:fill="C6EFCE"/>
            <w:noWrap/>
          </w:tcPr>
          <w:p w14:paraId="74A493C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Tööstusüksused – programmi käivitamine</w:t>
            </w:r>
          </w:p>
        </w:tc>
        <w:tc>
          <w:tcPr>
            <w:tcW w:w="2377" w:type="dxa"/>
            <w:tcBorders>
              <w:top w:val="single" w:sz="4" w:space="0" w:color="auto"/>
              <w:left w:val="nil"/>
              <w:bottom w:val="single" w:sz="4" w:space="0" w:color="auto"/>
              <w:right w:val="single" w:sz="4" w:space="0" w:color="auto"/>
            </w:tcBorders>
            <w:shd w:val="clear" w:color="auto" w:fill="C6EFCE"/>
            <w:noWrap/>
          </w:tcPr>
          <w:p w14:paraId="68C74B3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Ministrite otsuste jõustumine.</w:t>
            </w:r>
          </w:p>
          <w:p w14:paraId="409D1662" w14:textId="77777777" w:rsidR="00645BC7" w:rsidRPr="00E02B5D" w:rsidRDefault="00645BC7" w:rsidP="00D00694">
            <w:pPr>
              <w:spacing w:after="0" w:line="240" w:lineRule="auto"/>
              <w:rPr>
                <w:rFonts w:eastAsia="Times New Roman" w:cs="Calibri"/>
                <w:noProof/>
                <w:color w:val="006100"/>
                <w:sz w:val="18"/>
                <w:szCs w:val="18"/>
                <w:highlight w:val="yellow"/>
                <w:lang w:val="en-GB" w:eastAsia="en-GB"/>
              </w:rPr>
            </w:pPr>
          </w:p>
        </w:tc>
        <w:tc>
          <w:tcPr>
            <w:tcW w:w="1460" w:type="dxa"/>
            <w:tcBorders>
              <w:top w:val="single" w:sz="4" w:space="0" w:color="auto"/>
              <w:left w:val="nil"/>
              <w:bottom w:val="single" w:sz="4" w:space="0" w:color="auto"/>
              <w:right w:val="single" w:sz="4" w:space="0" w:color="auto"/>
            </w:tcBorders>
            <w:shd w:val="clear" w:color="auto" w:fill="C6EFCE"/>
            <w:noWrap/>
          </w:tcPr>
          <w:p w14:paraId="6570772E"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269907CA"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57CC8F52"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5DA32CC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57FAC9E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4B1F9DE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Tööstusüksuste valiku programmi käivitamine ning keskkonna- ja energeetikaministeeriumi asjakohase ministri otsuse (asjakohaste ministrite otsuste) jõustumine, milles sätestatakse:</w:t>
            </w:r>
          </w:p>
          <w:p w14:paraId="16FA30C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Valikuprotsess vähese CO</w:t>
            </w:r>
            <w:r>
              <w:rPr>
                <w:noProof/>
                <w:color w:val="006100"/>
                <w:sz w:val="18"/>
                <w:vertAlign w:val="subscript"/>
              </w:rPr>
              <w:t>2</w:t>
            </w:r>
            <w:r>
              <w:rPr>
                <w:noProof/>
                <w:color w:val="006100"/>
                <w:sz w:val="18"/>
              </w:rPr>
              <w:t xml:space="preserve"> heitega majanduse ja kliimamuutustele vastupanuvõime tagamiseks;</w:t>
            </w:r>
          </w:p>
          <w:p w14:paraId="172D945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Rakendusmehhanism on kindlaks määratud;</w:t>
            </w:r>
          </w:p>
          <w:p w14:paraId="4AA1805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Sertifitseerimismehhanism(id), millega kinnitatakse, et kliimamuutustega seotud eesmärk on saavutatud (sh vajaduse korral võimalike parandusmeetmete üksikasjad; ning</w:t>
            </w:r>
          </w:p>
          <w:p w14:paraId="30C63BB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Kronoloogia.</w:t>
            </w:r>
          </w:p>
          <w:p w14:paraId="3FECA8DA" w14:textId="77777777" w:rsidR="00645BC7" w:rsidRPr="00AD4052" w:rsidRDefault="00645BC7" w:rsidP="00D00694">
            <w:pPr>
              <w:spacing w:after="0" w:line="240" w:lineRule="auto"/>
              <w:rPr>
                <w:rFonts w:eastAsia="Times New Roman" w:cs="Calibri"/>
                <w:noProof/>
                <w:color w:val="006100"/>
                <w:sz w:val="18"/>
                <w:szCs w:val="18"/>
                <w:lang w:eastAsia="en-GB"/>
              </w:rPr>
            </w:pPr>
          </w:p>
          <w:p w14:paraId="75168BD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Valiku-/kõlblikkuskriteeriumidega tagatakse, et valitud projektid vastavad tehnilistele suunistele põhimõtte „ei kahjusta oluliselt“ kohaldamise kohta (2021/C58/01), kasutades kõrvalejätmise loetelu ning asjaomaste ELi ja riiklike keskkonnaalaste õigusaktide järgimise nõuet.</w:t>
            </w:r>
          </w:p>
        </w:tc>
      </w:tr>
      <w:tr w:rsidR="007B4D63" w:rsidRPr="00E02B5D" w14:paraId="389443FF"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CF94FD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47</w:t>
            </w:r>
          </w:p>
        </w:tc>
        <w:tc>
          <w:tcPr>
            <w:tcW w:w="1378" w:type="dxa"/>
            <w:tcBorders>
              <w:top w:val="single" w:sz="4" w:space="0" w:color="auto"/>
              <w:left w:val="nil"/>
              <w:bottom w:val="single" w:sz="4" w:space="0" w:color="auto"/>
              <w:right w:val="single" w:sz="4" w:space="0" w:color="auto"/>
            </w:tcBorders>
            <w:shd w:val="clear" w:color="auto" w:fill="C6EFCE"/>
            <w:noWrap/>
          </w:tcPr>
          <w:p w14:paraId="3378C15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16924_ Elektromobiilsus</w:t>
            </w:r>
          </w:p>
        </w:tc>
        <w:tc>
          <w:tcPr>
            <w:tcW w:w="992" w:type="dxa"/>
            <w:tcBorders>
              <w:top w:val="single" w:sz="4" w:space="0" w:color="auto"/>
              <w:left w:val="nil"/>
              <w:bottom w:val="single" w:sz="4" w:space="0" w:color="auto"/>
              <w:right w:val="single" w:sz="4" w:space="0" w:color="auto"/>
            </w:tcBorders>
            <w:shd w:val="clear" w:color="auto" w:fill="C6EFCE"/>
            <w:noWrap/>
          </w:tcPr>
          <w:p w14:paraId="3A9E4FD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418" w:type="dxa"/>
            <w:tcBorders>
              <w:top w:val="single" w:sz="4" w:space="0" w:color="auto"/>
              <w:left w:val="nil"/>
              <w:bottom w:val="single" w:sz="4" w:space="0" w:color="auto"/>
              <w:right w:val="single" w:sz="4" w:space="0" w:color="auto"/>
            </w:tcBorders>
            <w:shd w:val="clear" w:color="auto" w:fill="C6EFCE"/>
            <w:noWrap/>
          </w:tcPr>
          <w:p w14:paraId="666ADE0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 Elektrisõidukite laadimispunktid – programmide käivitamine</w:t>
            </w:r>
          </w:p>
        </w:tc>
        <w:tc>
          <w:tcPr>
            <w:tcW w:w="2377" w:type="dxa"/>
            <w:tcBorders>
              <w:top w:val="single" w:sz="4" w:space="0" w:color="auto"/>
              <w:left w:val="nil"/>
              <w:bottom w:val="single" w:sz="4" w:space="0" w:color="auto"/>
              <w:right w:val="single" w:sz="4" w:space="0" w:color="auto"/>
            </w:tcBorders>
            <w:shd w:val="clear" w:color="auto" w:fill="C6EFCE"/>
            <w:noWrap/>
          </w:tcPr>
          <w:p w14:paraId="2CD3847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Ministrite otsuste jõustumine.</w:t>
            </w:r>
          </w:p>
          <w:p w14:paraId="498E64C2"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1460" w:type="dxa"/>
            <w:tcBorders>
              <w:top w:val="single" w:sz="4" w:space="0" w:color="auto"/>
              <w:left w:val="nil"/>
              <w:bottom w:val="single" w:sz="4" w:space="0" w:color="auto"/>
              <w:right w:val="single" w:sz="4" w:space="0" w:color="auto"/>
            </w:tcBorders>
            <w:shd w:val="clear" w:color="auto" w:fill="C6EFCE"/>
            <w:noWrap/>
          </w:tcPr>
          <w:p w14:paraId="76BC4CE7"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30DF1F5F"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7AC35740"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32F726F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4E9F91C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5AA7446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Programmi käivitamine rohkem kui 8 000 üldkasutatava elektrisõidukite laadimispunkti valimiseks linnade strateegilistes linna- ja linnalähipiirkondades ning huvipunktides („Elektromobiilsus“) ning keskkonna- ja energeetikaministeeriumi asjakohase ministri otsuse (asjakohaste ministrite otsuste) jõustumine, milles sätestatakse:</w:t>
            </w:r>
          </w:p>
          <w:p w14:paraId="5DF8BC9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Valikuprotsess;</w:t>
            </w:r>
          </w:p>
          <w:p w14:paraId="2A69145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Rakendusmehhanism on kindlaks määratud;</w:t>
            </w:r>
          </w:p>
          <w:p w14:paraId="1C3E8C7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Sertifitseerimismehhanism(id), millega kinnitatakse, et kliimamuutustega seotud eesmärk on saavutatud (sh vajaduse korral võimalike parandusmeetmete üksikasjad; ning</w:t>
            </w:r>
          </w:p>
          <w:p w14:paraId="269EE3C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Kronoloogia.</w:t>
            </w:r>
          </w:p>
        </w:tc>
      </w:tr>
      <w:tr w:rsidR="007B4D63" w:rsidRPr="003B132A" w14:paraId="38FFB40E"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B01622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48</w:t>
            </w:r>
          </w:p>
        </w:tc>
        <w:tc>
          <w:tcPr>
            <w:tcW w:w="1378" w:type="dxa"/>
            <w:tcBorders>
              <w:top w:val="single" w:sz="4" w:space="0" w:color="auto"/>
              <w:left w:val="nil"/>
              <w:bottom w:val="single" w:sz="4" w:space="0" w:color="auto"/>
              <w:right w:val="single" w:sz="4" w:space="0" w:color="auto"/>
            </w:tcBorders>
            <w:shd w:val="clear" w:color="auto" w:fill="C6EFCE"/>
            <w:noWrap/>
          </w:tcPr>
          <w:p w14:paraId="6F1F6E2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16924_ Elektromobiilsus</w:t>
            </w:r>
          </w:p>
        </w:tc>
        <w:tc>
          <w:tcPr>
            <w:tcW w:w="992" w:type="dxa"/>
            <w:tcBorders>
              <w:top w:val="single" w:sz="4" w:space="0" w:color="auto"/>
              <w:left w:val="nil"/>
              <w:bottom w:val="single" w:sz="4" w:space="0" w:color="auto"/>
              <w:right w:val="single" w:sz="4" w:space="0" w:color="auto"/>
            </w:tcBorders>
            <w:shd w:val="clear" w:color="auto" w:fill="C6EFCE"/>
            <w:noWrap/>
          </w:tcPr>
          <w:p w14:paraId="23D27F6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418" w:type="dxa"/>
            <w:tcBorders>
              <w:top w:val="single" w:sz="4" w:space="0" w:color="auto"/>
              <w:left w:val="nil"/>
              <w:bottom w:val="single" w:sz="4" w:space="0" w:color="auto"/>
              <w:right w:val="single" w:sz="4" w:space="0" w:color="auto"/>
            </w:tcBorders>
            <w:shd w:val="clear" w:color="auto" w:fill="C6EFCE"/>
            <w:noWrap/>
          </w:tcPr>
          <w:p w14:paraId="5D6F52B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Säästev transport – teostatavusuuring</w:t>
            </w:r>
          </w:p>
        </w:tc>
        <w:tc>
          <w:tcPr>
            <w:tcW w:w="2377" w:type="dxa"/>
            <w:tcBorders>
              <w:top w:val="single" w:sz="4" w:space="0" w:color="auto"/>
              <w:left w:val="nil"/>
              <w:bottom w:val="single" w:sz="4" w:space="0" w:color="auto"/>
              <w:right w:val="single" w:sz="4" w:space="0" w:color="auto"/>
            </w:tcBorders>
            <w:shd w:val="clear" w:color="auto" w:fill="C6EFCE"/>
            <w:noWrap/>
          </w:tcPr>
          <w:p w14:paraId="12C5E3D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Jõustub ministrite ühisotsus, millega võetakse vastu e-liikuvuse ameti teostatavusuuring.</w:t>
            </w:r>
          </w:p>
        </w:tc>
        <w:tc>
          <w:tcPr>
            <w:tcW w:w="1460" w:type="dxa"/>
            <w:tcBorders>
              <w:top w:val="single" w:sz="4" w:space="0" w:color="auto"/>
              <w:left w:val="nil"/>
              <w:bottom w:val="single" w:sz="4" w:space="0" w:color="auto"/>
              <w:right w:val="single" w:sz="4" w:space="0" w:color="auto"/>
            </w:tcBorders>
            <w:shd w:val="clear" w:color="auto" w:fill="C6EFCE"/>
            <w:noWrap/>
          </w:tcPr>
          <w:p w14:paraId="4CC29E60"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61429899"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52E5099C"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37AE925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3F3015C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32C1344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Jõustub ministrite ühisotsus, millega võetakse vastu teostatavusuuring elektritranspordi ameti loomiseks, mis tagab asjakohase planeerimise ja koordineerimise transpordi- ja energiataristute, piirkondlike ja kohalike omavalitsuste vahel ning edendab seoseid e-tarneahela, sealhulgas akude ja taastuvate energiaallikate tootjate, ning teadus- ja innovatsioonibaasi vahel.</w:t>
            </w:r>
          </w:p>
        </w:tc>
      </w:tr>
      <w:tr w:rsidR="007B4D63" w:rsidRPr="003B132A" w14:paraId="58B65B13"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4AB474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49</w:t>
            </w:r>
          </w:p>
        </w:tc>
        <w:tc>
          <w:tcPr>
            <w:tcW w:w="1378" w:type="dxa"/>
            <w:tcBorders>
              <w:top w:val="single" w:sz="4" w:space="0" w:color="auto"/>
              <w:left w:val="nil"/>
              <w:bottom w:val="single" w:sz="4" w:space="0" w:color="auto"/>
              <w:right w:val="single" w:sz="4" w:space="0" w:color="auto"/>
            </w:tcBorders>
            <w:shd w:val="clear" w:color="auto" w:fill="C6EFCE"/>
            <w:noWrap/>
          </w:tcPr>
          <w:p w14:paraId="79D9CEC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16924_ Elektromobiilsus</w:t>
            </w:r>
          </w:p>
        </w:tc>
        <w:tc>
          <w:tcPr>
            <w:tcW w:w="992" w:type="dxa"/>
            <w:tcBorders>
              <w:top w:val="single" w:sz="4" w:space="0" w:color="auto"/>
              <w:left w:val="nil"/>
              <w:bottom w:val="single" w:sz="4" w:space="0" w:color="auto"/>
              <w:right w:val="single" w:sz="4" w:space="0" w:color="auto"/>
            </w:tcBorders>
            <w:shd w:val="clear" w:color="auto" w:fill="C6EFCE"/>
            <w:noWrap/>
          </w:tcPr>
          <w:p w14:paraId="33DF52C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418" w:type="dxa"/>
            <w:tcBorders>
              <w:top w:val="single" w:sz="4" w:space="0" w:color="auto"/>
              <w:left w:val="nil"/>
              <w:bottom w:val="single" w:sz="4" w:space="0" w:color="auto"/>
              <w:right w:val="single" w:sz="4" w:space="0" w:color="auto"/>
            </w:tcBorders>
            <w:shd w:val="clear" w:color="auto" w:fill="C6EFCE"/>
            <w:noWrap/>
          </w:tcPr>
          <w:p w14:paraId="19789BDB" w14:textId="1F9E854A" w:rsidR="00645BC7" w:rsidRPr="00E02B5D" w:rsidRDefault="00645BC7" w:rsidP="00755BE2">
            <w:pPr>
              <w:spacing w:after="0" w:line="240" w:lineRule="auto"/>
              <w:rPr>
                <w:rFonts w:eastAsia="Times New Roman" w:cs="Calibri"/>
                <w:noProof/>
                <w:color w:val="006100"/>
                <w:sz w:val="18"/>
                <w:szCs w:val="18"/>
              </w:rPr>
            </w:pPr>
            <w:r>
              <w:rPr>
                <w:noProof/>
                <w:color w:val="006100"/>
                <w:sz w:val="18"/>
              </w:rPr>
              <w:t xml:space="preserve">Elektrisõidukite laadimispunktid – taotlused heaks kiidetud </w:t>
            </w:r>
          </w:p>
        </w:tc>
        <w:tc>
          <w:tcPr>
            <w:tcW w:w="2377" w:type="dxa"/>
            <w:tcBorders>
              <w:top w:val="single" w:sz="4" w:space="0" w:color="auto"/>
              <w:left w:val="nil"/>
              <w:bottom w:val="single" w:sz="4" w:space="0" w:color="auto"/>
              <w:right w:val="single" w:sz="4" w:space="0" w:color="auto"/>
            </w:tcBorders>
            <w:shd w:val="clear" w:color="auto" w:fill="C6EFCE"/>
            <w:noWrap/>
          </w:tcPr>
          <w:p w14:paraId="42FFCD11" w14:textId="77777777" w:rsidR="00645BC7" w:rsidRPr="00E02B5D" w:rsidRDefault="00755BE2" w:rsidP="00755BE2">
            <w:pPr>
              <w:spacing w:after="0" w:line="240" w:lineRule="auto"/>
              <w:rPr>
                <w:rFonts w:eastAsia="Times New Roman" w:cs="Calibri"/>
                <w:noProof/>
                <w:color w:val="006100"/>
                <w:sz w:val="18"/>
                <w:szCs w:val="18"/>
              </w:rPr>
            </w:pPr>
            <w:r>
              <w:rPr>
                <w:noProof/>
                <w:color w:val="006100"/>
                <w:sz w:val="18"/>
              </w:rPr>
              <w:t>Taotluse heakskiitmine infrastruktuuri- ja transpordiministeeriumi poolt</w:t>
            </w:r>
          </w:p>
        </w:tc>
        <w:tc>
          <w:tcPr>
            <w:tcW w:w="1460" w:type="dxa"/>
            <w:tcBorders>
              <w:top w:val="single" w:sz="4" w:space="0" w:color="auto"/>
              <w:left w:val="nil"/>
              <w:bottom w:val="single" w:sz="4" w:space="0" w:color="auto"/>
              <w:right w:val="single" w:sz="4" w:space="0" w:color="auto"/>
            </w:tcBorders>
            <w:shd w:val="clear" w:color="auto" w:fill="C6EFCE"/>
            <w:noWrap/>
          </w:tcPr>
          <w:p w14:paraId="6A6ADAF7"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205F351C"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7F8544EA"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36B1CBBB" w14:textId="77777777" w:rsidR="00645BC7" w:rsidRPr="00E02B5D" w:rsidRDefault="00755BE2" w:rsidP="00755BE2">
            <w:pPr>
              <w:spacing w:after="0" w:line="240" w:lineRule="auto"/>
              <w:rPr>
                <w:rFonts w:eastAsia="Times New Roman" w:cs="Calibri"/>
                <w:noProof/>
                <w:color w:val="006100"/>
                <w:sz w:val="18"/>
                <w:szCs w:val="18"/>
              </w:rPr>
            </w:pPr>
            <w:r>
              <w:rPr>
                <w:noProof/>
                <w:color w:val="006100"/>
                <w:sz w:val="18"/>
              </w:rPr>
              <w:t>2. kv</w:t>
            </w:r>
          </w:p>
        </w:tc>
        <w:tc>
          <w:tcPr>
            <w:tcW w:w="709" w:type="dxa"/>
            <w:tcBorders>
              <w:top w:val="single" w:sz="4" w:space="0" w:color="auto"/>
              <w:left w:val="nil"/>
              <w:bottom w:val="single" w:sz="4" w:space="0" w:color="auto"/>
              <w:right w:val="single" w:sz="4" w:space="0" w:color="auto"/>
            </w:tcBorders>
            <w:shd w:val="clear" w:color="auto" w:fill="C6EFCE"/>
            <w:noWrap/>
          </w:tcPr>
          <w:p w14:paraId="5DE18F3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2024</w:t>
            </w:r>
          </w:p>
        </w:tc>
        <w:tc>
          <w:tcPr>
            <w:tcW w:w="3191" w:type="dxa"/>
            <w:tcBorders>
              <w:top w:val="single" w:sz="4" w:space="0" w:color="auto"/>
              <w:left w:val="nil"/>
              <w:bottom w:val="single" w:sz="4" w:space="0" w:color="auto"/>
              <w:right w:val="single" w:sz="4" w:space="0" w:color="auto"/>
            </w:tcBorders>
            <w:shd w:val="clear" w:color="auto" w:fill="C6EFCE"/>
            <w:noWrap/>
          </w:tcPr>
          <w:p w14:paraId="313EFE81" w14:textId="77777777" w:rsidR="00645BC7" w:rsidRPr="00E02B5D" w:rsidRDefault="00755BE2" w:rsidP="00755BE2">
            <w:pPr>
              <w:spacing w:after="0" w:line="240" w:lineRule="auto"/>
              <w:rPr>
                <w:rFonts w:eastAsia="Times New Roman" w:cs="Calibri"/>
                <w:noProof/>
                <w:color w:val="006100"/>
                <w:sz w:val="18"/>
                <w:szCs w:val="18"/>
              </w:rPr>
            </w:pPr>
            <w:r>
              <w:rPr>
                <w:noProof/>
                <w:color w:val="006100"/>
                <w:sz w:val="18"/>
              </w:rPr>
              <w:t xml:space="preserve">Taristu- ja transpordiministeerium kiidab heaks vähemalt 4 500 laadimispunkti paigaldamise taotlused, mis on esitatud 300 000 kW ülesseatud võimsusega laadimispunktide paigaldamiseks. </w:t>
            </w:r>
          </w:p>
        </w:tc>
      </w:tr>
      <w:tr w:rsidR="007B4D63" w:rsidRPr="003B132A" w14:paraId="3AF990E9"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6D0DB4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50</w:t>
            </w:r>
          </w:p>
        </w:tc>
        <w:tc>
          <w:tcPr>
            <w:tcW w:w="1378" w:type="dxa"/>
            <w:tcBorders>
              <w:top w:val="single" w:sz="4" w:space="0" w:color="auto"/>
              <w:left w:val="nil"/>
              <w:bottom w:val="single" w:sz="4" w:space="0" w:color="auto"/>
              <w:right w:val="single" w:sz="4" w:space="0" w:color="auto"/>
            </w:tcBorders>
            <w:shd w:val="clear" w:color="auto" w:fill="C6EFCE"/>
            <w:noWrap/>
          </w:tcPr>
          <w:p w14:paraId="75799B9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16831_Produc-E Green</w:t>
            </w:r>
          </w:p>
        </w:tc>
        <w:tc>
          <w:tcPr>
            <w:tcW w:w="992" w:type="dxa"/>
            <w:tcBorders>
              <w:top w:val="single" w:sz="4" w:space="0" w:color="auto"/>
              <w:left w:val="nil"/>
              <w:bottom w:val="single" w:sz="4" w:space="0" w:color="auto"/>
              <w:right w:val="single" w:sz="4" w:space="0" w:color="auto"/>
            </w:tcBorders>
            <w:shd w:val="clear" w:color="auto" w:fill="C6EFCE"/>
            <w:noWrap/>
          </w:tcPr>
          <w:p w14:paraId="5552FDC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418" w:type="dxa"/>
            <w:tcBorders>
              <w:top w:val="single" w:sz="4" w:space="0" w:color="auto"/>
              <w:left w:val="nil"/>
              <w:bottom w:val="single" w:sz="4" w:space="0" w:color="auto"/>
              <w:right w:val="single" w:sz="4" w:space="0" w:color="auto"/>
            </w:tcBorders>
            <w:shd w:val="clear" w:color="auto" w:fill="C6EFCE"/>
            <w:noWrap/>
          </w:tcPr>
          <w:p w14:paraId="6BDE499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Tööstusüksused – valitud äriühingud</w:t>
            </w:r>
          </w:p>
        </w:tc>
        <w:tc>
          <w:tcPr>
            <w:tcW w:w="2377" w:type="dxa"/>
            <w:tcBorders>
              <w:top w:val="single" w:sz="4" w:space="0" w:color="auto"/>
              <w:left w:val="nil"/>
              <w:bottom w:val="single" w:sz="4" w:space="0" w:color="auto"/>
              <w:right w:val="single" w:sz="4" w:space="0" w:color="auto"/>
            </w:tcBorders>
            <w:shd w:val="clear" w:color="auto" w:fill="C6EFCE"/>
            <w:noWrap/>
          </w:tcPr>
          <w:p w14:paraId="49BA8D62" w14:textId="77777777" w:rsidR="00645BC7" w:rsidRPr="00E02B5D" w:rsidRDefault="00FC322E" w:rsidP="00FC322E">
            <w:pPr>
              <w:spacing w:after="0" w:line="240" w:lineRule="auto"/>
              <w:rPr>
                <w:rFonts w:eastAsia="Times New Roman" w:cs="Calibri"/>
                <w:noProof/>
                <w:color w:val="006100"/>
                <w:sz w:val="18"/>
                <w:szCs w:val="18"/>
              </w:rPr>
            </w:pPr>
            <w:r>
              <w:rPr>
                <w:noProof/>
                <w:color w:val="006100"/>
                <w:sz w:val="18"/>
              </w:rPr>
              <w:t>Keskkonna- ja energeetikaministeeriumi heakskiit taotlustele</w:t>
            </w:r>
          </w:p>
        </w:tc>
        <w:tc>
          <w:tcPr>
            <w:tcW w:w="1460" w:type="dxa"/>
            <w:tcBorders>
              <w:top w:val="single" w:sz="4" w:space="0" w:color="auto"/>
              <w:left w:val="nil"/>
              <w:bottom w:val="single" w:sz="4" w:space="0" w:color="auto"/>
              <w:right w:val="single" w:sz="4" w:space="0" w:color="auto"/>
            </w:tcBorders>
            <w:shd w:val="clear" w:color="auto" w:fill="C6EFCE"/>
            <w:noWrap/>
          </w:tcPr>
          <w:p w14:paraId="14CECCEF"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5C98A89E"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67898D4A"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22FE2C3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0BF24B9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3191" w:type="dxa"/>
            <w:tcBorders>
              <w:top w:val="single" w:sz="4" w:space="0" w:color="auto"/>
              <w:left w:val="nil"/>
              <w:bottom w:val="single" w:sz="4" w:space="0" w:color="auto"/>
              <w:right w:val="single" w:sz="4" w:space="0" w:color="auto"/>
            </w:tcBorders>
            <w:shd w:val="clear" w:color="auto" w:fill="C6EFCE"/>
            <w:noWrap/>
          </w:tcPr>
          <w:p w14:paraId="694B8A84" w14:textId="77777777" w:rsidR="00645BC7" w:rsidRPr="00E02B5D" w:rsidRDefault="6BA88D4C" w:rsidP="00D00694">
            <w:pPr>
              <w:spacing w:after="0" w:line="240" w:lineRule="auto"/>
              <w:rPr>
                <w:rFonts w:eastAsia="Times New Roman" w:cs="Calibri"/>
                <w:noProof/>
                <w:color w:val="006100"/>
                <w:sz w:val="18"/>
                <w:szCs w:val="18"/>
              </w:rPr>
            </w:pPr>
            <w:r>
              <w:rPr>
                <w:noProof/>
                <w:color w:val="006100"/>
                <w:sz w:val="18"/>
              </w:rPr>
              <w:t>Keskkonna- ja energeetikaministeeriumi heakskiit rohkem kui kümne tööstusüksuse (edaspidi „E-Green“) kohta esitatud taotlustele.</w:t>
            </w:r>
          </w:p>
          <w:p w14:paraId="120DEAE8" w14:textId="77777777" w:rsidR="00645BC7" w:rsidRPr="00E02B5D" w:rsidRDefault="38C6ED78" w:rsidP="00D00694">
            <w:pPr>
              <w:spacing w:after="0" w:line="240" w:lineRule="auto"/>
              <w:rPr>
                <w:rFonts w:eastAsia="Times New Roman" w:cs="Calibri"/>
                <w:noProof/>
                <w:color w:val="006100"/>
                <w:sz w:val="18"/>
                <w:szCs w:val="18"/>
              </w:rPr>
            </w:pPr>
            <w:r>
              <w:rPr>
                <w:noProof/>
                <w:color w:val="006100"/>
                <w:sz w:val="18"/>
              </w:rPr>
              <w:t>Taotlused valitakse välja vastavalt valiku-/kõlblikkuskriteeriumidele ja nendega tagatakse, et valitud projektid vastavad tehnilistele suunistele põhimõtte „ei kahjusta oluliselt“ kohaldamise kohta (2021/C58/01), kasutades kõrvalejätmise loetelu ning asjaomaste ELi ja riiklike keskkonnaalaste õigusaktide järgimise nõuet.</w:t>
            </w:r>
          </w:p>
        </w:tc>
      </w:tr>
      <w:tr w:rsidR="007B4D63" w:rsidRPr="003B132A" w14:paraId="5601DD39"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339113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51</w:t>
            </w:r>
          </w:p>
        </w:tc>
        <w:tc>
          <w:tcPr>
            <w:tcW w:w="1378" w:type="dxa"/>
            <w:tcBorders>
              <w:top w:val="single" w:sz="4" w:space="0" w:color="auto"/>
              <w:left w:val="nil"/>
              <w:bottom w:val="single" w:sz="4" w:space="0" w:color="auto"/>
              <w:right w:val="single" w:sz="4" w:space="0" w:color="auto"/>
            </w:tcBorders>
            <w:shd w:val="clear" w:color="auto" w:fill="C6EFCE"/>
            <w:noWrap/>
          </w:tcPr>
          <w:p w14:paraId="0F55306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16831_Produc-E Green</w:t>
            </w:r>
          </w:p>
        </w:tc>
        <w:tc>
          <w:tcPr>
            <w:tcW w:w="992" w:type="dxa"/>
            <w:tcBorders>
              <w:top w:val="single" w:sz="4" w:space="0" w:color="auto"/>
              <w:left w:val="nil"/>
              <w:bottom w:val="single" w:sz="4" w:space="0" w:color="auto"/>
              <w:right w:val="single" w:sz="4" w:space="0" w:color="auto"/>
            </w:tcBorders>
            <w:shd w:val="clear" w:color="auto" w:fill="C6EFCE"/>
            <w:noWrap/>
          </w:tcPr>
          <w:p w14:paraId="522EFB0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418" w:type="dxa"/>
            <w:tcBorders>
              <w:top w:val="single" w:sz="4" w:space="0" w:color="auto"/>
              <w:left w:val="nil"/>
              <w:bottom w:val="single" w:sz="4" w:space="0" w:color="auto"/>
              <w:right w:val="single" w:sz="4" w:space="0" w:color="auto"/>
            </w:tcBorders>
            <w:shd w:val="clear" w:color="auto" w:fill="C6EFCE"/>
            <w:noWrap/>
          </w:tcPr>
          <w:p w14:paraId="6F61B91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Süsinikdioksiidi kogumine ja säilitamine – säilitamisluba</w:t>
            </w:r>
          </w:p>
        </w:tc>
        <w:tc>
          <w:tcPr>
            <w:tcW w:w="2377" w:type="dxa"/>
            <w:tcBorders>
              <w:top w:val="single" w:sz="4" w:space="0" w:color="auto"/>
              <w:left w:val="nil"/>
              <w:bottom w:val="single" w:sz="4" w:space="0" w:color="auto"/>
              <w:right w:val="single" w:sz="4" w:space="0" w:color="auto"/>
            </w:tcBorders>
            <w:shd w:val="clear" w:color="auto" w:fill="C6EFCE"/>
            <w:noWrap/>
          </w:tcPr>
          <w:p w14:paraId="1306E7B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Säilitamisloa väljaandmine ja aruandlussüsteemi kehtestamine.</w:t>
            </w:r>
          </w:p>
        </w:tc>
        <w:tc>
          <w:tcPr>
            <w:tcW w:w="1460" w:type="dxa"/>
            <w:tcBorders>
              <w:top w:val="single" w:sz="4" w:space="0" w:color="auto"/>
              <w:left w:val="nil"/>
              <w:bottom w:val="single" w:sz="4" w:space="0" w:color="auto"/>
              <w:right w:val="single" w:sz="4" w:space="0" w:color="auto"/>
            </w:tcBorders>
            <w:shd w:val="clear" w:color="auto" w:fill="C6EFCE"/>
            <w:noWrap/>
          </w:tcPr>
          <w:p w14:paraId="0AF37BFF"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39E8A16E"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2C85D0DA"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24AA178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 kv</w:t>
            </w:r>
          </w:p>
        </w:tc>
        <w:tc>
          <w:tcPr>
            <w:tcW w:w="709" w:type="dxa"/>
            <w:tcBorders>
              <w:top w:val="single" w:sz="4" w:space="0" w:color="auto"/>
              <w:left w:val="nil"/>
              <w:bottom w:val="single" w:sz="4" w:space="0" w:color="auto"/>
              <w:right w:val="single" w:sz="4" w:space="0" w:color="auto"/>
            </w:tcBorders>
            <w:shd w:val="clear" w:color="auto" w:fill="C6EFCE"/>
            <w:noWrap/>
          </w:tcPr>
          <w:p w14:paraId="2C54A7A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2024</w:t>
            </w:r>
          </w:p>
        </w:tc>
        <w:tc>
          <w:tcPr>
            <w:tcW w:w="3191" w:type="dxa"/>
            <w:tcBorders>
              <w:top w:val="single" w:sz="4" w:space="0" w:color="auto"/>
              <w:left w:val="nil"/>
              <w:bottom w:val="single" w:sz="4" w:space="0" w:color="auto"/>
              <w:right w:val="single" w:sz="4" w:space="0" w:color="auto"/>
            </w:tcBorders>
            <w:shd w:val="clear" w:color="auto" w:fill="C6EFCE"/>
            <w:noWrap/>
          </w:tcPr>
          <w:p w14:paraId="46B15C5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Säilitamisloa väljastab kinnitatud käitajale süsinikdioksiidi kogumise ja säilitamise eest vastutav ministeerium. Taotleja esitab keskkonna- ja energeetikaministeeriumile täieliku taotluse, mis sisaldab kõiki asjakohaseid uuringuid ja keskkonnamõju hindamise uuringut. Luua aruandlussüsteem säilitatud CO</w:t>
            </w:r>
            <w:r>
              <w:rPr>
                <w:noProof/>
                <w:color w:val="006100"/>
                <w:sz w:val="18"/>
                <w:vertAlign w:val="subscript"/>
              </w:rPr>
              <w:t>2</w:t>
            </w:r>
            <w:r>
              <w:rPr>
                <w:noProof/>
                <w:color w:val="006100"/>
                <w:sz w:val="18"/>
              </w:rPr>
              <w:t xml:space="preserve"> iga-aastaseks aruandluseks ja kinnitada, et naftat ei kaevandata, välja arvatud juhul, kui see on hädavajalik surve juhtimiseks ja säilitamiskohtade ohutuse tagamiseks, ning et kõik vältimatult toodetud CO</w:t>
            </w:r>
            <w:r>
              <w:rPr>
                <w:noProof/>
                <w:color w:val="006100"/>
                <w:sz w:val="18"/>
                <w:vertAlign w:val="subscript"/>
              </w:rPr>
              <w:t>2</w:t>
            </w:r>
            <w:r>
              <w:rPr>
                <w:noProof/>
                <w:color w:val="006100"/>
                <w:sz w:val="18"/>
              </w:rPr>
              <w:t xml:space="preserve"> protsessid eraldatakse ja suunatakse tagasi püsivasse säilitamiskohta.</w:t>
            </w:r>
          </w:p>
          <w:p w14:paraId="1D300378" w14:textId="77777777" w:rsidR="00645BC7" w:rsidRPr="00E02B5D" w:rsidRDefault="00645BC7" w:rsidP="00D93A8B">
            <w:pPr>
              <w:spacing w:after="0" w:line="240" w:lineRule="auto"/>
              <w:rPr>
                <w:rFonts w:eastAsia="Times New Roman" w:cs="Calibri"/>
                <w:noProof/>
                <w:color w:val="006100"/>
                <w:sz w:val="18"/>
                <w:szCs w:val="18"/>
              </w:rPr>
            </w:pPr>
            <w:r>
              <w:rPr>
                <w:noProof/>
                <w:color w:val="006100"/>
                <w:sz w:val="18"/>
              </w:rPr>
              <w:t>Sekkumine viiakse läbi kooskõlas DNSH-põhimõttega (2021/C58/01) esitatud valiku-/kõlblikkuskriteeriumidega, kusjuures erilist tähelepanu pööratakse nõudele, et ei tohi olla tehnoloogilisi rakendusi, ei tohi olla ühtegi liiki rajatisi ega seadmeid, mis on ette nähtud naftakasutuse tõhustamiseks ja naftatootmise suurendamiseks. Hoolt kantakse selle eest, et nafta või gaasi võimalik ammutamine piirduks surve juhtimise ja säilitamiskohtade ohutuse tagamise hädavajalike vajadustega ning et selline kaevandamine toimuks ainult juhul, kui see on CO</w:t>
            </w:r>
            <w:r>
              <w:rPr>
                <w:noProof/>
                <w:color w:val="006100"/>
                <w:sz w:val="18"/>
                <w:vertAlign w:val="subscript"/>
              </w:rPr>
              <w:t>2</w:t>
            </w:r>
            <w:r>
              <w:rPr>
                <w:noProof/>
                <w:color w:val="006100"/>
                <w:sz w:val="18"/>
              </w:rPr>
              <w:t xml:space="preserve"> ohutu säilitamise tagamiseks hädavajalik. CO</w:t>
            </w:r>
            <w:r>
              <w:rPr>
                <w:noProof/>
                <w:color w:val="006100"/>
                <w:sz w:val="18"/>
                <w:vertAlign w:val="subscript"/>
              </w:rPr>
              <w:t>2</w:t>
            </w:r>
            <w:r>
              <w:rPr>
                <w:noProof/>
                <w:color w:val="006100"/>
                <w:sz w:val="18"/>
              </w:rPr>
              <w:t>, mis tahes õli või gaasiga, mida võib ekstraheerida, eraldatakse ja suunatakse tagasi püsivasse säilitamiskohta.</w:t>
            </w:r>
          </w:p>
        </w:tc>
      </w:tr>
      <w:tr w:rsidR="008C622A" w:rsidRPr="003B132A" w14:paraId="64E530A3"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090AA40" w14:textId="77777777" w:rsidR="008C622A" w:rsidRPr="00E02B5D" w:rsidRDefault="00927102" w:rsidP="008C622A">
            <w:pPr>
              <w:spacing w:after="0" w:line="240" w:lineRule="auto"/>
              <w:rPr>
                <w:rFonts w:eastAsia="Times New Roman" w:cs="Calibri"/>
                <w:noProof/>
                <w:color w:val="006100"/>
                <w:sz w:val="18"/>
                <w:szCs w:val="18"/>
              </w:rPr>
            </w:pPr>
            <w:r>
              <w:rPr>
                <w:noProof/>
                <w:color w:val="006100"/>
                <w:sz w:val="18"/>
              </w:rPr>
              <w:t>45a</w:t>
            </w:r>
          </w:p>
        </w:tc>
        <w:tc>
          <w:tcPr>
            <w:tcW w:w="1378" w:type="dxa"/>
            <w:tcBorders>
              <w:top w:val="single" w:sz="4" w:space="0" w:color="auto"/>
              <w:left w:val="nil"/>
              <w:bottom w:val="single" w:sz="4" w:space="0" w:color="auto"/>
              <w:right w:val="single" w:sz="4" w:space="0" w:color="auto"/>
            </w:tcBorders>
            <w:shd w:val="clear" w:color="auto" w:fill="C6EFCE"/>
            <w:noWrap/>
          </w:tcPr>
          <w:p w14:paraId="68E02B38" w14:textId="77777777" w:rsidR="008C622A" w:rsidRPr="00E02B5D" w:rsidRDefault="17F4F687" w:rsidP="008C622A">
            <w:pPr>
              <w:spacing w:after="0" w:line="240" w:lineRule="auto"/>
              <w:rPr>
                <w:rFonts w:eastAsia="Times New Roman" w:cs="Calibri"/>
                <w:noProof/>
                <w:color w:val="006100"/>
                <w:sz w:val="18"/>
                <w:szCs w:val="18"/>
              </w:rPr>
            </w:pPr>
            <w:r>
              <w:rPr>
                <w:noProof/>
                <w:color w:val="006100"/>
                <w:sz w:val="18"/>
              </w:rPr>
              <w:t xml:space="preserve">3-1.3. Laadimine ja tankimine – </w:t>
            </w:r>
          </w:p>
          <w:p w14:paraId="7AE6F89A" w14:textId="1F6C2075" w:rsidR="008C622A" w:rsidRPr="00E02B5D" w:rsidRDefault="17F4F687" w:rsidP="008C622A">
            <w:pPr>
              <w:spacing w:after="0" w:line="240" w:lineRule="auto"/>
              <w:rPr>
                <w:rFonts w:eastAsia="Times New Roman" w:cs="Calibri"/>
                <w:noProof/>
                <w:color w:val="006100"/>
                <w:sz w:val="18"/>
                <w:szCs w:val="18"/>
              </w:rPr>
            </w:pPr>
            <w:r>
              <w:rPr>
                <w:noProof/>
                <w:color w:val="006100"/>
                <w:sz w:val="18"/>
              </w:rPr>
              <w:t>16924_Elektromobiilsus</w:t>
            </w:r>
          </w:p>
        </w:tc>
        <w:tc>
          <w:tcPr>
            <w:tcW w:w="992" w:type="dxa"/>
            <w:tcBorders>
              <w:top w:val="single" w:sz="4" w:space="0" w:color="auto"/>
              <w:left w:val="nil"/>
              <w:bottom w:val="single" w:sz="4" w:space="0" w:color="auto"/>
              <w:right w:val="single" w:sz="4" w:space="0" w:color="auto"/>
            </w:tcBorders>
            <w:shd w:val="clear" w:color="auto" w:fill="C6EFCE"/>
            <w:noWrap/>
          </w:tcPr>
          <w:p w14:paraId="09DC366B" w14:textId="77777777" w:rsidR="008C622A" w:rsidRPr="00E02B5D" w:rsidRDefault="008C622A" w:rsidP="008C622A">
            <w:pPr>
              <w:spacing w:after="0" w:line="240" w:lineRule="auto"/>
              <w:rPr>
                <w:rFonts w:eastAsia="Times New Roman" w:cs="Calibri"/>
                <w:noProof/>
                <w:color w:val="006100"/>
                <w:sz w:val="18"/>
                <w:szCs w:val="18"/>
              </w:rPr>
            </w:pPr>
            <w:r>
              <w:rPr>
                <w:noProof/>
                <w:color w:val="006100"/>
                <w:sz w:val="18"/>
              </w:rPr>
              <w:t>Eesmärk</w:t>
            </w:r>
          </w:p>
        </w:tc>
        <w:tc>
          <w:tcPr>
            <w:tcW w:w="1418" w:type="dxa"/>
            <w:tcBorders>
              <w:top w:val="single" w:sz="4" w:space="0" w:color="auto"/>
              <w:left w:val="nil"/>
              <w:bottom w:val="single" w:sz="4" w:space="0" w:color="auto"/>
              <w:right w:val="single" w:sz="4" w:space="0" w:color="auto"/>
            </w:tcBorders>
            <w:shd w:val="clear" w:color="auto" w:fill="C6EFCE"/>
            <w:noWrap/>
          </w:tcPr>
          <w:p w14:paraId="60204DC2" w14:textId="77777777" w:rsidR="008C622A" w:rsidRPr="00E02B5D" w:rsidRDefault="008C622A" w:rsidP="008C622A">
            <w:pPr>
              <w:spacing w:after="0" w:line="240" w:lineRule="auto"/>
              <w:rPr>
                <w:rFonts w:eastAsia="Times New Roman" w:cs="Calibri"/>
                <w:noProof/>
                <w:color w:val="006100"/>
                <w:sz w:val="18"/>
                <w:szCs w:val="18"/>
              </w:rPr>
            </w:pPr>
            <w:r>
              <w:rPr>
                <w:noProof/>
                <w:color w:val="006100"/>
                <w:sz w:val="18"/>
              </w:rPr>
              <w:t>Ühistransport – bussiettevõtjate hankemenetluste algatamine, avaldades asjakohased konkursikutsed kõigile piirkondadele</w:t>
            </w:r>
          </w:p>
        </w:tc>
        <w:tc>
          <w:tcPr>
            <w:tcW w:w="2377" w:type="dxa"/>
            <w:tcBorders>
              <w:top w:val="single" w:sz="4" w:space="0" w:color="auto"/>
              <w:left w:val="nil"/>
              <w:bottom w:val="single" w:sz="4" w:space="0" w:color="auto"/>
              <w:right w:val="single" w:sz="4" w:space="0" w:color="auto"/>
            </w:tcBorders>
            <w:shd w:val="clear" w:color="auto" w:fill="C6EFCE"/>
            <w:noWrap/>
          </w:tcPr>
          <w:p w14:paraId="5253EFBB" w14:textId="77777777" w:rsidR="008C622A" w:rsidRPr="00E02B5D" w:rsidRDefault="008C622A" w:rsidP="008C622A">
            <w:pPr>
              <w:spacing w:after="0" w:line="240" w:lineRule="auto"/>
              <w:rPr>
                <w:rFonts w:eastAsia="Times New Roman" w:cs="Calibri"/>
                <w:noProof/>
                <w:color w:val="006100"/>
                <w:sz w:val="18"/>
                <w:szCs w:val="18"/>
              </w:rPr>
            </w:pPr>
            <w:r>
              <w:rPr>
                <w:noProof/>
                <w:color w:val="006100"/>
                <w:sz w:val="18"/>
              </w:rPr>
              <w:t>Algatatud hankemenetlused – kõigi piirkondade jaoks asjakohaste konkursikutsete avaldamise kaudu.</w:t>
            </w:r>
          </w:p>
        </w:tc>
        <w:tc>
          <w:tcPr>
            <w:tcW w:w="1460" w:type="dxa"/>
            <w:tcBorders>
              <w:top w:val="single" w:sz="4" w:space="0" w:color="auto"/>
              <w:left w:val="nil"/>
              <w:bottom w:val="single" w:sz="4" w:space="0" w:color="auto"/>
              <w:right w:val="single" w:sz="4" w:space="0" w:color="auto"/>
            </w:tcBorders>
            <w:shd w:val="clear" w:color="auto" w:fill="C6EFCE"/>
            <w:noWrap/>
          </w:tcPr>
          <w:p w14:paraId="7920B41E" w14:textId="77777777" w:rsidR="008C622A" w:rsidRPr="00AD4052" w:rsidRDefault="008C622A" w:rsidP="008C622A">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76AAE545" w14:textId="77777777" w:rsidR="008C622A" w:rsidRPr="00AD4052" w:rsidRDefault="008C622A" w:rsidP="008C622A">
            <w:pPr>
              <w:spacing w:after="0" w:line="240" w:lineRule="auto"/>
              <w:rPr>
                <w:rFonts w:eastAsia="Times New Roman" w:cs="Calibri"/>
                <w:noProof/>
                <w:color w:val="006100"/>
                <w:sz w:val="18"/>
                <w:szCs w:val="18"/>
                <w:lang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152A8A5F" w14:textId="77777777" w:rsidR="008C622A" w:rsidRPr="00AD4052" w:rsidRDefault="008C622A" w:rsidP="008C622A">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1C0B0D32" w14:textId="77777777" w:rsidR="008C622A" w:rsidRPr="00E02B5D" w:rsidRDefault="008C622A" w:rsidP="006828DF">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6F05F0DB" w14:textId="77777777" w:rsidR="008C622A" w:rsidRPr="00E02B5D" w:rsidRDefault="008C622A" w:rsidP="008C622A">
            <w:pPr>
              <w:spacing w:after="0" w:line="240" w:lineRule="auto"/>
              <w:rPr>
                <w:rFonts w:eastAsia="Times New Roman" w:cs="Calibri"/>
                <w:noProof/>
                <w:color w:val="006100"/>
                <w:sz w:val="18"/>
                <w:szCs w:val="18"/>
              </w:rPr>
            </w:pPr>
            <w:r>
              <w:rPr>
                <w:noProof/>
                <w:color w:val="006100"/>
                <w:sz w:val="18"/>
              </w:rPr>
              <w:t>2024</w:t>
            </w:r>
          </w:p>
        </w:tc>
        <w:tc>
          <w:tcPr>
            <w:tcW w:w="3191" w:type="dxa"/>
            <w:tcBorders>
              <w:top w:val="single" w:sz="4" w:space="0" w:color="auto"/>
              <w:left w:val="nil"/>
              <w:bottom w:val="single" w:sz="4" w:space="0" w:color="auto"/>
              <w:right w:val="single" w:sz="4" w:space="0" w:color="auto"/>
            </w:tcBorders>
            <w:shd w:val="clear" w:color="auto" w:fill="C6EFCE"/>
            <w:noWrap/>
          </w:tcPr>
          <w:p w14:paraId="51F5FC84" w14:textId="77777777" w:rsidR="008C622A" w:rsidRPr="00E02B5D" w:rsidRDefault="005D1DBD" w:rsidP="006828DF">
            <w:pPr>
              <w:spacing w:after="0" w:line="240" w:lineRule="auto"/>
              <w:rPr>
                <w:rFonts w:eastAsia="Times New Roman" w:cs="Calibri"/>
                <w:noProof/>
                <w:color w:val="006100"/>
                <w:sz w:val="18"/>
                <w:szCs w:val="18"/>
              </w:rPr>
            </w:pPr>
            <w:r>
              <w:rPr>
                <w:noProof/>
                <w:color w:val="006100"/>
                <w:sz w:val="18"/>
              </w:rPr>
              <w:t>Pärast regulaarsete pikamaa- ja linnaliinide bussivõrgu kindlaksmääramist algatatakse kõigi piirkondade hankemenetlus järk-järgult, avaldades kõigile piirkondadele asjakohased konkursikutsed, mille viimane konkursikutse avaldatakse 2024. aasta lõpuks.</w:t>
            </w:r>
          </w:p>
        </w:tc>
      </w:tr>
      <w:tr w:rsidR="007B4D63" w:rsidRPr="003B132A" w14:paraId="1EE5165B"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787D18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52</w:t>
            </w:r>
          </w:p>
        </w:tc>
        <w:tc>
          <w:tcPr>
            <w:tcW w:w="1378" w:type="dxa"/>
            <w:tcBorders>
              <w:top w:val="single" w:sz="4" w:space="0" w:color="auto"/>
              <w:left w:val="nil"/>
              <w:bottom w:val="single" w:sz="4" w:space="0" w:color="auto"/>
              <w:right w:val="single" w:sz="4" w:space="0" w:color="auto"/>
            </w:tcBorders>
            <w:shd w:val="clear" w:color="auto" w:fill="C6EFCE"/>
            <w:noWrap/>
          </w:tcPr>
          <w:p w14:paraId="407D181B" w14:textId="1225E14D"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16924_Elektromobiilsus</w:t>
            </w:r>
          </w:p>
        </w:tc>
        <w:tc>
          <w:tcPr>
            <w:tcW w:w="992" w:type="dxa"/>
            <w:tcBorders>
              <w:top w:val="single" w:sz="4" w:space="0" w:color="auto"/>
              <w:left w:val="nil"/>
              <w:bottom w:val="single" w:sz="4" w:space="0" w:color="auto"/>
              <w:right w:val="single" w:sz="4" w:space="0" w:color="auto"/>
            </w:tcBorders>
            <w:shd w:val="clear" w:color="auto" w:fill="C6EFCE"/>
            <w:noWrap/>
          </w:tcPr>
          <w:p w14:paraId="1A12A04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Siht</w:t>
            </w:r>
          </w:p>
        </w:tc>
        <w:tc>
          <w:tcPr>
            <w:tcW w:w="1418" w:type="dxa"/>
            <w:tcBorders>
              <w:top w:val="single" w:sz="4" w:space="0" w:color="auto"/>
              <w:left w:val="nil"/>
              <w:bottom w:val="single" w:sz="4" w:space="0" w:color="auto"/>
              <w:right w:val="single" w:sz="4" w:space="0" w:color="auto"/>
            </w:tcBorders>
            <w:shd w:val="clear" w:color="auto" w:fill="C6EFCE"/>
            <w:noWrap/>
          </w:tcPr>
          <w:p w14:paraId="579B567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Bussid ja taksod – asendamine elektriliste bussidega</w:t>
            </w:r>
          </w:p>
        </w:tc>
        <w:tc>
          <w:tcPr>
            <w:tcW w:w="2377" w:type="dxa"/>
            <w:tcBorders>
              <w:top w:val="single" w:sz="4" w:space="0" w:color="auto"/>
              <w:left w:val="nil"/>
              <w:bottom w:val="single" w:sz="4" w:space="0" w:color="auto"/>
              <w:right w:val="single" w:sz="4" w:space="0" w:color="auto"/>
            </w:tcBorders>
            <w:shd w:val="clear" w:color="auto" w:fill="C6EFCE"/>
            <w:noWrap/>
          </w:tcPr>
          <w:p w14:paraId="7D505C61"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1460" w:type="dxa"/>
            <w:tcBorders>
              <w:top w:val="single" w:sz="4" w:space="0" w:color="auto"/>
              <w:left w:val="nil"/>
              <w:bottom w:val="single" w:sz="4" w:space="0" w:color="auto"/>
              <w:right w:val="single" w:sz="4" w:space="0" w:color="auto"/>
            </w:tcBorders>
            <w:shd w:val="clear" w:color="auto" w:fill="C6EFCE"/>
            <w:noWrap/>
          </w:tcPr>
          <w:p w14:paraId="0EF4F6F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Vanade taksode ja busside arv, mis on lammutatud volitatud töötlemiskojas ja asendatud akutoitega elektrisõidukite või elektribussidega</w:t>
            </w:r>
          </w:p>
        </w:tc>
        <w:tc>
          <w:tcPr>
            <w:tcW w:w="857" w:type="dxa"/>
            <w:tcBorders>
              <w:top w:val="single" w:sz="4" w:space="0" w:color="auto"/>
              <w:left w:val="nil"/>
              <w:bottom w:val="single" w:sz="4" w:space="0" w:color="auto"/>
              <w:right w:val="single" w:sz="4" w:space="0" w:color="auto"/>
            </w:tcBorders>
            <w:shd w:val="clear" w:color="auto" w:fill="C6EFCE"/>
            <w:noWrap/>
          </w:tcPr>
          <w:p w14:paraId="66B23F3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0</w:t>
            </w:r>
          </w:p>
        </w:tc>
        <w:tc>
          <w:tcPr>
            <w:tcW w:w="936" w:type="dxa"/>
            <w:tcBorders>
              <w:top w:val="single" w:sz="4" w:space="0" w:color="auto"/>
              <w:left w:val="nil"/>
              <w:bottom w:val="single" w:sz="4" w:space="0" w:color="auto"/>
              <w:right w:val="single" w:sz="4" w:space="0" w:color="auto"/>
            </w:tcBorders>
            <w:shd w:val="clear" w:color="auto" w:fill="C6EFCE"/>
            <w:noWrap/>
          </w:tcPr>
          <w:p w14:paraId="5F2FD547" w14:textId="3625AA5A" w:rsidR="00645BC7" w:rsidRPr="00E02B5D" w:rsidRDefault="0028343E" w:rsidP="008E5B96">
            <w:pPr>
              <w:spacing w:after="0" w:line="240" w:lineRule="auto"/>
              <w:rPr>
                <w:rFonts w:eastAsia="Times New Roman" w:cs="Calibri"/>
                <w:noProof/>
                <w:color w:val="006100"/>
                <w:sz w:val="18"/>
                <w:szCs w:val="18"/>
              </w:rPr>
            </w:pPr>
            <w:r>
              <w:rPr>
                <w:noProof/>
                <w:color w:val="006100"/>
                <w:sz w:val="18"/>
              </w:rPr>
              <w:t>1 990</w:t>
            </w:r>
          </w:p>
        </w:tc>
        <w:tc>
          <w:tcPr>
            <w:tcW w:w="846" w:type="dxa"/>
            <w:tcBorders>
              <w:top w:val="single" w:sz="4" w:space="0" w:color="auto"/>
              <w:left w:val="nil"/>
              <w:bottom w:val="single" w:sz="4" w:space="0" w:color="auto"/>
              <w:right w:val="single" w:sz="4" w:space="0" w:color="auto"/>
            </w:tcBorders>
            <w:shd w:val="clear" w:color="auto" w:fill="C6EFCE"/>
            <w:noWrap/>
          </w:tcPr>
          <w:p w14:paraId="4915FCC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6B8E4A88" w14:textId="5D202B30" w:rsidR="00645BC7" w:rsidRPr="00E02B5D" w:rsidRDefault="0028343E" w:rsidP="005A67C9">
            <w:pPr>
              <w:spacing w:after="0" w:line="240" w:lineRule="auto"/>
              <w:rPr>
                <w:rFonts w:eastAsia="Times New Roman" w:cs="Calibri"/>
                <w:noProof/>
                <w:color w:val="006100"/>
                <w:sz w:val="18"/>
                <w:szCs w:val="18"/>
              </w:rPr>
            </w:pPr>
            <w:r>
              <w:rPr>
                <w:noProof/>
                <w:color w:val="006100"/>
                <w:sz w:val="18"/>
              </w:rPr>
              <w:t>2025</w:t>
            </w:r>
          </w:p>
        </w:tc>
        <w:tc>
          <w:tcPr>
            <w:tcW w:w="3191" w:type="dxa"/>
            <w:tcBorders>
              <w:top w:val="single" w:sz="4" w:space="0" w:color="auto"/>
              <w:left w:val="nil"/>
              <w:bottom w:val="single" w:sz="4" w:space="0" w:color="auto"/>
              <w:right w:val="single" w:sz="4" w:space="0" w:color="auto"/>
            </w:tcBorders>
            <w:shd w:val="clear" w:color="auto" w:fill="C6EFCE"/>
            <w:noWrap/>
          </w:tcPr>
          <w:p w14:paraId="4CCE3C1E" w14:textId="5DC825A6" w:rsidR="00645BC7" w:rsidRPr="00E02B5D" w:rsidRDefault="00645BC7" w:rsidP="0079486F">
            <w:pPr>
              <w:spacing w:after="0" w:line="240" w:lineRule="auto"/>
              <w:rPr>
                <w:rFonts w:eastAsia="Times New Roman" w:cs="Calibri"/>
                <w:noProof/>
                <w:color w:val="006100"/>
                <w:sz w:val="18"/>
                <w:szCs w:val="18"/>
              </w:rPr>
            </w:pPr>
            <w:r>
              <w:rPr>
                <w:noProof/>
                <w:color w:val="006100"/>
                <w:sz w:val="18"/>
              </w:rPr>
              <w:t>a) 1 770 vana takso asendamine 1 770 uue akutoitega elektrisõidukiga ja b) 220 vana bussi asendamine 220 uue elektribussiga (163 elektribussi peavad asuma Ateenas ja 57 elektribussi Thessaloníkis), kus vanemate sõidukite/busside lammutamine toimub vastavalt kasutuselt kõrvaldatud sõidukite direktiivile (2000/53/EÜ).</w:t>
            </w:r>
          </w:p>
        </w:tc>
      </w:tr>
      <w:tr w:rsidR="007B4D63" w:rsidRPr="003B132A" w14:paraId="31F36B14"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597512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53</w:t>
            </w:r>
          </w:p>
        </w:tc>
        <w:tc>
          <w:tcPr>
            <w:tcW w:w="1378" w:type="dxa"/>
            <w:tcBorders>
              <w:top w:val="single" w:sz="4" w:space="0" w:color="auto"/>
              <w:left w:val="nil"/>
              <w:bottom w:val="single" w:sz="4" w:space="0" w:color="auto"/>
              <w:right w:val="single" w:sz="4" w:space="0" w:color="auto"/>
            </w:tcBorders>
            <w:shd w:val="clear" w:color="auto" w:fill="C6EFCE"/>
            <w:noWrap/>
          </w:tcPr>
          <w:p w14:paraId="2911834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16831_Produc-E Green</w:t>
            </w:r>
          </w:p>
        </w:tc>
        <w:tc>
          <w:tcPr>
            <w:tcW w:w="992" w:type="dxa"/>
            <w:tcBorders>
              <w:top w:val="single" w:sz="4" w:space="0" w:color="auto"/>
              <w:left w:val="nil"/>
              <w:bottom w:val="single" w:sz="4" w:space="0" w:color="auto"/>
              <w:right w:val="single" w:sz="4" w:space="0" w:color="auto"/>
            </w:tcBorders>
            <w:shd w:val="clear" w:color="auto" w:fill="C6EFCE"/>
            <w:noWrap/>
          </w:tcPr>
          <w:p w14:paraId="1FE5745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418" w:type="dxa"/>
            <w:tcBorders>
              <w:top w:val="single" w:sz="4" w:space="0" w:color="auto"/>
              <w:left w:val="nil"/>
              <w:bottom w:val="single" w:sz="4" w:space="0" w:color="auto"/>
              <w:right w:val="single" w:sz="4" w:space="0" w:color="auto"/>
            </w:tcBorders>
            <w:shd w:val="clear" w:color="auto" w:fill="C6EFCE"/>
            <w:noWrap/>
          </w:tcPr>
          <w:p w14:paraId="40ADD12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CCS – välja antud käitamissertifikaat </w:t>
            </w:r>
          </w:p>
        </w:tc>
        <w:tc>
          <w:tcPr>
            <w:tcW w:w="2377" w:type="dxa"/>
            <w:tcBorders>
              <w:top w:val="single" w:sz="4" w:space="0" w:color="auto"/>
              <w:left w:val="nil"/>
              <w:bottom w:val="single" w:sz="4" w:space="0" w:color="auto"/>
              <w:right w:val="single" w:sz="4" w:space="0" w:color="auto"/>
            </w:tcBorders>
            <w:shd w:val="clear" w:color="auto" w:fill="C6EFCE"/>
            <w:noWrap/>
          </w:tcPr>
          <w:p w14:paraId="673D95F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Süsinikdioksiidi kogumise ja säilitamise toimingu sertifikaadi väljaandmine.</w:t>
            </w:r>
          </w:p>
        </w:tc>
        <w:tc>
          <w:tcPr>
            <w:tcW w:w="1460" w:type="dxa"/>
            <w:tcBorders>
              <w:top w:val="single" w:sz="4" w:space="0" w:color="auto"/>
              <w:left w:val="nil"/>
              <w:bottom w:val="single" w:sz="4" w:space="0" w:color="auto"/>
              <w:right w:val="single" w:sz="4" w:space="0" w:color="auto"/>
            </w:tcBorders>
            <w:shd w:val="clear" w:color="auto" w:fill="C6EFCE"/>
            <w:noWrap/>
          </w:tcPr>
          <w:p w14:paraId="40AE110C"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70D0D2AC"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162EFE1B"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23D721C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0F36E20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3191" w:type="dxa"/>
            <w:tcBorders>
              <w:top w:val="single" w:sz="4" w:space="0" w:color="auto"/>
              <w:left w:val="nil"/>
              <w:bottom w:val="single" w:sz="4" w:space="0" w:color="auto"/>
              <w:right w:val="single" w:sz="4" w:space="0" w:color="auto"/>
            </w:tcBorders>
            <w:shd w:val="clear" w:color="auto" w:fill="C6EFCE"/>
            <w:noWrap/>
          </w:tcPr>
          <w:p w14:paraId="478AC6A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Süsinikdioksiidi kogumise ja säilitamise tööde lõpuleviimine vastavalt tehnilisele kirjeldusele ja pärast edukat katsetamist</w:t>
            </w:r>
          </w:p>
        </w:tc>
      </w:tr>
      <w:tr w:rsidR="007B4D63" w:rsidRPr="003B132A" w14:paraId="4998DFE2"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25FAE8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54</w:t>
            </w:r>
          </w:p>
        </w:tc>
        <w:tc>
          <w:tcPr>
            <w:tcW w:w="1378" w:type="dxa"/>
            <w:tcBorders>
              <w:top w:val="single" w:sz="4" w:space="0" w:color="auto"/>
              <w:left w:val="nil"/>
              <w:bottom w:val="single" w:sz="4" w:space="0" w:color="auto"/>
              <w:right w:val="single" w:sz="4" w:space="0" w:color="auto"/>
            </w:tcBorders>
            <w:shd w:val="clear" w:color="auto" w:fill="C6EFCE"/>
            <w:noWrap/>
          </w:tcPr>
          <w:p w14:paraId="0BB6C60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3-1.3. Laadimine ja tankimine – 16831_Produc-E Green</w:t>
            </w:r>
          </w:p>
          <w:p w14:paraId="7DD81711"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65F9D22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418" w:type="dxa"/>
            <w:tcBorders>
              <w:top w:val="single" w:sz="4" w:space="0" w:color="auto"/>
              <w:left w:val="nil"/>
              <w:bottom w:val="single" w:sz="4" w:space="0" w:color="auto"/>
              <w:right w:val="single" w:sz="4" w:space="0" w:color="auto"/>
            </w:tcBorders>
            <w:shd w:val="clear" w:color="auto" w:fill="C6EFCE"/>
            <w:noWrap/>
          </w:tcPr>
          <w:p w14:paraId="3C00CA8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Tööstusüksused – </w:t>
            </w:r>
          </w:p>
          <w:p w14:paraId="0565C5F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Töötab</w:t>
            </w:r>
          </w:p>
        </w:tc>
        <w:tc>
          <w:tcPr>
            <w:tcW w:w="2377" w:type="dxa"/>
            <w:tcBorders>
              <w:top w:val="single" w:sz="4" w:space="0" w:color="auto"/>
              <w:left w:val="nil"/>
              <w:bottom w:val="single" w:sz="4" w:space="0" w:color="auto"/>
              <w:right w:val="single" w:sz="4" w:space="0" w:color="auto"/>
            </w:tcBorders>
            <w:shd w:val="clear" w:color="auto" w:fill="C6EFCE"/>
            <w:noWrap/>
          </w:tcPr>
          <w:p w14:paraId="2C68DF1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Lõpuleviimine on tõendatud keskkonna- ja energeetikaministeeriumi aruandega täielikult toimivate tööstusüksuste kohta</w:t>
            </w:r>
          </w:p>
        </w:tc>
        <w:tc>
          <w:tcPr>
            <w:tcW w:w="1460" w:type="dxa"/>
            <w:tcBorders>
              <w:top w:val="single" w:sz="4" w:space="0" w:color="auto"/>
              <w:left w:val="nil"/>
              <w:bottom w:val="single" w:sz="4" w:space="0" w:color="auto"/>
              <w:right w:val="single" w:sz="4" w:space="0" w:color="auto"/>
            </w:tcBorders>
            <w:shd w:val="clear" w:color="auto" w:fill="C6EFCE"/>
            <w:noWrap/>
          </w:tcPr>
          <w:p w14:paraId="4E442677"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27846F49"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1EAE0502" w14:textId="77777777" w:rsidR="00645BC7" w:rsidRPr="00AD4052" w:rsidRDefault="00645BC7" w:rsidP="00D00694">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1502EE2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2C7617A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3191" w:type="dxa"/>
            <w:tcBorders>
              <w:top w:val="single" w:sz="4" w:space="0" w:color="auto"/>
              <w:left w:val="nil"/>
              <w:bottom w:val="single" w:sz="4" w:space="0" w:color="auto"/>
              <w:right w:val="single" w:sz="4" w:space="0" w:color="auto"/>
            </w:tcBorders>
            <w:shd w:val="clear" w:color="auto" w:fill="C6EFCE"/>
            <w:noWrap/>
          </w:tcPr>
          <w:p w14:paraId="4975DC7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Toetust saanud valitud tööstusüksused peavad täielikult toimima.  </w:t>
            </w:r>
          </w:p>
        </w:tc>
      </w:tr>
      <w:tr w:rsidR="007B4D63" w:rsidRPr="003B132A" w14:paraId="0C1932C1" w14:textId="77777777" w:rsidTr="008AECE0">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8D1C29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55</w:t>
            </w:r>
          </w:p>
        </w:tc>
        <w:tc>
          <w:tcPr>
            <w:tcW w:w="1378" w:type="dxa"/>
            <w:tcBorders>
              <w:top w:val="single" w:sz="4" w:space="0" w:color="auto"/>
              <w:left w:val="nil"/>
              <w:bottom w:val="single" w:sz="4" w:space="0" w:color="auto"/>
              <w:right w:val="single" w:sz="4" w:space="0" w:color="auto"/>
            </w:tcBorders>
            <w:shd w:val="clear" w:color="auto" w:fill="C6EFCE"/>
            <w:noWrap/>
          </w:tcPr>
          <w:p w14:paraId="7222B40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3-1.3. Laadimine ja tankimine – </w:t>
            </w:r>
          </w:p>
          <w:p w14:paraId="386171F2" w14:textId="524114AC" w:rsidR="00645BC7" w:rsidRPr="00E02B5D" w:rsidRDefault="00645BC7" w:rsidP="00D00694">
            <w:pPr>
              <w:spacing w:after="0" w:line="240" w:lineRule="auto"/>
              <w:rPr>
                <w:rFonts w:eastAsia="Times New Roman" w:cs="Calibri"/>
                <w:noProof/>
                <w:color w:val="006100"/>
                <w:sz w:val="18"/>
                <w:szCs w:val="18"/>
              </w:rPr>
            </w:pPr>
            <w:r>
              <w:rPr>
                <w:noProof/>
                <w:color w:val="006100"/>
                <w:sz w:val="18"/>
              </w:rPr>
              <w:t>16924_Elektromobiilsus</w:t>
            </w:r>
          </w:p>
        </w:tc>
        <w:tc>
          <w:tcPr>
            <w:tcW w:w="992" w:type="dxa"/>
            <w:tcBorders>
              <w:top w:val="single" w:sz="4" w:space="0" w:color="auto"/>
              <w:left w:val="nil"/>
              <w:bottom w:val="single" w:sz="4" w:space="0" w:color="auto"/>
              <w:right w:val="single" w:sz="4" w:space="0" w:color="auto"/>
            </w:tcBorders>
            <w:shd w:val="clear" w:color="auto" w:fill="C6EFCE"/>
            <w:noWrap/>
          </w:tcPr>
          <w:p w14:paraId="0D5D1F1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Siht</w:t>
            </w:r>
          </w:p>
        </w:tc>
        <w:tc>
          <w:tcPr>
            <w:tcW w:w="1418" w:type="dxa"/>
            <w:tcBorders>
              <w:top w:val="single" w:sz="4" w:space="0" w:color="auto"/>
              <w:left w:val="nil"/>
              <w:bottom w:val="single" w:sz="4" w:space="0" w:color="auto"/>
              <w:right w:val="single" w:sz="4" w:space="0" w:color="auto"/>
            </w:tcBorders>
            <w:shd w:val="clear" w:color="auto" w:fill="C6EFCE"/>
            <w:noWrap/>
          </w:tcPr>
          <w:p w14:paraId="487D93F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Elektrisõidukite laadimispunktid – paigaldised on valmis</w:t>
            </w:r>
          </w:p>
        </w:tc>
        <w:tc>
          <w:tcPr>
            <w:tcW w:w="2377" w:type="dxa"/>
            <w:tcBorders>
              <w:top w:val="single" w:sz="4" w:space="0" w:color="auto"/>
              <w:left w:val="nil"/>
              <w:bottom w:val="single" w:sz="4" w:space="0" w:color="auto"/>
              <w:right w:val="single" w:sz="4" w:space="0" w:color="auto"/>
            </w:tcBorders>
            <w:shd w:val="clear" w:color="auto" w:fill="C6EFCE"/>
            <w:noWrap/>
          </w:tcPr>
          <w:p w14:paraId="14A21478"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1460" w:type="dxa"/>
            <w:tcBorders>
              <w:top w:val="single" w:sz="4" w:space="0" w:color="auto"/>
              <w:left w:val="nil"/>
              <w:bottom w:val="single" w:sz="4" w:space="0" w:color="auto"/>
              <w:right w:val="single" w:sz="4" w:space="0" w:color="auto"/>
            </w:tcBorders>
            <w:shd w:val="clear" w:color="auto" w:fill="C6EFCE"/>
            <w:noWrap/>
          </w:tcPr>
          <w:p w14:paraId="28F7F9BD" w14:textId="77777777" w:rsidR="00645BC7" w:rsidRPr="00E02B5D" w:rsidRDefault="009056B0" w:rsidP="008C622A">
            <w:pPr>
              <w:spacing w:after="0" w:line="240" w:lineRule="auto"/>
              <w:rPr>
                <w:rFonts w:eastAsia="Times New Roman" w:cs="Calibri"/>
                <w:noProof/>
                <w:color w:val="006100"/>
                <w:sz w:val="18"/>
                <w:szCs w:val="18"/>
              </w:rPr>
            </w:pPr>
            <w:r>
              <w:rPr>
                <w:noProof/>
                <w:color w:val="006100"/>
                <w:sz w:val="18"/>
              </w:rPr>
              <w:t>Infrastruktuuri- ja transpordiministeeriumi kinnitatud installeeritud võimsus (kW)</w:t>
            </w:r>
          </w:p>
        </w:tc>
        <w:tc>
          <w:tcPr>
            <w:tcW w:w="857" w:type="dxa"/>
            <w:tcBorders>
              <w:top w:val="single" w:sz="4" w:space="0" w:color="auto"/>
              <w:left w:val="nil"/>
              <w:bottom w:val="single" w:sz="4" w:space="0" w:color="auto"/>
              <w:right w:val="single" w:sz="4" w:space="0" w:color="auto"/>
            </w:tcBorders>
            <w:shd w:val="clear" w:color="auto" w:fill="C6EFCE"/>
            <w:noWrap/>
          </w:tcPr>
          <w:p w14:paraId="4C349FB3"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936" w:type="dxa"/>
            <w:tcBorders>
              <w:top w:val="single" w:sz="4" w:space="0" w:color="auto"/>
              <w:left w:val="nil"/>
              <w:bottom w:val="single" w:sz="4" w:space="0" w:color="auto"/>
              <w:right w:val="single" w:sz="4" w:space="0" w:color="auto"/>
            </w:tcBorders>
            <w:shd w:val="clear" w:color="auto" w:fill="C6EFCE"/>
            <w:noWrap/>
          </w:tcPr>
          <w:p w14:paraId="19DF8047" w14:textId="603DCD87" w:rsidR="00645BC7" w:rsidRPr="00E02B5D" w:rsidRDefault="008C622A" w:rsidP="00D00694">
            <w:pPr>
              <w:spacing w:after="0" w:line="240" w:lineRule="auto"/>
              <w:rPr>
                <w:rFonts w:eastAsia="Times New Roman" w:cs="Calibri"/>
                <w:noProof/>
                <w:color w:val="006100"/>
                <w:sz w:val="18"/>
                <w:szCs w:val="18"/>
              </w:rPr>
            </w:pPr>
            <w:r>
              <w:rPr>
                <w:noProof/>
                <w:color w:val="006100"/>
                <w:sz w:val="18"/>
              </w:rPr>
              <w:t>300 000</w:t>
            </w:r>
          </w:p>
        </w:tc>
        <w:tc>
          <w:tcPr>
            <w:tcW w:w="846" w:type="dxa"/>
            <w:tcBorders>
              <w:top w:val="single" w:sz="4" w:space="0" w:color="auto"/>
              <w:left w:val="nil"/>
              <w:bottom w:val="single" w:sz="4" w:space="0" w:color="auto"/>
              <w:right w:val="single" w:sz="4" w:space="0" w:color="auto"/>
            </w:tcBorders>
            <w:shd w:val="clear" w:color="auto" w:fill="C6EFCE"/>
            <w:noWrap/>
          </w:tcPr>
          <w:p w14:paraId="2E48ED0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3EB8DE3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2025</w:t>
            </w:r>
          </w:p>
        </w:tc>
        <w:tc>
          <w:tcPr>
            <w:tcW w:w="3191" w:type="dxa"/>
            <w:tcBorders>
              <w:top w:val="single" w:sz="4" w:space="0" w:color="auto"/>
              <w:left w:val="nil"/>
              <w:bottom w:val="single" w:sz="4" w:space="0" w:color="auto"/>
              <w:right w:val="single" w:sz="4" w:space="0" w:color="auto"/>
            </w:tcBorders>
            <w:shd w:val="clear" w:color="auto" w:fill="C6EFCE"/>
            <w:noWrap/>
          </w:tcPr>
          <w:p w14:paraId="55327757" w14:textId="5E051755" w:rsidR="00645BC7" w:rsidRPr="00E02B5D" w:rsidRDefault="00645BC7" w:rsidP="00D93A8B">
            <w:pPr>
              <w:spacing w:after="0" w:line="240" w:lineRule="auto"/>
              <w:rPr>
                <w:rFonts w:eastAsia="Times New Roman" w:cs="Calibri"/>
                <w:noProof/>
                <w:color w:val="006100"/>
                <w:sz w:val="18"/>
                <w:szCs w:val="18"/>
              </w:rPr>
            </w:pPr>
            <w:r>
              <w:rPr>
                <w:noProof/>
                <w:color w:val="006100"/>
                <w:sz w:val="18"/>
              </w:rPr>
              <w:t xml:space="preserve">Vähemalt 300 000 kW installeeritud võimsuse paigaldamise lõpuleviimine vähemalt 4 500 elektrisõidukite laadimispunkti jaoks linnade strateegilistes linna- ja linnalähipiirkondades ning huvipakkuvates kohtades ja valitud talitlusüksustes. </w:t>
            </w:r>
          </w:p>
        </w:tc>
      </w:tr>
    </w:tbl>
    <w:p w14:paraId="1DF1357E" w14:textId="77777777" w:rsidR="00645BC7" w:rsidRPr="00AD4052" w:rsidRDefault="00645BC7" w:rsidP="002C2953">
      <w:pPr>
        <w:spacing w:before="120" w:after="120" w:line="240" w:lineRule="auto"/>
        <w:rPr>
          <w:rFonts w:ascii="Times New Roman" w:hAnsi="Times New Roman" w:cs="Times New Roman"/>
          <w:noProof/>
          <w:sz w:val="24"/>
        </w:rPr>
        <w:sectPr w:rsidR="00645BC7" w:rsidRPr="00AD4052" w:rsidSect="00271D33">
          <w:headerReference w:type="even" r:id="rId80"/>
          <w:headerReference w:type="default" r:id="rId81"/>
          <w:footerReference w:type="even" r:id="rId82"/>
          <w:footerReference w:type="default" r:id="rId83"/>
          <w:headerReference w:type="first" r:id="rId84"/>
          <w:footerReference w:type="first" r:id="rId85"/>
          <w:pgSz w:w="16839" w:h="11907" w:orient="landscape"/>
          <w:pgMar w:top="720" w:right="720" w:bottom="720" w:left="720" w:header="709" w:footer="359" w:gutter="0"/>
          <w:cols w:space="720"/>
          <w:docGrid w:linePitch="360"/>
        </w:sectPr>
      </w:pPr>
    </w:p>
    <w:p w14:paraId="499DDAD2" w14:textId="77777777" w:rsidR="00645BC7" w:rsidRPr="00E02B5D" w:rsidRDefault="00645BC7" w:rsidP="002C2953">
      <w:pPr>
        <w:spacing w:before="120" w:after="120" w:line="240" w:lineRule="auto"/>
        <w:jc w:val="both"/>
        <w:outlineLvl w:val="3"/>
        <w:rPr>
          <w:rFonts w:ascii="Times New Roman" w:hAnsi="Times New Roman" w:cs="Times New Roman"/>
          <w:b/>
          <w:bCs/>
          <w:noProof/>
          <w:sz w:val="24"/>
        </w:rPr>
      </w:pPr>
      <w:r>
        <w:rPr>
          <w:rFonts w:ascii="Times New Roman" w:hAnsi="Times New Roman"/>
          <w:b/>
          <w:noProof/>
          <w:sz w:val="24"/>
        </w:rPr>
        <w:t>D. KOMPONENT 1.4. RESSURSSIDE SÄÄSTEV KASUTAMINE, KLIIMAMUUTUSTELE VASTUPANU VÕIME JA KESKKONNAKAITSE</w:t>
      </w:r>
    </w:p>
    <w:p w14:paraId="47E07F08"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Kreeka taaste- ja vastupidavuskava selle osa eesmärk on edendada rohelist üleminekut. See hõlmab sihipäraseid reforme ja investeeringuid, et tõhustada looduskeskkonna kaitset ja taastamist, sealhulgas bioloogilise mitmekesisuse kaitset, parandada keskkonnataristut ja suurendada metsaga kaetud ala. </w:t>
      </w:r>
      <w:r w:rsidRPr="001D1DC6">
        <w:rPr>
          <w:rFonts w:ascii="Times New Roman" w:hAnsi="Times New Roman"/>
          <w:noProof/>
          <w:sz w:val="24"/>
        </w:rPr>
        <w:t>Lisaks hõlmab see jäätmekäitlusreformi, mis hõlmab eelkõige riikliku jäätmeameti loomist, et toetada üleminekut ringmajandusele, mis põhineb jäätmetekke vältimisel, jäätmete korduskasutamisel ja ringlussevõtul.</w:t>
      </w:r>
      <w:r>
        <w:rPr>
          <w:rFonts w:ascii="Times New Roman" w:hAnsi="Times New Roman"/>
          <w:noProof/>
          <w:sz w:val="24"/>
        </w:rPr>
        <w:t xml:space="preserve"> Lisaks luuakse sellega riiklik veevaldkonda reguleeriv asutus, et suurendada veerajatiste tegevuse ja investeeringute jätkusuutlikkust. Komponendis sisalduvate reformide ja investeeringute rakendamine suurendab loodusvarade kasutamise tõhusust ning edendab kaitset keskkonnariskide ja -mõjude eest nii ühiskonnale kui ka majandusele. Komponent hõlmab ka investeeringuid joogivee ja kanalisatsiooniga varustamise parandamiseks ning kliimamuutustest tulenevate keskkonnaprobleemide ennetamiseks ja leevendamiseks. </w:t>
      </w:r>
    </w:p>
    <w:p w14:paraId="0A764075"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See komponent toetab 2020. aasta riigipõhist soovitust 3 ja 2019. aasta riigipõhist soovitust 2 avaliku ja erasektori investeeringute kohta.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75938737" w14:textId="77777777" w:rsidR="00744EF7" w:rsidRPr="00E02B5D" w:rsidRDefault="00645BC7" w:rsidP="00744EF7">
      <w:pPr>
        <w:tabs>
          <w:tab w:val="left" w:pos="1134"/>
        </w:tabs>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D.1. </w:t>
      </w:r>
      <w:r>
        <w:rPr>
          <w:noProof/>
        </w:rPr>
        <w:tab/>
      </w:r>
      <w:r>
        <w:rPr>
          <w:rFonts w:ascii="Times New Roman" w:hAnsi="Times New Roman"/>
          <w:b/>
          <w:noProof/>
          <w:sz w:val="24"/>
          <w:u w:val="single"/>
        </w:rPr>
        <w:t>Tagastamatu rahalise toetusega seotud reformide ja investeeringute kirjeldus</w:t>
      </w:r>
    </w:p>
    <w:p w14:paraId="37B74A75" w14:textId="77777777" w:rsidR="00645BC7" w:rsidRPr="00E02B5D" w:rsidRDefault="00645BC7" w:rsidP="00744EF7">
      <w:pPr>
        <w:tabs>
          <w:tab w:val="left" w:pos="1134"/>
        </w:tabs>
        <w:spacing w:before="120" w:after="120" w:line="240" w:lineRule="auto"/>
        <w:jc w:val="both"/>
        <w:rPr>
          <w:rFonts w:ascii="Times New Roman" w:hAnsi="Times New Roman" w:cs="Times New Roman"/>
          <w:noProof/>
          <w:sz w:val="24"/>
          <w:szCs w:val="24"/>
        </w:rPr>
      </w:pPr>
      <w:r>
        <w:rPr>
          <w:rFonts w:ascii="Times New Roman" w:hAnsi="Times New Roman"/>
          <w:b/>
          <w:noProof/>
          <w:sz w:val="24"/>
        </w:rPr>
        <w:t>Investeering:</w:t>
      </w:r>
      <w:r>
        <w:rPr>
          <w:rFonts w:ascii="Times New Roman" w:hAnsi="Times New Roman"/>
          <w:noProof/>
          <w:sz w:val="24"/>
        </w:rPr>
        <w:t xml:space="preserve"> Riiklik taasmetsastamiskava, taastamine ja ennetamine (antiNERO), erosiooni- ja üleujutuste vastased meetmed (meetme ID: 16849)</w:t>
      </w:r>
    </w:p>
    <w:p w14:paraId="0DB03F8D" w14:textId="448993E5" w:rsidR="00645BC7" w:rsidRPr="006A7D45" w:rsidRDefault="5F18C0B5" w:rsidP="552C80EB">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Sellel investeeringul on kolm osa. Esiteks 5 700 hektari kahjustatud metsaökosüsteemide taastamine Kreekas pühakute istutamise teel. Projekt hõlmab nii taasmetsastamise uuringuid kui ka nende rakendamist. </w:t>
      </w:r>
      <w:bookmarkStart w:id="2" w:name="_Int_luhtzGZB"/>
      <w:bookmarkEnd w:id="2"/>
      <w:r>
        <w:rPr>
          <w:rFonts w:ascii="Times New Roman" w:hAnsi="Times New Roman"/>
          <w:noProof/>
          <w:sz w:val="24"/>
        </w:rPr>
        <w:t>Lisaks hõlmab investeering nelja avalik-õigusliku metsapuukooli (Ambrosias, Lagada, Organis and Aliartos) ajakohastamist ning kõigi riikliku taasmetsastamiskava katseprojektis ette nähtud meetmete rakendamist. Teiseks hõlmavad investeeringud osana programmidest „NERO“ tulekahjude vältimise meetmeid, sealhulgas metsa ja metsamaa puhastamist ning metsateede võrgu ja olemasolevate tuletõrjetsoonide hooldamist, segatuletsoonide loomist, sealhulgas puude ja põõsaste raiet, puhastus- ja lõikamistöid ning istutamisrajatisi. Kolmandaks hõlmab investeering meetmeid, mis on seotud erosiooni- ja üleujutustevastase kaitsega Evrose ja Rhodope piirkonnas, samuti metsatulekahjudest ja üleujutustest mõjutatud piirkondades kogu Kreekas. Eesmärgis kirjeldatud eri meetmetega hõlmatavad territooriumid (hektarites) võivad kattuda. Investeeringu rakendamine viiakse lõpule 31. detsembriks 2025.</w:t>
      </w:r>
    </w:p>
    <w:p w14:paraId="3D82BDEB"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Asulareovesi ja reoveesetete käitlemise taristud (meetme ID: 16846)</w:t>
      </w:r>
    </w:p>
    <w:p w14:paraId="7DAEA872" w14:textId="77777777" w:rsidR="00EF26F4" w:rsidRDefault="00645BC7" w:rsidP="00645BC7">
      <w:pPr>
        <w:spacing w:before="120" w:after="120" w:line="240" w:lineRule="auto"/>
        <w:jc w:val="both"/>
        <w:rPr>
          <w:rFonts w:ascii="Times New Roman" w:hAnsi="Times New Roman"/>
          <w:noProof/>
          <w:sz w:val="24"/>
          <w:szCs w:val="24"/>
        </w:rPr>
      </w:pPr>
      <w:r>
        <w:rPr>
          <w:rFonts w:ascii="Times New Roman" w:hAnsi="Times New Roman"/>
          <w:noProof/>
          <w:sz w:val="24"/>
        </w:rPr>
        <w:t xml:space="preserve">Investeeringu eesmärk on vähendada reovee puhastamisest tulenevat loodus- ja inimtegevusest tingitud saastet, ehitades uut taristut ja ajakohastades olemasolevat taristut. See koosneb kolmest allprojektist: a) 37 uue kanalisatsioonivõrgu taristu ja reoveepuhasti ehitamine, b) 11 reoveepuhasti ajakohastamine, laiendamine ja moderniseerimine ning puhastatud vee korduskasutamine ning c) 16 reoveepuhastite reoveesetete käitlemise taristu ehitamine. </w:t>
      </w:r>
    </w:p>
    <w:p w14:paraId="63D00E5A" w14:textId="77777777" w:rsidR="00EF26F4" w:rsidRDefault="00EF26F4">
      <w:pPr>
        <w:rPr>
          <w:rFonts w:ascii="Times New Roman" w:hAnsi="Times New Roman"/>
          <w:noProof/>
          <w:sz w:val="24"/>
          <w:szCs w:val="24"/>
        </w:rPr>
      </w:pPr>
      <w:r>
        <w:rPr>
          <w:noProof/>
        </w:rPr>
        <w:br w:type="page"/>
      </w:r>
    </w:p>
    <w:p w14:paraId="5BBCB4F7" w14:textId="30811A05"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11 reoveepuhasti ajakohastamise ja moderniseerimisega seotud investeeringu osa peab vastama nõudele, mille kohaselt peab eesliini-otsa reoveesüsteemi uuendamine vähendama keskmist energiatarbimist vähemalt 10 % võrra, mis saavutatakse üksnes energiatõhususe meetmetega, mitte materjalimuutuse või koormuse muutusega.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suhtes kohaldatakse direktiivi 2011/92/EL kohast keskkonnamõju hindamist ning direktiivi 2000/60/EÜ ja direktiivi 92/43/EMÜ kohaseid asjakohaseid hindamisi, sealhulgas nõutavate leevendusmeetmete rakendamist. Investeeringu rakendamine viiakse lõpule 31. detsembriks 2025.</w:t>
      </w:r>
    </w:p>
    <w:p w14:paraId="71774457"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Investeeringud riiklikku niisutusvõrgustikku avaliku ja erasektori partnerluse kavade kaudu (meetme ID: 16285)</w:t>
      </w:r>
    </w:p>
    <w:p w14:paraId="0785AAEE"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on terviklik programm riikliku põllumajanduse keskkonna-, maaparandus- ja tervendamisraamistiku ajakohastamiseks ja moderniseerimiseks. Nende investeeringutega tugevdatakse põllumajandussektori vastupanuvõimet ja konkurentsivõimet, suurendatakse veega varustatust ja selle kvaliteeti, ratsionaliseeritakse veetarbimist, leevendatakse sooldumise ja kõrbestumise ohtu ning käsitletakse bioloogilise mitmekesisuse ja looduslike elupaikade säilitamist ja kaitset. See meede hõlmab ka kollektiivsete niisutusvõrgustike institutsioonilise, organisatsioonilise ja tegevusraamistiku reformi. Meetme kohaselt peavad kõik tööd vastama järgmistele põhimõtetele: i) rakendatakse kõiki tehniliselt teostatavaid ja ökoloogiliselt asjakohaseid kliimamuutustega kohanemise meetmeid, samuti leevendatakse vajaduse korral võimalikku kahjulikku mõju veele ning asjaomastele elupaikadele ja liikidele; ii) vastehitatud tammi puhul tagada, et see ei põhjusta asjaomaste ja ühendatud veekogude seisundi halvenemist ega ohusta nende hea seisundi saavutamist.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Iga alainvesteeringu puhul tagatakse täielik vastavus ELi õigusele, sh veepoliitika raamdirektiivi nõuetele enne ja pärast ehitustöid ja nende ajal. Meetme suhtes kohaldatakse direktiivi 2011/92/EL kohast keskkonnamõju hindamist ning direktiivi 2000/60/EÜ ja direktiivi 92/43/EMÜ kohaseid asjakohaseid hindamisi, sealhulgas nõutavate leevendusmeetmete rakendamist. Investeeringu rakendamine viiakse lõpule 31. detsembriks 2025.</w:t>
      </w:r>
    </w:p>
    <w:p w14:paraId="2DFB208A"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Joogiveevarustuse ja -säästu taristud (meetme ID: 16850)</w:t>
      </w:r>
    </w:p>
    <w:p w14:paraId="49079FD8" w14:textId="77777777" w:rsidR="00EF26F4" w:rsidRDefault="00645BC7" w:rsidP="14C217E2">
      <w:pPr>
        <w:spacing w:before="120" w:after="120" w:line="240" w:lineRule="auto"/>
        <w:jc w:val="both"/>
        <w:rPr>
          <w:rFonts w:ascii="Times New Roman" w:hAnsi="Times New Roman"/>
          <w:noProof/>
          <w:sz w:val="24"/>
          <w:szCs w:val="24"/>
        </w:rPr>
      </w:pPr>
      <w:r>
        <w:rPr>
          <w:rFonts w:ascii="Times New Roman" w:hAnsi="Times New Roman"/>
          <w:noProof/>
          <w:sz w:val="24"/>
        </w:rPr>
        <w:t xml:space="preserve">Investeeringu eesmärk on parandada joogivee kättesaadavust ja kvaliteeti ning vähendada veetaristuga seotud lekke- ja rahvaterviseriske. Investeering koosneb kolmest allprojektist. a) uute veevarustustaristute ehitamine vähemalt seitsmes piirkonnas ja vähemalt kolmes magestamistehases, b) kaugjuhtimissüsteemide rajamine veevarustusvõrkudes lekete avastamiseks ja c) digitaalsete hüdromeetrite hankimine.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w:t>
      </w:r>
    </w:p>
    <w:p w14:paraId="497CB423" w14:textId="77777777" w:rsidR="00EF26F4" w:rsidRDefault="00EF26F4">
      <w:pPr>
        <w:rPr>
          <w:rFonts w:ascii="Times New Roman" w:hAnsi="Times New Roman"/>
          <w:noProof/>
          <w:sz w:val="24"/>
          <w:szCs w:val="24"/>
        </w:rPr>
      </w:pPr>
      <w:r>
        <w:rPr>
          <w:noProof/>
        </w:rPr>
        <w:br w:type="page"/>
      </w:r>
    </w:p>
    <w:p w14:paraId="161C0AD4" w14:textId="38ABAB2E" w:rsidR="00645BC7" w:rsidRPr="00E02B5D" w:rsidRDefault="00645BC7" w:rsidP="14C217E2">
      <w:pPr>
        <w:spacing w:before="120" w:after="120" w:line="240" w:lineRule="auto"/>
        <w:jc w:val="both"/>
        <w:rPr>
          <w:rFonts w:ascii="Times New Roman" w:hAnsi="Times New Roman" w:cs="Times New Roman"/>
          <w:noProof/>
          <w:sz w:val="24"/>
          <w:szCs w:val="24"/>
        </w:rPr>
      </w:pPr>
      <w:r>
        <w:rPr>
          <w:rFonts w:ascii="Times New Roman" w:hAnsi="Times New Roman"/>
          <w:noProof/>
          <w:sz w:val="24"/>
        </w:rPr>
        <w:t>Meetme suhtes kohaldatakse direktiivi 2011/92/EL kohast keskkonnamõju hindamist ning direktiivi 2000/60/EÜ ja direktiivi 92/43/EMÜ kohaseid asjakohaseid hindamisi, sealhulgas nõutavate leevendusmeetmete rakendamist. Investeeringu rakendamine viiakse lõpule 31.</w:t>
      </w:r>
      <w:r w:rsidR="001D1DC6">
        <w:rPr>
          <w:rFonts w:ascii="Times New Roman" w:hAnsi="Times New Roman"/>
          <w:noProof/>
          <w:sz w:val="24"/>
        </w:rPr>
        <w:t> </w:t>
      </w:r>
      <w:r>
        <w:rPr>
          <w:rFonts w:ascii="Times New Roman" w:hAnsi="Times New Roman"/>
          <w:noProof/>
          <w:sz w:val="24"/>
        </w:rPr>
        <w:t>detsembriks 2025.</w:t>
      </w:r>
    </w:p>
    <w:p w14:paraId="4CD81F70" w14:textId="77777777"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Investeering:</w:t>
      </w:r>
      <w:r>
        <w:rPr>
          <w:rFonts w:ascii="Times New Roman" w:hAnsi="Times New Roman"/>
          <w:noProof/>
          <w:sz w:val="24"/>
        </w:rPr>
        <w:t xml:space="preserve"> Lennuvahendid kriisiohje jaoks (meetme ID: 16911)</w:t>
      </w:r>
    </w:p>
    <w:p w14:paraId="1A3ADCEA" w14:textId="4DC471E6"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hõlmab ostetud lennuvahendite tarnimist ja kodanikukaitseks kasutatavate olemasolevate õhusõidukite ajakohastamist, nagu meditsiiniliseks kasutamiseks mõeldud helikopterid, hädaabitaristu transport ja kasutuselevõtt, droonid õhuseireks ja tuletõrjeks kasutatavad õhusõidukid.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Eelkõige peavad kõik eriotstarbelised õhusõidukid olema tipptasemel varad. Investeeringu rakendamine viiakse lõpule 31. detsembriks 2025.</w:t>
      </w:r>
    </w:p>
    <w:p w14:paraId="5F39AC96"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Metsatulekahjude kustutamise, ennetamise ja sellele reageerimise seadmed (meetme ID: 16912)</w:t>
      </w:r>
    </w:p>
    <w:p w14:paraId="429EDD72" w14:textId="77777777"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 hõlmab ostetud tuletõrjemootorite ja muude päästesõidukite (sealhulgas sõidukeid ja tankereid vedava personali ja varustuse) kohaletoimetamist; sõidukite tarnimine kodanikukaitse peasekretariaadile, piirkondlikele/kohalikele kodanikukaitse operatsioonide keskustele ja vabatahtlike organisatsioonidele; kokkupandavad transporditavad sillad. Investeeringu rakendamine viiakse lõpule 31. detsembriks 2025.</w:t>
      </w:r>
    </w:p>
    <w:p w14:paraId="63A227EB"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Bioloogilise mitmekesisuse kaitse kui jätkusuutliku majanduskasvu liikumapanev jõud (meetme ID: 16851)</w:t>
      </w:r>
    </w:p>
    <w:p w14:paraId="5EE2437A" w14:textId="6CFB8032" w:rsidR="00645BC7" w:rsidRPr="00E02B5D" w:rsidRDefault="482353B7" w:rsidP="6C29E302">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 koosneb järgmisest: bioloogilise mitmekesisuse kaitse projektid, riikliku teede- ja matkaradade võrgustiku loomine, terrasside taastamine, Alonissose mereuuringute keskuse ja kaitsealade haldamise üksuste hoonete renoveerimine ja ajakohastamine, riikliku loodusajaloomuuseumi ja Kreeta looduspärandi muuseumi ajakohastamine, Kreeka looduspärandi kollektsioonide digiteerimine, Kreeka loodusega seotud toodete identiteedi loomine, ühtsete seireprotokollide ja vastava operatiivsüsteemi loomine ning horisontaalne patrullimissüsteemi kava Kreeka kaitsealade jaoks. Investeeringu rakendamine viiakse lõpule 31. detsembriks 2025.</w:t>
      </w:r>
    </w:p>
    <w:p w14:paraId="294388BF"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Infrastruktuur – strateegilise riikliku katastroofiohu juhtimise loomine (meetme ID: 16909)</w:t>
      </w:r>
    </w:p>
    <w:p w14:paraId="1EE1D0AB"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Investeeringud hõlmavad kodanikukaitse peasekretariaadi hoonete digiseadmete ajakohastamist ja tarnimist ning mobiilsete haldus- ja kohapealsete juhtimiskeskuste, näiteks õhuseire- ja telekommunikatsiooniseadmete arendamist. Investeeringu rakendamine viiakse lõpule 31. detsembriks 2025.</w:t>
      </w:r>
    </w:p>
    <w:p w14:paraId="580EFC52"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Seire- ja juhtimissüsteem (meetme ID: 16910)</w:t>
      </w:r>
    </w:p>
    <w:p w14:paraId="51F2CB93" w14:textId="2CEF8569"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seisneb kodanikukaitse peasekretariaadi digitaristu, näiteks GPSi seiresüsteemi, varajase hoiatamise süsteemi, tulekahju avastamise ja kustutamise süsteemide ning hädaolukorra sidejaamade varustamises. Investeeringu rakendamine viiakse lõpule 31.</w:t>
      </w:r>
      <w:r w:rsidR="001D1DC6">
        <w:rPr>
          <w:rFonts w:ascii="Times New Roman" w:hAnsi="Times New Roman"/>
          <w:noProof/>
          <w:sz w:val="24"/>
        </w:rPr>
        <w:t> </w:t>
      </w:r>
      <w:r>
        <w:rPr>
          <w:rFonts w:ascii="Times New Roman" w:hAnsi="Times New Roman"/>
          <w:noProof/>
          <w:sz w:val="24"/>
        </w:rPr>
        <w:t>detsembriks 2025.</w:t>
      </w:r>
    </w:p>
    <w:p w14:paraId="6A78B4EB"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Piirkondlike kodanikukaitsekeskuste (PEKEPP) rakendamine avaliku ja erasektori partnerluse kavade kaudu (meetme ID: 16283)</w:t>
      </w:r>
    </w:p>
    <w:p w14:paraId="31CFB137" w14:textId="77777777" w:rsidR="00EF26F4" w:rsidRDefault="00EF26F4">
      <w:pPr>
        <w:rPr>
          <w:rFonts w:ascii="Times New Roman" w:hAnsi="Times New Roman"/>
          <w:noProof/>
          <w:sz w:val="24"/>
        </w:rPr>
      </w:pPr>
      <w:r>
        <w:rPr>
          <w:noProof/>
        </w:rPr>
        <w:br w:type="page"/>
      </w:r>
    </w:p>
    <w:p w14:paraId="33C19881" w14:textId="5017882B"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13 piirkondliku kodanikukaitsekeskuse ehitamine avaliku ja erasektori partnerluse kaudu. Investeeringu eesmärk on tagada õigeaegne ja tõhus riskide ja kriiside ohjamine piirkondlikul tasandil. Uued hooned peavad vastama primaarenergia nõudlusele, mis on vähemalt 20 % madalam liginullenergiahoone nõudest (ligi nullenergiahoone, riiklikud direktiivid).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25044D61"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Jäätmekäitlusseadus säästva prügilasse ladestamise ja ringlussevõtu rakendamiseks (meetme ID: 16772)</w:t>
      </w:r>
    </w:p>
    <w:p w14:paraId="311944C7" w14:textId="04525B8D"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See reform hõlmab kehtivate jäätmekäitlust käsitlevate õigusaktide läbivaatamist, et võimaldada üleminekut ringmajandusele. Eelkõige kehtestatakse reformiga stiimulid omavalitsustele, et saavutada suurem ringlussevõtu määr, jõustada 2022. aasta lõpuks biojäätmete ning metalli, paberi, klaasi ja plasti liigiti kogumine, laiendada tootjavastutuse süsteemi, ajakohastada ringlussevõtu sorteerimisrajatiste toimimist ja lihtsustada roheliste punktidega seotud õigusakte. Reformi eesmärk on toetada eesmärkide saavutamist, milleks on suurendada tahkete olmejäätmete korduskasutamise ja ringlussevõtu määra 60 %-ni ning vähendada 2030. aastaks prügilasse ladestamise määra 10 %-ni. Kõnealuse reformi raames asutatav riiklik jäätmeid reguleeriv asutus vastutab muu hulgas hinnakujunduspoliitika usaldusväärsuse tagamise, jäätmekäitluse rakendamise järelevalve eest kogu riigis ning piirkondlike ja kohalike jäätmekäitlusettevõtete nõuetekohase toimimise järelevalve eest. Reformi rakendamine viiakse lõpule 31. detsembriks 2025.</w:t>
      </w:r>
    </w:p>
    <w:p w14:paraId="31704529" w14:textId="77777777" w:rsidR="00645BC7" w:rsidRPr="00E02B5D" w:rsidRDefault="00645BC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Uue vett ja reovett reguleeriva asutuse loomine (meetme ID: 16979)</w:t>
      </w:r>
    </w:p>
    <w:p w14:paraId="3B19F895" w14:textId="77777777" w:rsidR="00645BC7" w:rsidRPr="00E02B5D" w:rsidRDefault="00645BC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Reformiga luuakse üks asutus – riiklik veevaldkonda reguleeriv asutus (NWRA), mis vastutab keskkonna- ja energeetikaministeeriumi kavandatud veevarude ratsionaalse majandamise poliitika rakendamise eest. Uus asutus tugevdab institutsioonilist raamistikku ja teostab sektori üle järelevalvet, sealhulgas ratsionaliseerib veetariifipoliitikat kooskõlas põhimõttega „saastaja maksab“ ja tagab Kreekas veevarustusteenuste jätkusuutlikkuse. Reformi rakendamine viiakse lõpule 31. detsember 2023.</w:t>
      </w:r>
    </w:p>
    <w:p w14:paraId="6E6238EE" w14:textId="77777777" w:rsidR="00143B0D" w:rsidRPr="00E02B5D" w:rsidRDefault="009268E5" w:rsidP="5A398E85">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Investeering:</w:t>
      </w:r>
      <w:r>
        <w:rPr>
          <w:rFonts w:ascii="Times New Roman" w:hAnsi="Times New Roman"/>
          <w:noProof/>
          <w:sz w:val="24"/>
        </w:rPr>
        <w:t xml:space="preserve"> Ehitiste seismilisuse eelkontroll (meetme ID: 16983)</w:t>
      </w:r>
    </w:p>
    <w:p w14:paraId="6F08CBCE" w14:textId="103029CE" w:rsidR="00645BC7" w:rsidRPr="00E02B5D" w:rsidRDefault="230F38A9" w:rsidP="00EF26F4">
      <w:pPr>
        <w:spacing w:before="120" w:after="120" w:line="240" w:lineRule="auto"/>
        <w:jc w:val="both"/>
        <w:rPr>
          <w:rFonts w:ascii="Times New Roman" w:hAnsi="Times New Roman" w:cs="Times New Roman"/>
          <w:noProof/>
          <w:sz w:val="24"/>
        </w:rPr>
        <w:sectPr w:rsidR="00645BC7" w:rsidRPr="00E02B5D" w:rsidSect="00271D33">
          <w:headerReference w:type="even" r:id="rId86"/>
          <w:headerReference w:type="default" r:id="rId87"/>
          <w:footerReference w:type="even" r:id="rId88"/>
          <w:footerReference w:type="default" r:id="rId89"/>
          <w:headerReference w:type="first" r:id="rId90"/>
          <w:footerReference w:type="first" r:id="rId91"/>
          <w:pgSz w:w="11907" w:h="16839"/>
          <w:pgMar w:top="1134" w:right="1418" w:bottom="1134" w:left="1418" w:header="709" w:footer="327" w:gutter="0"/>
          <w:cols w:space="720"/>
          <w:docGrid w:linePitch="360"/>
        </w:sectPr>
      </w:pPr>
      <w:r>
        <w:rPr>
          <w:rFonts w:ascii="Times New Roman" w:hAnsi="Times New Roman"/>
          <w:noProof/>
          <w:sz w:val="24"/>
        </w:rPr>
        <w:t>Investeering hõlmab riigi mitmesuguste kriitilise tähtsusega hoonete (sealhulgas haridushooned, haiglad ja tervishoiukeskused, politseiosakonnad, tuletõrjejaamad) maavärinaohu hindamist, et hinnata nende vastupanuvõimet maavärinas. Seda tehakse tsiviilinsener-audiitorite tehtava kiire visuaalkontrolli (RVI) kaudu.  Töötatakse välja täiendav veebipõhine süsteem hoone põhiandmete registreerimiseks maavärinaeelse RVI pilvandmehoidlasse. Investeeringu rakendamine viiakse lõpule 31. märtsiks 2025.</w:t>
      </w:r>
    </w:p>
    <w:p w14:paraId="3F7F94BF" w14:textId="77777777" w:rsidR="00645BC7" w:rsidRPr="00E02B5D" w:rsidRDefault="00645BC7" w:rsidP="00645BC7">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noProof/>
          <w:sz w:val="24"/>
          <w:u w:val="single"/>
        </w:rPr>
        <w:t xml:space="preserve">D.2. </w:t>
      </w:r>
      <w:r>
        <w:rPr>
          <w:noProof/>
        </w:rPr>
        <w:tab/>
      </w:r>
      <w:r>
        <w:rPr>
          <w:rFonts w:ascii="Times New Roman" w:hAnsi="Times New Roman"/>
          <w:b/>
          <w:noProof/>
          <w:sz w:val="24"/>
          <w:u w:val="single"/>
        </w:rPr>
        <w:t>Tagastamatu rahalise toetuse eesmärgid, sihid, näitajad ning seire ja rakendamise ajakava</w:t>
      </w:r>
    </w:p>
    <w:p w14:paraId="1C7A476B" w14:textId="77777777" w:rsidR="00645BC7" w:rsidRPr="00AD4052" w:rsidRDefault="00645BC7" w:rsidP="00685365">
      <w:pPr>
        <w:rPr>
          <w:noProof/>
        </w:rPr>
      </w:pPr>
    </w:p>
    <w:p w14:paraId="1A129A28" w14:textId="77777777" w:rsidR="00645BC7" w:rsidRPr="00E02B5D" w:rsidRDefault="00645BC7"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Põhireform 4: Jäätmekäitlus ja veereform ressursside säästvaks kasutamiseks</w:t>
      </w:r>
    </w:p>
    <w:tbl>
      <w:tblPr>
        <w:tblpPr w:leftFromText="180" w:rightFromText="180" w:vertAnchor="text" w:tblpXSpec="center" w:tblpY="1"/>
        <w:tblOverlap w:val="never"/>
        <w:tblW w:w="15759" w:type="dxa"/>
        <w:tblLayout w:type="fixed"/>
        <w:tblLook w:val="04A0" w:firstRow="1" w:lastRow="0" w:firstColumn="1" w:lastColumn="0" w:noHBand="0" w:noVBand="1"/>
      </w:tblPr>
      <w:tblGrid>
        <w:gridCol w:w="1027"/>
        <w:gridCol w:w="1797"/>
        <w:gridCol w:w="966"/>
        <w:gridCol w:w="1190"/>
        <w:gridCol w:w="1468"/>
        <w:gridCol w:w="1031"/>
        <w:gridCol w:w="857"/>
        <w:gridCol w:w="844"/>
        <w:gridCol w:w="851"/>
        <w:gridCol w:w="709"/>
        <w:gridCol w:w="5019"/>
      </w:tblGrid>
      <w:tr w:rsidR="007B4D63" w:rsidRPr="003B132A" w14:paraId="369BBE76" w14:textId="77777777" w:rsidTr="00AF187E">
        <w:trPr>
          <w:trHeight w:val="927"/>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B0B28B"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BE594F"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750B3C"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190" w:type="dxa"/>
            <w:vMerge w:val="restart"/>
            <w:tcBorders>
              <w:top w:val="single" w:sz="4" w:space="0" w:color="auto"/>
              <w:left w:val="nil"/>
              <w:bottom w:val="single" w:sz="4" w:space="0" w:color="auto"/>
              <w:right w:val="single" w:sz="4" w:space="0" w:color="auto"/>
            </w:tcBorders>
            <w:shd w:val="clear" w:color="auto" w:fill="BDD7EE"/>
            <w:vAlign w:val="center"/>
            <w:hideMark/>
          </w:tcPr>
          <w:p w14:paraId="4D3CC6FA"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AA37EB"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732" w:type="dxa"/>
            <w:gridSpan w:val="3"/>
            <w:tcBorders>
              <w:top w:val="single" w:sz="4" w:space="0" w:color="auto"/>
              <w:left w:val="nil"/>
              <w:bottom w:val="single" w:sz="4" w:space="0" w:color="auto"/>
              <w:right w:val="single" w:sz="4" w:space="0" w:color="auto"/>
            </w:tcBorders>
            <w:shd w:val="clear" w:color="auto" w:fill="BDD7EE"/>
            <w:vAlign w:val="center"/>
            <w:hideMark/>
          </w:tcPr>
          <w:p w14:paraId="302FF6B5"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14:paraId="3B184A68"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50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EB4AA7"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59D133E4" w14:textId="77777777" w:rsidTr="0029559B">
        <w:trPr>
          <w:trHeight w:val="619"/>
          <w:tblHead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FE68DE3"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1ADDE8DA"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4E3AAD30"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3C12FAE8"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3F306269" w14:textId="77777777" w:rsidR="00645BC7" w:rsidRPr="00AD4052" w:rsidRDefault="00645BC7" w:rsidP="00D00694">
            <w:pPr>
              <w:spacing w:after="0" w:line="240" w:lineRule="auto"/>
              <w:rPr>
                <w:rFonts w:ascii="Times New Roman" w:eastAsia="Times New Roman" w:hAnsi="Times New Roman" w:cs="Times New Roman"/>
                <w:b/>
                <w:bCs/>
                <w:noProof/>
                <w:sz w:val="18"/>
                <w:szCs w:val="18"/>
                <w:lang w:eastAsia="en-GB"/>
              </w:rPr>
            </w:pPr>
          </w:p>
        </w:tc>
        <w:tc>
          <w:tcPr>
            <w:tcW w:w="103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3C1E9A"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857" w:type="dxa"/>
            <w:tcBorders>
              <w:top w:val="nil"/>
              <w:left w:val="nil"/>
              <w:bottom w:val="single" w:sz="4" w:space="0" w:color="auto"/>
              <w:right w:val="single" w:sz="4" w:space="0" w:color="auto"/>
            </w:tcBorders>
            <w:shd w:val="clear" w:color="auto" w:fill="BDD7EE"/>
            <w:vAlign w:val="center"/>
            <w:hideMark/>
          </w:tcPr>
          <w:p w14:paraId="236EC639"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844" w:type="dxa"/>
            <w:tcBorders>
              <w:top w:val="nil"/>
              <w:left w:val="nil"/>
              <w:bottom w:val="single" w:sz="4" w:space="0" w:color="auto"/>
              <w:right w:val="single" w:sz="4" w:space="0" w:color="auto"/>
            </w:tcBorders>
            <w:shd w:val="clear" w:color="auto" w:fill="BDD7EE"/>
            <w:vAlign w:val="center"/>
            <w:hideMark/>
          </w:tcPr>
          <w:p w14:paraId="6BB74F19"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51" w:type="dxa"/>
            <w:tcBorders>
              <w:top w:val="nil"/>
              <w:left w:val="nil"/>
              <w:bottom w:val="single" w:sz="4" w:space="0" w:color="auto"/>
              <w:right w:val="single" w:sz="4" w:space="0" w:color="auto"/>
            </w:tcBorders>
            <w:shd w:val="clear" w:color="auto" w:fill="BDD7EE"/>
            <w:vAlign w:val="center"/>
            <w:hideMark/>
          </w:tcPr>
          <w:p w14:paraId="72625C7A"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9" w:type="dxa"/>
            <w:tcBorders>
              <w:top w:val="nil"/>
              <w:left w:val="nil"/>
              <w:bottom w:val="single" w:sz="4" w:space="0" w:color="auto"/>
              <w:right w:val="single" w:sz="4" w:space="0" w:color="auto"/>
            </w:tcBorders>
            <w:shd w:val="clear" w:color="auto" w:fill="BDD7EE"/>
            <w:vAlign w:val="center"/>
            <w:hideMark/>
          </w:tcPr>
          <w:p w14:paraId="4282B1D3" w14:textId="77777777" w:rsidR="00645BC7" w:rsidRPr="00E02B5D" w:rsidRDefault="00645BC7" w:rsidP="00D00694">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5019" w:type="dxa"/>
            <w:vMerge/>
            <w:tcBorders>
              <w:top w:val="single" w:sz="4" w:space="0" w:color="auto"/>
              <w:bottom w:val="single" w:sz="4" w:space="0" w:color="auto"/>
              <w:right w:val="single" w:sz="4" w:space="0" w:color="auto"/>
            </w:tcBorders>
            <w:vAlign w:val="center"/>
            <w:hideMark/>
          </w:tcPr>
          <w:p w14:paraId="2AECCF15" w14:textId="77777777" w:rsidR="00645BC7" w:rsidRPr="00E02B5D" w:rsidRDefault="00645BC7" w:rsidP="00D00694">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4DE1973C" w14:textId="77777777" w:rsidTr="00AF187E">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9C094C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56</w:t>
            </w:r>
          </w:p>
        </w:tc>
        <w:tc>
          <w:tcPr>
            <w:tcW w:w="1797" w:type="dxa"/>
            <w:tcBorders>
              <w:top w:val="single" w:sz="4" w:space="0" w:color="auto"/>
              <w:left w:val="nil"/>
              <w:bottom w:val="single" w:sz="4" w:space="0" w:color="auto"/>
              <w:right w:val="single" w:sz="4" w:space="0" w:color="auto"/>
            </w:tcBorders>
            <w:shd w:val="clear" w:color="auto" w:fill="C6EFCE"/>
            <w:noWrap/>
          </w:tcPr>
          <w:p w14:paraId="7C19A10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16772_Jäätmekäitlusseadus säästva prügilasse ladestamise ja ringlussevõtu rakendamiseks</w:t>
            </w:r>
          </w:p>
        </w:tc>
        <w:tc>
          <w:tcPr>
            <w:tcW w:w="966" w:type="dxa"/>
            <w:tcBorders>
              <w:top w:val="single" w:sz="4" w:space="0" w:color="auto"/>
              <w:left w:val="nil"/>
              <w:bottom w:val="single" w:sz="4" w:space="0" w:color="auto"/>
              <w:right w:val="single" w:sz="4" w:space="0" w:color="auto"/>
            </w:tcBorders>
            <w:shd w:val="clear" w:color="auto" w:fill="C6EFCE"/>
            <w:noWrap/>
          </w:tcPr>
          <w:p w14:paraId="7E42EBCB"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190" w:type="dxa"/>
            <w:tcBorders>
              <w:top w:val="single" w:sz="4" w:space="0" w:color="auto"/>
              <w:left w:val="nil"/>
              <w:bottom w:val="single" w:sz="4" w:space="0" w:color="auto"/>
              <w:right w:val="single" w:sz="4" w:space="0" w:color="auto"/>
            </w:tcBorders>
            <w:shd w:val="clear" w:color="auto" w:fill="C6EFCE"/>
            <w:noWrap/>
          </w:tcPr>
          <w:p w14:paraId="685CC6C0"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Jäätmekäitlusseaduse jõustumine</w:t>
            </w:r>
          </w:p>
        </w:tc>
        <w:tc>
          <w:tcPr>
            <w:tcW w:w="1468" w:type="dxa"/>
            <w:tcBorders>
              <w:top w:val="single" w:sz="4" w:space="0" w:color="auto"/>
              <w:left w:val="nil"/>
              <w:bottom w:val="single" w:sz="4" w:space="0" w:color="auto"/>
              <w:right w:val="single" w:sz="4" w:space="0" w:color="auto"/>
            </w:tcBorders>
            <w:shd w:val="clear" w:color="auto" w:fill="C6EFCE"/>
            <w:noWrap/>
          </w:tcPr>
          <w:p w14:paraId="4A41A54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Õigusaktide jõustumine</w:t>
            </w:r>
          </w:p>
        </w:tc>
        <w:tc>
          <w:tcPr>
            <w:tcW w:w="1031" w:type="dxa"/>
            <w:tcBorders>
              <w:top w:val="single" w:sz="4" w:space="0" w:color="auto"/>
              <w:left w:val="nil"/>
              <w:bottom w:val="single" w:sz="4" w:space="0" w:color="auto"/>
              <w:right w:val="single" w:sz="4" w:space="0" w:color="auto"/>
            </w:tcBorders>
            <w:shd w:val="clear" w:color="auto" w:fill="C6EFCE"/>
            <w:noWrap/>
          </w:tcPr>
          <w:p w14:paraId="536E02A9"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3E68E8E2"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44" w:type="dxa"/>
            <w:tcBorders>
              <w:top w:val="nil"/>
              <w:left w:val="nil"/>
              <w:bottom w:val="single" w:sz="4" w:space="0" w:color="auto"/>
              <w:right w:val="single" w:sz="4" w:space="0" w:color="auto"/>
            </w:tcBorders>
            <w:shd w:val="clear" w:color="auto" w:fill="C6EFCE"/>
            <w:noWrap/>
          </w:tcPr>
          <w:p w14:paraId="59BAF79F"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74BA809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 kv</w:t>
            </w:r>
          </w:p>
        </w:tc>
        <w:tc>
          <w:tcPr>
            <w:tcW w:w="709" w:type="dxa"/>
            <w:tcBorders>
              <w:top w:val="nil"/>
              <w:left w:val="nil"/>
              <w:bottom w:val="single" w:sz="4" w:space="0" w:color="auto"/>
              <w:right w:val="single" w:sz="4" w:space="0" w:color="auto"/>
            </w:tcBorders>
            <w:shd w:val="clear" w:color="auto" w:fill="C6EFCE"/>
            <w:noWrap/>
          </w:tcPr>
          <w:p w14:paraId="31E3843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2021</w:t>
            </w:r>
          </w:p>
        </w:tc>
        <w:tc>
          <w:tcPr>
            <w:tcW w:w="5019" w:type="dxa"/>
            <w:tcBorders>
              <w:top w:val="single" w:sz="4" w:space="0" w:color="auto"/>
              <w:left w:val="nil"/>
              <w:bottom w:val="single" w:sz="4" w:space="0" w:color="auto"/>
              <w:right w:val="single" w:sz="4" w:space="0" w:color="auto"/>
            </w:tcBorders>
            <w:shd w:val="clear" w:color="auto" w:fill="C6EFCE"/>
            <w:noWrap/>
          </w:tcPr>
          <w:p w14:paraId="0054BCF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Ringlussevõttu ja prügilasse ladestamist käsitleva seaduse jõustumine, samuti stiimulid omavalitsustele, et saavutada suur korduskasutamise ja ringlussevõtu määr ning prügilamaksu rakendamine. Prügilamaksu kohaldatakse alates 2022. aasta esimesest kvartalist ja tasusid tõstetakse järk-järgult, kuni need jõuavad 2024. aasta kolmandaks kvartaliks prügilamaksu ülempiirini.</w:t>
            </w:r>
          </w:p>
        </w:tc>
      </w:tr>
      <w:tr w:rsidR="00645BC7" w:rsidRPr="003B132A" w14:paraId="2D216134" w14:textId="77777777" w:rsidTr="00AF187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6273B44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57</w:t>
            </w:r>
          </w:p>
        </w:tc>
        <w:tc>
          <w:tcPr>
            <w:tcW w:w="1797" w:type="dxa"/>
            <w:tcBorders>
              <w:top w:val="nil"/>
              <w:left w:val="nil"/>
              <w:bottom w:val="single" w:sz="4" w:space="0" w:color="auto"/>
              <w:right w:val="single" w:sz="4" w:space="0" w:color="auto"/>
            </w:tcBorders>
            <w:shd w:val="clear" w:color="auto" w:fill="C6EFCE"/>
            <w:noWrap/>
          </w:tcPr>
          <w:p w14:paraId="0BD8346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16772_Jäätmekäitlusseadus säästva prügilasse ladestamise ja ringlussevõtu rakendamiseks</w:t>
            </w:r>
          </w:p>
        </w:tc>
        <w:tc>
          <w:tcPr>
            <w:tcW w:w="966" w:type="dxa"/>
            <w:tcBorders>
              <w:top w:val="nil"/>
              <w:left w:val="nil"/>
              <w:bottom w:val="single" w:sz="4" w:space="0" w:color="auto"/>
              <w:right w:val="single" w:sz="4" w:space="0" w:color="auto"/>
            </w:tcBorders>
            <w:shd w:val="clear" w:color="auto" w:fill="C6EFCE"/>
            <w:noWrap/>
          </w:tcPr>
          <w:p w14:paraId="0060269F"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190" w:type="dxa"/>
            <w:tcBorders>
              <w:top w:val="nil"/>
              <w:left w:val="nil"/>
              <w:bottom w:val="single" w:sz="4" w:space="0" w:color="auto"/>
              <w:right w:val="single" w:sz="4" w:space="0" w:color="auto"/>
            </w:tcBorders>
            <w:shd w:val="clear" w:color="auto" w:fill="C6EFCE"/>
            <w:noWrap/>
          </w:tcPr>
          <w:p w14:paraId="03B6604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Jäätmekäitlust reguleeriva õigusakti jõustumine</w:t>
            </w:r>
          </w:p>
        </w:tc>
        <w:tc>
          <w:tcPr>
            <w:tcW w:w="1468" w:type="dxa"/>
            <w:tcBorders>
              <w:top w:val="nil"/>
              <w:left w:val="nil"/>
              <w:bottom w:val="single" w:sz="4" w:space="0" w:color="auto"/>
              <w:right w:val="single" w:sz="4" w:space="0" w:color="auto"/>
            </w:tcBorders>
            <w:shd w:val="clear" w:color="auto" w:fill="C6EFCE"/>
            <w:noWrap/>
          </w:tcPr>
          <w:p w14:paraId="069763D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Õigusaktide jõustumine </w:t>
            </w:r>
          </w:p>
        </w:tc>
        <w:tc>
          <w:tcPr>
            <w:tcW w:w="1031" w:type="dxa"/>
            <w:tcBorders>
              <w:top w:val="nil"/>
              <w:left w:val="nil"/>
              <w:bottom w:val="single" w:sz="4" w:space="0" w:color="auto"/>
              <w:right w:val="single" w:sz="4" w:space="0" w:color="auto"/>
            </w:tcBorders>
            <w:shd w:val="clear" w:color="auto" w:fill="C6EFCE"/>
            <w:noWrap/>
          </w:tcPr>
          <w:p w14:paraId="78DD5F11"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5F94F8CA"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44" w:type="dxa"/>
            <w:tcBorders>
              <w:top w:val="nil"/>
              <w:left w:val="nil"/>
              <w:bottom w:val="single" w:sz="4" w:space="0" w:color="auto"/>
              <w:right w:val="single" w:sz="4" w:space="0" w:color="auto"/>
            </w:tcBorders>
            <w:shd w:val="clear" w:color="auto" w:fill="C6EFCE"/>
            <w:noWrap/>
          </w:tcPr>
          <w:p w14:paraId="711952F1"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738FE78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3. kv</w:t>
            </w:r>
          </w:p>
        </w:tc>
        <w:tc>
          <w:tcPr>
            <w:tcW w:w="709" w:type="dxa"/>
            <w:tcBorders>
              <w:top w:val="nil"/>
              <w:left w:val="nil"/>
              <w:bottom w:val="single" w:sz="4" w:space="0" w:color="auto"/>
              <w:right w:val="single" w:sz="4" w:space="0" w:color="auto"/>
            </w:tcBorders>
            <w:shd w:val="clear" w:color="auto" w:fill="C6EFCE"/>
            <w:noWrap/>
          </w:tcPr>
          <w:p w14:paraId="72B2092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5019" w:type="dxa"/>
            <w:tcBorders>
              <w:top w:val="nil"/>
              <w:left w:val="nil"/>
              <w:bottom w:val="single" w:sz="4" w:space="0" w:color="auto"/>
              <w:right w:val="single" w:sz="4" w:space="0" w:color="auto"/>
            </w:tcBorders>
            <w:shd w:val="clear" w:color="auto" w:fill="C6EFCE"/>
            <w:noWrap/>
          </w:tcPr>
          <w:p w14:paraId="3316C2D0" w14:textId="77777777" w:rsidR="00645BC7" w:rsidRPr="00E02B5D" w:rsidRDefault="00645BC7" w:rsidP="00D00694">
            <w:pPr>
              <w:spacing w:after="0" w:line="240" w:lineRule="auto"/>
              <w:jc w:val="both"/>
              <w:rPr>
                <w:rFonts w:eastAsia="Times New Roman" w:cs="Calibri"/>
                <w:noProof/>
                <w:color w:val="006100"/>
                <w:sz w:val="18"/>
                <w:szCs w:val="18"/>
              </w:rPr>
            </w:pPr>
            <w:r>
              <w:rPr>
                <w:noProof/>
                <w:color w:val="006100"/>
                <w:sz w:val="18"/>
              </w:rPr>
              <w:t>Seaduse jõustumine, et:</w:t>
            </w:r>
          </w:p>
          <w:p w14:paraId="0B3C79B6" w14:textId="77777777" w:rsidR="00645BC7" w:rsidRPr="0029309E" w:rsidRDefault="00645BC7" w:rsidP="00DE1EE5">
            <w:pPr>
              <w:numPr>
                <w:ilvl w:val="0"/>
                <w:numId w:val="53"/>
              </w:numPr>
              <w:spacing w:after="0" w:line="240" w:lineRule="auto"/>
              <w:jc w:val="both"/>
              <w:rPr>
                <w:rFonts w:eastAsia="Times New Roman" w:cs="Calibri"/>
                <w:noProof/>
                <w:color w:val="006100"/>
                <w:sz w:val="18"/>
                <w:szCs w:val="18"/>
              </w:rPr>
            </w:pPr>
            <w:r>
              <w:rPr>
                <w:noProof/>
                <w:color w:val="006100"/>
                <w:sz w:val="18"/>
              </w:rPr>
              <w:t>luua riiklik jäätmejärelevalveamet, selle tegevus ja ülesanded;</w:t>
            </w:r>
          </w:p>
          <w:p w14:paraId="2A15EDEC" w14:textId="77777777" w:rsidR="00645BC7" w:rsidRPr="009E52AC" w:rsidRDefault="00645BC7" w:rsidP="0029309E">
            <w:pPr>
              <w:numPr>
                <w:ilvl w:val="0"/>
                <w:numId w:val="53"/>
              </w:numPr>
              <w:spacing w:after="0" w:line="240" w:lineRule="auto"/>
              <w:jc w:val="both"/>
              <w:rPr>
                <w:rFonts w:eastAsia="Times New Roman" w:cs="Calibri"/>
                <w:noProof/>
                <w:color w:val="006100"/>
                <w:sz w:val="18"/>
                <w:szCs w:val="18"/>
              </w:rPr>
            </w:pPr>
            <w:r>
              <w:rPr>
                <w:noProof/>
                <w:color w:val="006100"/>
                <w:sz w:val="18"/>
              </w:rPr>
              <w:t>Piirkondlike ja kohalike jäätmekäitlusasutuste reform (FOSDA); ning</w:t>
            </w:r>
          </w:p>
          <w:p w14:paraId="6BBEA1C7" w14:textId="4CA0FC1B" w:rsidR="009E52AC" w:rsidRPr="009E52AC" w:rsidRDefault="009E52AC" w:rsidP="0029309E">
            <w:pPr>
              <w:numPr>
                <w:ilvl w:val="0"/>
                <w:numId w:val="53"/>
              </w:numPr>
              <w:spacing w:after="0" w:line="240" w:lineRule="auto"/>
              <w:jc w:val="both"/>
              <w:rPr>
                <w:rFonts w:eastAsia="Times New Roman" w:cs="Calibri"/>
                <w:noProof/>
                <w:color w:val="006100"/>
                <w:sz w:val="18"/>
                <w:szCs w:val="18"/>
              </w:rPr>
            </w:pPr>
            <w:r>
              <w:rPr>
                <w:noProof/>
                <w:color w:val="006100"/>
                <w:sz w:val="18"/>
              </w:rPr>
              <w:t>Võtta kasutusele usaldusväärne kuluarvestuse ja hinnakujunduse poliitika, mis on kooskõlas põhimõttega „maksa nii, nagu te viskate“ ja põhimõttega „saastaja maksab“.</w:t>
            </w:r>
          </w:p>
          <w:p w14:paraId="2655300E" w14:textId="468F2D79" w:rsidR="00645BC7" w:rsidRPr="00AD4052" w:rsidRDefault="00645BC7" w:rsidP="009E52AC">
            <w:pPr>
              <w:spacing w:after="0" w:line="240" w:lineRule="auto"/>
              <w:ind w:left="720"/>
              <w:jc w:val="both"/>
              <w:rPr>
                <w:noProof/>
              </w:rPr>
            </w:pPr>
          </w:p>
        </w:tc>
      </w:tr>
      <w:tr w:rsidR="00645BC7" w:rsidRPr="003B132A" w14:paraId="2A304879" w14:textId="77777777" w:rsidTr="00AF187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749AD2B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58</w:t>
            </w:r>
          </w:p>
        </w:tc>
        <w:tc>
          <w:tcPr>
            <w:tcW w:w="1797" w:type="dxa"/>
            <w:tcBorders>
              <w:top w:val="nil"/>
              <w:left w:val="nil"/>
              <w:bottom w:val="single" w:sz="4" w:space="0" w:color="auto"/>
              <w:right w:val="single" w:sz="4" w:space="0" w:color="auto"/>
            </w:tcBorders>
            <w:shd w:val="clear" w:color="auto" w:fill="C6EFCE"/>
            <w:noWrap/>
          </w:tcPr>
          <w:p w14:paraId="7293AE7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16979_Uue vee- ja reoveevaldkonda reguleeriva asutuse loomine</w:t>
            </w:r>
          </w:p>
        </w:tc>
        <w:tc>
          <w:tcPr>
            <w:tcW w:w="966" w:type="dxa"/>
            <w:tcBorders>
              <w:top w:val="nil"/>
              <w:left w:val="nil"/>
              <w:bottom w:val="single" w:sz="4" w:space="0" w:color="auto"/>
              <w:right w:val="single" w:sz="4" w:space="0" w:color="auto"/>
            </w:tcBorders>
            <w:shd w:val="clear" w:color="auto" w:fill="C6EFCE"/>
            <w:noWrap/>
          </w:tcPr>
          <w:p w14:paraId="26991DB8"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190" w:type="dxa"/>
            <w:tcBorders>
              <w:top w:val="nil"/>
              <w:left w:val="nil"/>
              <w:bottom w:val="single" w:sz="4" w:space="0" w:color="auto"/>
              <w:right w:val="single" w:sz="4" w:space="0" w:color="auto"/>
            </w:tcBorders>
            <w:shd w:val="clear" w:color="auto" w:fill="C6EFCE"/>
            <w:noWrap/>
          </w:tcPr>
          <w:p w14:paraId="5B15D38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Veevaldkonda reguleeriva õigusakti jõustumine</w:t>
            </w:r>
          </w:p>
        </w:tc>
        <w:tc>
          <w:tcPr>
            <w:tcW w:w="1468" w:type="dxa"/>
            <w:tcBorders>
              <w:top w:val="nil"/>
              <w:left w:val="nil"/>
              <w:bottom w:val="single" w:sz="4" w:space="0" w:color="auto"/>
              <w:right w:val="single" w:sz="4" w:space="0" w:color="auto"/>
            </w:tcBorders>
            <w:shd w:val="clear" w:color="auto" w:fill="C6EFCE"/>
            <w:noWrap/>
          </w:tcPr>
          <w:p w14:paraId="6F604737"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Õigusaktide jõustumine </w:t>
            </w:r>
          </w:p>
        </w:tc>
        <w:tc>
          <w:tcPr>
            <w:tcW w:w="1031" w:type="dxa"/>
            <w:tcBorders>
              <w:top w:val="nil"/>
              <w:left w:val="nil"/>
              <w:bottom w:val="single" w:sz="4" w:space="0" w:color="auto"/>
              <w:right w:val="single" w:sz="4" w:space="0" w:color="auto"/>
            </w:tcBorders>
            <w:shd w:val="clear" w:color="auto" w:fill="C6EFCE"/>
            <w:noWrap/>
          </w:tcPr>
          <w:p w14:paraId="5B990822"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18D9E3A2"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44" w:type="dxa"/>
            <w:tcBorders>
              <w:top w:val="nil"/>
              <w:left w:val="nil"/>
              <w:bottom w:val="single" w:sz="4" w:space="0" w:color="auto"/>
              <w:right w:val="single" w:sz="4" w:space="0" w:color="auto"/>
            </w:tcBorders>
            <w:shd w:val="clear" w:color="auto" w:fill="C6EFCE"/>
            <w:noWrap/>
          </w:tcPr>
          <w:p w14:paraId="79FE8B2D"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352E2892"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46D7402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2022</w:t>
            </w:r>
          </w:p>
        </w:tc>
        <w:tc>
          <w:tcPr>
            <w:tcW w:w="5019" w:type="dxa"/>
            <w:tcBorders>
              <w:top w:val="nil"/>
              <w:left w:val="nil"/>
              <w:bottom w:val="single" w:sz="4" w:space="0" w:color="auto"/>
              <w:right w:val="single" w:sz="4" w:space="0" w:color="auto"/>
            </w:tcBorders>
            <w:shd w:val="clear" w:color="auto" w:fill="C6EFCE"/>
            <w:noWrap/>
          </w:tcPr>
          <w:p w14:paraId="4AC6081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Uue vee- ja reoveeameti loomist ja tegevust käsitleva seaduse jõustumine.</w:t>
            </w:r>
          </w:p>
        </w:tc>
      </w:tr>
      <w:tr w:rsidR="00645BC7" w:rsidRPr="003B132A" w14:paraId="18A12DC2" w14:textId="77777777" w:rsidTr="00AF187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19590AB3"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59</w:t>
            </w:r>
          </w:p>
        </w:tc>
        <w:tc>
          <w:tcPr>
            <w:tcW w:w="1797" w:type="dxa"/>
            <w:tcBorders>
              <w:top w:val="nil"/>
              <w:left w:val="nil"/>
              <w:bottom w:val="single" w:sz="4" w:space="0" w:color="auto"/>
              <w:right w:val="single" w:sz="4" w:space="0" w:color="auto"/>
            </w:tcBorders>
            <w:shd w:val="clear" w:color="auto" w:fill="C6EFCE"/>
            <w:noWrap/>
          </w:tcPr>
          <w:p w14:paraId="07FC261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16772_Jäätmekäitlusseadus säästva prügilasse ladestamise ja ringlussevõtu rakendamiseks</w:t>
            </w:r>
          </w:p>
        </w:tc>
        <w:tc>
          <w:tcPr>
            <w:tcW w:w="966" w:type="dxa"/>
            <w:tcBorders>
              <w:top w:val="nil"/>
              <w:left w:val="nil"/>
              <w:bottom w:val="single" w:sz="4" w:space="0" w:color="auto"/>
              <w:right w:val="single" w:sz="4" w:space="0" w:color="auto"/>
            </w:tcBorders>
            <w:shd w:val="clear" w:color="auto" w:fill="C6EFCE"/>
            <w:noWrap/>
          </w:tcPr>
          <w:p w14:paraId="6F4EB2A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190" w:type="dxa"/>
            <w:tcBorders>
              <w:top w:val="nil"/>
              <w:left w:val="nil"/>
              <w:bottom w:val="single" w:sz="4" w:space="0" w:color="auto"/>
              <w:right w:val="single" w:sz="4" w:space="0" w:color="auto"/>
            </w:tcBorders>
            <w:shd w:val="clear" w:color="auto" w:fill="C6EFCE"/>
            <w:noWrap/>
          </w:tcPr>
          <w:p w14:paraId="39295AA9"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Jäätmekäitlust reguleeriva asutuse loomine ja toimimine</w:t>
            </w:r>
          </w:p>
        </w:tc>
        <w:tc>
          <w:tcPr>
            <w:tcW w:w="1468" w:type="dxa"/>
            <w:tcBorders>
              <w:top w:val="nil"/>
              <w:left w:val="nil"/>
              <w:bottom w:val="single" w:sz="4" w:space="0" w:color="auto"/>
              <w:right w:val="single" w:sz="4" w:space="0" w:color="auto"/>
            </w:tcBorders>
            <w:shd w:val="clear" w:color="auto" w:fill="C6EFCE"/>
            <w:noWrap/>
          </w:tcPr>
          <w:p w14:paraId="0287C7B6"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Ühise ministrite otsuse ning kõigi ameti loomiseks vajalike haldus- ja seadusandlike meetmete jõustumine </w:t>
            </w:r>
          </w:p>
        </w:tc>
        <w:tc>
          <w:tcPr>
            <w:tcW w:w="1031" w:type="dxa"/>
            <w:tcBorders>
              <w:top w:val="nil"/>
              <w:left w:val="nil"/>
              <w:bottom w:val="single" w:sz="4" w:space="0" w:color="auto"/>
              <w:right w:val="single" w:sz="4" w:space="0" w:color="auto"/>
            </w:tcBorders>
            <w:shd w:val="clear" w:color="auto" w:fill="C6EFCE"/>
            <w:noWrap/>
          </w:tcPr>
          <w:p w14:paraId="2E053B14"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19B83D52"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44" w:type="dxa"/>
            <w:tcBorders>
              <w:top w:val="nil"/>
              <w:left w:val="nil"/>
              <w:bottom w:val="single" w:sz="4" w:space="0" w:color="auto"/>
              <w:right w:val="single" w:sz="4" w:space="0" w:color="auto"/>
            </w:tcBorders>
            <w:shd w:val="clear" w:color="auto" w:fill="C6EFCE"/>
            <w:noWrap/>
          </w:tcPr>
          <w:p w14:paraId="4C152F1B"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63BD011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64E09B5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5019" w:type="dxa"/>
            <w:tcBorders>
              <w:top w:val="nil"/>
              <w:left w:val="nil"/>
              <w:bottom w:val="single" w:sz="4" w:space="0" w:color="auto"/>
              <w:right w:val="single" w:sz="4" w:space="0" w:color="auto"/>
            </w:tcBorders>
            <w:shd w:val="clear" w:color="auto" w:fill="C6EFCE"/>
            <w:noWrap/>
          </w:tcPr>
          <w:p w14:paraId="17B512D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Uues jäätmeid reguleerivas riiklikus asutuses on töötajad ja ruumid.</w:t>
            </w:r>
          </w:p>
        </w:tc>
      </w:tr>
      <w:tr w:rsidR="00A05294" w:rsidRPr="003B132A" w14:paraId="55675E7B" w14:textId="77777777" w:rsidTr="00AF187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7A6528EA" w14:textId="77777777" w:rsidR="00A05294" w:rsidRPr="00E02B5D" w:rsidRDefault="00E71E82" w:rsidP="00D00694">
            <w:pPr>
              <w:spacing w:after="0" w:line="240" w:lineRule="auto"/>
              <w:rPr>
                <w:noProof/>
                <w:color w:val="006100"/>
                <w:sz w:val="18"/>
              </w:rPr>
            </w:pPr>
            <w:r>
              <w:rPr>
                <w:noProof/>
                <w:color w:val="006100"/>
                <w:sz w:val="18"/>
              </w:rPr>
              <w:t>59a</w:t>
            </w:r>
          </w:p>
        </w:tc>
        <w:tc>
          <w:tcPr>
            <w:tcW w:w="1797" w:type="dxa"/>
            <w:tcBorders>
              <w:top w:val="nil"/>
              <w:left w:val="nil"/>
              <w:bottom w:val="single" w:sz="4" w:space="0" w:color="auto"/>
              <w:right w:val="single" w:sz="4" w:space="0" w:color="auto"/>
            </w:tcBorders>
            <w:shd w:val="clear" w:color="auto" w:fill="C6EFCE"/>
            <w:noWrap/>
          </w:tcPr>
          <w:p w14:paraId="15DF971D" w14:textId="77777777" w:rsidR="00A05294" w:rsidRPr="00E02B5D" w:rsidRDefault="00E71E82" w:rsidP="00D00694">
            <w:pPr>
              <w:spacing w:after="0" w:line="240" w:lineRule="auto"/>
              <w:rPr>
                <w:noProof/>
                <w:color w:val="006100"/>
                <w:sz w:val="18"/>
              </w:rPr>
            </w:pPr>
            <w:r>
              <w:rPr>
                <w:noProof/>
                <w:color w:val="006100"/>
                <w:sz w:val="18"/>
              </w:rPr>
              <w:t>4-1.4. Ressursside säästev kasutamine, kliimamuutustele vastupanu võime ja keskkonnakaitse – 16772_Jäätmekäitlusseadus säästva prügilasse ladestamise ja ringlussevõtu rakendamiseks</w:t>
            </w:r>
          </w:p>
        </w:tc>
        <w:tc>
          <w:tcPr>
            <w:tcW w:w="966" w:type="dxa"/>
            <w:tcBorders>
              <w:top w:val="nil"/>
              <w:left w:val="nil"/>
              <w:bottom w:val="single" w:sz="4" w:space="0" w:color="auto"/>
              <w:right w:val="single" w:sz="4" w:space="0" w:color="auto"/>
            </w:tcBorders>
            <w:shd w:val="clear" w:color="auto" w:fill="C6EFCE"/>
            <w:noWrap/>
          </w:tcPr>
          <w:p w14:paraId="3DB501FC" w14:textId="77777777" w:rsidR="00A05294" w:rsidRPr="00E02B5D" w:rsidRDefault="00CD30A2" w:rsidP="00D00694">
            <w:pPr>
              <w:spacing w:after="0" w:line="240" w:lineRule="auto"/>
              <w:rPr>
                <w:noProof/>
                <w:color w:val="006100"/>
                <w:sz w:val="18"/>
              </w:rPr>
            </w:pPr>
            <w:r>
              <w:rPr>
                <w:noProof/>
                <w:color w:val="006100"/>
                <w:sz w:val="18"/>
              </w:rPr>
              <w:t>Eesmärk</w:t>
            </w:r>
          </w:p>
        </w:tc>
        <w:tc>
          <w:tcPr>
            <w:tcW w:w="1190" w:type="dxa"/>
            <w:tcBorders>
              <w:top w:val="nil"/>
              <w:left w:val="nil"/>
              <w:bottom w:val="single" w:sz="4" w:space="0" w:color="auto"/>
              <w:right w:val="single" w:sz="4" w:space="0" w:color="auto"/>
            </w:tcBorders>
            <w:shd w:val="clear" w:color="auto" w:fill="C6EFCE"/>
            <w:noWrap/>
          </w:tcPr>
          <w:p w14:paraId="641A0134" w14:textId="77777777" w:rsidR="00A05294" w:rsidRPr="00506574" w:rsidRDefault="00CD30A2" w:rsidP="00D00694">
            <w:pPr>
              <w:spacing w:after="0" w:line="240" w:lineRule="auto"/>
              <w:rPr>
                <w:noProof/>
                <w:color w:val="006100"/>
                <w:sz w:val="18"/>
              </w:rPr>
            </w:pPr>
            <w:r>
              <w:rPr>
                <w:noProof/>
                <w:color w:val="006100"/>
                <w:sz w:val="18"/>
              </w:rPr>
              <w:t>Tahkeid jäätmeid käitlevate asutuste sertifitseerimine reguleeriva asutuse poolt</w:t>
            </w:r>
          </w:p>
        </w:tc>
        <w:tc>
          <w:tcPr>
            <w:tcW w:w="1468" w:type="dxa"/>
            <w:tcBorders>
              <w:top w:val="nil"/>
              <w:left w:val="nil"/>
              <w:bottom w:val="single" w:sz="4" w:space="0" w:color="auto"/>
              <w:right w:val="single" w:sz="4" w:space="0" w:color="auto"/>
            </w:tcBorders>
            <w:shd w:val="clear" w:color="auto" w:fill="C6EFCE"/>
            <w:noWrap/>
          </w:tcPr>
          <w:p w14:paraId="54AD0DDE" w14:textId="46F507FD" w:rsidR="003B132A" w:rsidRPr="00506574" w:rsidRDefault="003B132A" w:rsidP="003B132A">
            <w:pPr>
              <w:spacing w:after="0" w:line="240" w:lineRule="auto"/>
              <w:rPr>
                <w:noProof/>
                <w:color w:val="006100"/>
                <w:sz w:val="18"/>
              </w:rPr>
            </w:pPr>
            <w:r>
              <w:rPr>
                <w:noProof/>
                <w:color w:val="006100"/>
                <w:sz w:val="18"/>
              </w:rPr>
              <w:t>Tahkeid jäätmeid käitlevate asutuste sertifitseerimine reguleeriva asutuse poolt</w:t>
            </w:r>
          </w:p>
          <w:p w14:paraId="0DF9DFA8" w14:textId="6E7DD342" w:rsidR="00A05294" w:rsidRPr="00506574" w:rsidRDefault="00A05294" w:rsidP="009A54F8">
            <w:pPr>
              <w:spacing w:after="0" w:line="240" w:lineRule="auto"/>
              <w:rPr>
                <w:noProof/>
                <w:color w:val="006100"/>
                <w:sz w:val="18"/>
                <w:lang w:val="en-IE"/>
              </w:rPr>
            </w:pPr>
          </w:p>
        </w:tc>
        <w:tc>
          <w:tcPr>
            <w:tcW w:w="1031" w:type="dxa"/>
            <w:tcBorders>
              <w:top w:val="nil"/>
              <w:left w:val="nil"/>
              <w:bottom w:val="single" w:sz="4" w:space="0" w:color="auto"/>
              <w:right w:val="single" w:sz="4" w:space="0" w:color="auto"/>
            </w:tcBorders>
            <w:shd w:val="clear" w:color="auto" w:fill="C6EFCE"/>
            <w:noWrap/>
          </w:tcPr>
          <w:p w14:paraId="4605F9FC" w14:textId="77777777" w:rsidR="00A05294" w:rsidRPr="00E02B5D" w:rsidRDefault="00A05294" w:rsidP="00D00694">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6E541D19" w14:textId="77777777" w:rsidR="00A05294" w:rsidRPr="00E02B5D" w:rsidRDefault="00A05294" w:rsidP="00D00694">
            <w:pPr>
              <w:spacing w:after="0" w:line="240" w:lineRule="auto"/>
              <w:rPr>
                <w:rFonts w:eastAsia="Times New Roman" w:cs="Calibri"/>
                <w:noProof/>
                <w:color w:val="006100"/>
                <w:sz w:val="18"/>
                <w:szCs w:val="18"/>
                <w:lang w:val="en-GB" w:eastAsia="en-GB"/>
              </w:rPr>
            </w:pPr>
          </w:p>
        </w:tc>
        <w:tc>
          <w:tcPr>
            <w:tcW w:w="844" w:type="dxa"/>
            <w:tcBorders>
              <w:top w:val="nil"/>
              <w:left w:val="nil"/>
              <w:bottom w:val="single" w:sz="4" w:space="0" w:color="auto"/>
              <w:right w:val="single" w:sz="4" w:space="0" w:color="auto"/>
            </w:tcBorders>
            <w:shd w:val="clear" w:color="auto" w:fill="C6EFCE"/>
            <w:noWrap/>
          </w:tcPr>
          <w:p w14:paraId="2BED3F25" w14:textId="77777777" w:rsidR="00A05294" w:rsidRPr="00E02B5D" w:rsidRDefault="00A05294" w:rsidP="00D00694">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479C3A0B" w14:textId="77777777" w:rsidR="00A05294" w:rsidRPr="00E02B5D" w:rsidRDefault="001922E1" w:rsidP="00D00694">
            <w:pPr>
              <w:spacing w:after="0" w:line="240" w:lineRule="auto"/>
              <w:rPr>
                <w:noProof/>
                <w:color w:val="006100"/>
                <w:sz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4F6B9C66" w14:textId="77777777" w:rsidR="00A05294" w:rsidRPr="00E02B5D" w:rsidRDefault="001922E1" w:rsidP="00D00694">
            <w:pPr>
              <w:spacing w:after="0" w:line="240" w:lineRule="auto"/>
              <w:rPr>
                <w:noProof/>
                <w:color w:val="006100"/>
                <w:sz w:val="18"/>
              </w:rPr>
            </w:pPr>
            <w:r>
              <w:rPr>
                <w:noProof/>
                <w:color w:val="006100"/>
                <w:sz w:val="18"/>
              </w:rPr>
              <w:t>2025</w:t>
            </w:r>
          </w:p>
        </w:tc>
        <w:tc>
          <w:tcPr>
            <w:tcW w:w="5019" w:type="dxa"/>
            <w:tcBorders>
              <w:top w:val="nil"/>
              <w:left w:val="nil"/>
              <w:bottom w:val="single" w:sz="4" w:space="0" w:color="auto"/>
              <w:right w:val="single" w:sz="4" w:space="0" w:color="auto"/>
            </w:tcBorders>
            <w:shd w:val="clear" w:color="auto" w:fill="C6EFCE"/>
            <w:noWrap/>
          </w:tcPr>
          <w:p w14:paraId="6E5BDE2D" w14:textId="08064D23" w:rsidR="00A05294" w:rsidRPr="00E02B5D" w:rsidRDefault="003B132A" w:rsidP="00D00694">
            <w:pPr>
              <w:spacing w:after="0" w:line="240" w:lineRule="auto"/>
              <w:rPr>
                <w:noProof/>
                <w:color w:val="006100"/>
                <w:sz w:val="18"/>
              </w:rPr>
            </w:pPr>
            <w:r>
              <w:rPr>
                <w:noProof/>
                <w:color w:val="006100"/>
                <w:sz w:val="18"/>
              </w:rPr>
              <w:t>Jäätme-, energia- ja veevaldkonda reguleeriv asutus (RAAEY) esitab aruande, milles tõendatakse, et FODSAd vastavad nende hindamiseks kehtestatud kriteeriumidele vastavalt siseriiklikele õigusaktidele.</w:t>
            </w:r>
          </w:p>
        </w:tc>
      </w:tr>
      <w:tr w:rsidR="00645BC7" w:rsidRPr="003B132A" w14:paraId="6A6FB2CB" w14:textId="77777777" w:rsidTr="00AF187E">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79A0718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60</w:t>
            </w:r>
          </w:p>
        </w:tc>
        <w:tc>
          <w:tcPr>
            <w:tcW w:w="1797" w:type="dxa"/>
            <w:tcBorders>
              <w:top w:val="nil"/>
              <w:left w:val="nil"/>
              <w:bottom w:val="single" w:sz="4" w:space="0" w:color="auto"/>
              <w:right w:val="single" w:sz="4" w:space="0" w:color="auto"/>
            </w:tcBorders>
            <w:shd w:val="clear" w:color="auto" w:fill="C6EFCE"/>
            <w:noWrap/>
          </w:tcPr>
          <w:p w14:paraId="1B2FD72E"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16979_Uue vee- ja reoveevaldkonda reguleeriva asutuse loomine</w:t>
            </w:r>
          </w:p>
        </w:tc>
        <w:tc>
          <w:tcPr>
            <w:tcW w:w="966" w:type="dxa"/>
            <w:tcBorders>
              <w:top w:val="nil"/>
              <w:left w:val="nil"/>
              <w:bottom w:val="single" w:sz="4" w:space="0" w:color="auto"/>
              <w:right w:val="single" w:sz="4" w:space="0" w:color="auto"/>
            </w:tcBorders>
            <w:shd w:val="clear" w:color="auto" w:fill="C6EFCE"/>
            <w:noWrap/>
          </w:tcPr>
          <w:p w14:paraId="155ECDDD"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Eesmärk</w:t>
            </w:r>
          </w:p>
        </w:tc>
        <w:tc>
          <w:tcPr>
            <w:tcW w:w="1190" w:type="dxa"/>
            <w:tcBorders>
              <w:top w:val="nil"/>
              <w:left w:val="nil"/>
              <w:bottom w:val="single" w:sz="4" w:space="0" w:color="auto"/>
              <w:right w:val="single" w:sz="4" w:space="0" w:color="auto"/>
            </w:tcBorders>
            <w:shd w:val="clear" w:color="auto" w:fill="C6EFCE"/>
            <w:noWrap/>
          </w:tcPr>
          <w:p w14:paraId="710C5C11"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Veemajanduse reguleeriva asutuse loomine ja toimimine</w:t>
            </w:r>
          </w:p>
        </w:tc>
        <w:tc>
          <w:tcPr>
            <w:tcW w:w="1468" w:type="dxa"/>
            <w:tcBorders>
              <w:top w:val="nil"/>
              <w:left w:val="nil"/>
              <w:bottom w:val="single" w:sz="4" w:space="0" w:color="auto"/>
              <w:right w:val="single" w:sz="4" w:space="0" w:color="auto"/>
            </w:tcBorders>
            <w:shd w:val="clear" w:color="auto" w:fill="C6EFCE"/>
            <w:noWrap/>
          </w:tcPr>
          <w:p w14:paraId="0234EEA4"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 xml:space="preserve">Ühise ministrite otsuse ning kõigi ameti loomiseks vajalike haldus- ja seadusandlike meetmete jõustumine </w:t>
            </w:r>
          </w:p>
        </w:tc>
        <w:tc>
          <w:tcPr>
            <w:tcW w:w="1031" w:type="dxa"/>
            <w:tcBorders>
              <w:top w:val="nil"/>
              <w:left w:val="nil"/>
              <w:bottom w:val="single" w:sz="4" w:space="0" w:color="auto"/>
              <w:right w:val="single" w:sz="4" w:space="0" w:color="auto"/>
            </w:tcBorders>
            <w:shd w:val="clear" w:color="auto" w:fill="C6EFCE"/>
            <w:noWrap/>
          </w:tcPr>
          <w:p w14:paraId="43B3C3CC"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626B481E"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44" w:type="dxa"/>
            <w:tcBorders>
              <w:top w:val="nil"/>
              <w:left w:val="nil"/>
              <w:bottom w:val="single" w:sz="4" w:space="0" w:color="auto"/>
              <w:right w:val="single" w:sz="4" w:space="0" w:color="auto"/>
            </w:tcBorders>
            <w:shd w:val="clear" w:color="auto" w:fill="C6EFCE"/>
            <w:noWrap/>
          </w:tcPr>
          <w:p w14:paraId="48BAA407" w14:textId="77777777" w:rsidR="00645BC7" w:rsidRPr="00E02B5D" w:rsidRDefault="00645BC7" w:rsidP="00D00694">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3B33876C"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42DEFCC5"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2023</w:t>
            </w:r>
          </w:p>
        </w:tc>
        <w:tc>
          <w:tcPr>
            <w:tcW w:w="5019" w:type="dxa"/>
            <w:tcBorders>
              <w:top w:val="nil"/>
              <w:left w:val="nil"/>
              <w:bottom w:val="single" w:sz="4" w:space="0" w:color="auto"/>
              <w:right w:val="single" w:sz="4" w:space="0" w:color="auto"/>
            </w:tcBorders>
            <w:shd w:val="clear" w:color="auto" w:fill="C6EFCE"/>
            <w:noWrap/>
          </w:tcPr>
          <w:p w14:paraId="7F93F6CA" w14:textId="77777777" w:rsidR="00645BC7" w:rsidRPr="00E02B5D" w:rsidRDefault="00645BC7" w:rsidP="00D00694">
            <w:pPr>
              <w:spacing w:after="0" w:line="240" w:lineRule="auto"/>
              <w:rPr>
                <w:rFonts w:eastAsia="Times New Roman" w:cs="Calibri"/>
                <w:noProof/>
                <w:color w:val="006100"/>
                <w:sz w:val="18"/>
                <w:szCs w:val="18"/>
              </w:rPr>
            </w:pPr>
            <w:r>
              <w:rPr>
                <w:noProof/>
                <w:color w:val="006100"/>
                <w:sz w:val="18"/>
              </w:rPr>
              <w:t>Uuel riiklikul vee- ja reoveeametil on töötajad ja ruumid.</w:t>
            </w:r>
          </w:p>
        </w:tc>
      </w:tr>
    </w:tbl>
    <w:p w14:paraId="5A2B090F" w14:textId="77777777" w:rsidR="00645BC7" w:rsidRPr="00AD4052" w:rsidRDefault="00645BC7" w:rsidP="00645BC7">
      <w:pPr>
        <w:spacing w:before="120" w:after="120" w:line="240" w:lineRule="auto"/>
        <w:ind w:left="709"/>
        <w:jc w:val="both"/>
        <w:rPr>
          <w:rFonts w:ascii="Times New Roman" w:hAnsi="Times New Roman" w:cs="Times New Roman"/>
          <w:noProof/>
          <w:sz w:val="24"/>
          <w:szCs w:val="24"/>
        </w:rPr>
      </w:pPr>
    </w:p>
    <w:p w14:paraId="40077332" w14:textId="77777777" w:rsidR="00645BC7" w:rsidRPr="00E02B5D" w:rsidRDefault="00645BC7"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5: Riiklik metsauuenduskava ja bioloogilise mitmekesisuse kaitse</w:t>
      </w:r>
    </w:p>
    <w:p w14:paraId="78DB0A78"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Sellesse rühma kuuluvad järgmised meetmed:</w:t>
      </w:r>
    </w:p>
    <w:p w14:paraId="062D9E79" w14:textId="7BDDD2AD" w:rsidR="00645BC7" w:rsidRPr="00E02B5D" w:rsidRDefault="00645BC7" w:rsidP="6C29E302">
      <w:pPr>
        <w:spacing w:before="120" w:after="120" w:line="240" w:lineRule="auto"/>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Riiklik taasmetsastamiskava, taastamine ja ennetamine (antiNERO), erosiooni- ja üleujutuste vastased meetmed (ID: 16849)</w:t>
      </w:r>
    </w:p>
    <w:p w14:paraId="1F254B9F"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 xml:space="preserve">Bioloogilise mitmekesisuse kaitse kui jätkusuutliku majanduskasvu liikumapanev jõud (ID: 16851) </w:t>
      </w:r>
    </w:p>
    <w:tbl>
      <w:tblPr>
        <w:tblW w:w="15304" w:type="dxa"/>
        <w:jc w:val="center"/>
        <w:tblLook w:val="04A0" w:firstRow="1" w:lastRow="0" w:firstColumn="1" w:lastColumn="0" w:noHBand="0" w:noVBand="1"/>
      </w:tblPr>
      <w:tblGrid>
        <w:gridCol w:w="1546"/>
        <w:gridCol w:w="1743"/>
        <w:gridCol w:w="929"/>
        <w:gridCol w:w="2087"/>
        <w:gridCol w:w="1869"/>
        <w:gridCol w:w="928"/>
        <w:gridCol w:w="928"/>
        <w:gridCol w:w="849"/>
        <w:gridCol w:w="832"/>
        <w:gridCol w:w="773"/>
        <w:gridCol w:w="2905"/>
      </w:tblGrid>
      <w:tr w:rsidR="007B4D63" w:rsidRPr="003B132A" w14:paraId="4D669FCE" w14:textId="77777777" w:rsidTr="009B1D27">
        <w:trPr>
          <w:trHeight w:val="328"/>
          <w:tblHeader/>
          <w:jc w:val="center"/>
        </w:trPr>
        <w:tc>
          <w:tcPr>
            <w:tcW w:w="106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74D2C70F" w14:textId="77777777" w:rsidR="00645BC7" w:rsidRPr="00015F96" w:rsidRDefault="00645BC7" w:rsidP="00015F96">
            <w:pPr>
              <w:spacing w:after="0" w:line="240" w:lineRule="auto"/>
              <w:jc w:val="center"/>
              <w:rPr>
                <w:rFonts w:ascii="Times New Roman" w:hAnsi="Times New Roman"/>
                <w:b/>
                <w:noProof/>
                <w:sz w:val="18"/>
              </w:rPr>
            </w:pPr>
            <w:r>
              <w:rPr>
                <w:rFonts w:ascii="Times New Roman" w:hAnsi="Times New Roman"/>
                <w:b/>
                <w:noProof/>
                <w:sz w:val="18"/>
              </w:rPr>
              <w:t>Järjekorranumber</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552B8269" w14:textId="77777777" w:rsidR="00645BC7" w:rsidRPr="00015F96" w:rsidRDefault="00645BC7" w:rsidP="00015F96">
            <w:pPr>
              <w:spacing w:after="0" w:line="240" w:lineRule="auto"/>
              <w:jc w:val="center"/>
              <w:rPr>
                <w:rFonts w:ascii="Times New Roman" w:hAnsi="Times New Roman"/>
                <w:b/>
                <w:noProof/>
                <w:sz w:val="18"/>
              </w:rPr>
            </w:pPr>
            <w:r>
              <w:rPr>
                <w:rFonts w:ascii="Times New Roman" w:hAnsi="Times New Roman"/>
                <w:b/>
                <w:noProof/>
                <w:sz w:val="18"/>
              </w:rPr>
              <w:t>Seotud meede (reform või investeering)</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0136C8A5" w14:textId="77777777" w:rsidR="00645BC7" w:rsidRPr="00015F96" w:rsidRDefault="00645BC7" w:rsidP="00015F96">
            <w:pPr>
              <w:spacing w:after="0" w:line="240" w:lineRule="auto"/>
              <w:jc w:val="center"/>
              <w:rPr>
                <w:rFonts w:ascii="Times New Roman" w:hAnsi="Times New Roman"/>
                <w:b/>
                <w:noProof/>
                <w:sz w:val="18"/>
              </w:rPr>
            </w:pPr>
            <w:r>
              <w:rPr>
                <w:rFonts w:ascii="Times New Roman" w:hAnsi="Times New Roman"/>
                <w:b/>
                <w:noProof/>
                <w:sz w:val="18"/>
              </w:rPr>
              <w:t>Eesmärk / siht</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DBC14E5" w14:textId="77777777" w:rsidR="00645BC7" w:rsidRPr="00015F96" w:rsidRDefault="00645BC7" w:rsidP="00015F96">
            <w:pPr>
              <w:spacing w:after="0" w:line="240" w:lineRule="auto"/>
              <w:jc w:val="center"/>
              <w:rPr>
                <w:rFonts w:ascii="Times New Roman" w:hAnsi="Times New Roman"/>
                <w:b/>
                <w:noProof/>
                <w:sz w:val="18"/>
              </w:rPr>
            </w:pPr>
            <w:r>
              <w:rPr>
                <w:rFonts w:ascii="Times New Roman" w:hAnsi="Times New Roman"/>
                <w:b/>
                <w:noProof/>
                <w:sz w:val="18"/>
              </w:rPr>
              <w:t>Nimi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37A5C74" w14:textId="77777777" w:rsidR="00645BC7" w:rsidRPr="00015F96" w:rsidRDefault="00645BC7" w:rsidP="00015F96">
            <w:pPr>
              <w:spacing w:after="0" w:line="240" w:lineRule="auto"/>
              <w:jc w:val="center"/>
              <w:rPr>
                <w:rFonts w:ascii="Times New Roman" w:hAnsi="Times New Roman"/>
                <w:b/>
                <w:noProof/>
                <w:sz w:val="18"/>
              </w:rPr>
            </w:pPr>
            <w:r>
              <w:rPr>
                <w:rFonts w:ascii="Times New Roman" w:hAnsi="Times New Roman"/>
                <w:b/>
                <w:noProof/>
                <w:sz w:val="18"/>
              </w:rPr>
              <w:t>Kvalitatiivsed näitajad (eesmärkide puhul)</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8398327" w14:textId="77777777" w:rsidR="00645BC7" w:rsidRPr="00015F96" w:rsidRDefault="00645BC7" w:rsidP="00015F96">
            <w:pPr>
              <w:spacing w:after="0" w:line="240" w:lineRule="auto"/>
              <w:jc w:val="center"/>
              <w:rPr>
                <w:rFonts w:ascii="Times New Roman" w:hAnsi="Times New Roman"/>
                <w:b/>
                <w:noProof/>
                <w:sz w:val="18"/>
              </w:rPr>
            </w:pPr>
            <w:r>
              <w:rPr>
                <w:rFonts w:ascii="Times New Roman" w:hAnsi="Times New Roman"/>
                <w:b/>
                <w:noProof/>
                <w:sz w:val="18"/>
              </w:rPr>
              <w:t>Kvantitatiivsed näitajad (sihtide puhul)</w:t>
            </w:r>
          </w:p>
        </w:tc>
        <w:tc>
          <w:tcPr>
            <w:tcW w:w="1711" w:type="dxa"/>
            <w:gridSpan w:val="2"/>
            <w:tcBorders>
              <w:top w:val="single" w:sz="4" w:space="0" w:color="auto"/>
              <w:left w:val="nil"/>
              <w:bottom w:val="single" w:sz="4" w:space="0" w:color="auto"/>
              <w:right w:val="single" w:sz="4" w:space="0" w:color="auto"/>
            </w:tcBorders>
            <w:shd w:val="clear" w:color="auto" w:fill="B8CCE4" w:themeFill="accent1" w:themeFillTint="66"/>
            <w:noWrap/>
          </w:tcPr>
          <w:p w14:paraId="4169496B" w14:textId="77777777" w:rsidR="00645BC7" w:rsidRPr="00015F96" w:rsidRDefault="00645BC7" w:rsidP="00015F96">
            <w:pPr>
              <w:spacing w:after="0" w:line="240" w:lineRule="auto"/>
              <w:jc w:val="center"/>
              <w:rPr>
                <w:rFonts w:ascii="Times New Roman" w:hAnsi="Times New Roman"/>
                <w:b/>
                <w:noProof/>
                <w:sz w:val="18"/>
              </w:rPr>
            </w:pPr>
            <w:r>
              <w:rPr>
                <w:rFonts w:ascii="Times New Roman" w:hAnsi="Times New Roman"/>
                <w:b/>
                <w:noProof/>
                <w:sz w:val="18"/>
              </w:rPr>
              <w:t>Lõpuleviimise soovituslik ajakava</w:t>
            </w:r>
          </w:p>
        </w:tc>
        <w:tc>
          <w:tcPr>
            <w:tcW w:w="3148" w:type="dxa"/>
            <w:vMerge w:val="restar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7F3272AF" w14:textId="77777777" w:rsidR="00645BC7" w:rsidRPr="00015F96" w:rsidRDefault="00645BC7" w:rsidP="00015F96">
            <w:pPr>
              <w:spacing w:after="0" w:line="240" w:lineRule="auto"/>
              <w:jc w:val="center"/>
              <w:rPr>
                <w:rFonts w:ascii="Times New Roman" w:hAnsi="Times New Roman"/>
                <w:b/>
                <w:noProof/>
                <w:sz w:val="18"/>
              </w:rPr>
            </w:pPr>
            <w:r>
              <w:rPr>
                <w:rFonts w:ascii="Times New Roman" w:hAnsi="Times New Roman"/>
                <w:b/>
                <w:noProof/>
                <w:sz w:val="18"/>
              </w:rPr>
              <w:t>Iga eesmärgi ja sihi kirjeldus</w:t>
            </w:r>
          </w:p>
        </w:tc>
      </w:tr>
      <w:tr w:rsidR="007B4D63" w:rsidRPr="00E02B5D" w14:paraId="3F9601F5" w14:textId="77777777" w:rsidTr="009B1D27">
        <w:trPr>
          <w:trHeight w:val="328"/>
          <w:tblHeader/>
          <w:jc w:val="center"/>
        </w:trPr>
        <w:tc>
          <w:tcPr>
            <w:tcW w:w="1062" w:type="dxa"/>
            <w:vMerge/>
            <w:tcBorders>
              <w:top w:val="single" w:sz="4" w:space="0" w:color="auto"/>
              <w:left w:val="single" w:sz="4" w:space="0" w:color="auto"/>
              <w:bottom w:val="single" w:sz="4" w:space="0" w:color="auto"/>
              <w:right w:val="single" w:sz="4" w:space="0" w:color="auto"/>
            </w:tcBorders>
            <w:noWrap/>
            <w:vAlign w:val="center"/>
          </w:tcPr>
          <w:p w14:paraId="750D81F7" w14:textId="77777777" w:rsidR="00645BC7" w:rsidRPr="00AD4052" w:rsidRDefault="00645BC7" w:rsidP="00542477">
            <w:pPr>
              <w:spacing w:after="0" w:line="240" w:lineRule="auto"/>
              <w:rPr>
                <w:rFonts w:ascii="Times New Roman" w:eastAsia="Times New Roman" w:hAnsi="Times New Roman" w:cs="Times New Roman"/>
                <w:b/>
                <w:bCs/>
                <w:noProof/>
                <w:sz w:val="18"/>
                <w:szCs w:val="18"/>
                <w:lang w:eastAsia="en-GB"/>
              </w:rPr>
            </w:pPr>
          </w:p>
        </w:tc>
        <w:tc>
          <w:tcPr>
            <w:tcW w:w="1881" w:type="dxa"/>
            <w:vMerge/>
            <w:tcBorders>
              <w:top w:val="single" w:sz="4" w:space="0" w:color="auto"/>
              <w:left w:val="single" w:sz="4" w:space="0" w:color="auto"/>
              <w:bottom w:val="single" w:sz="4" w:space="0" w:color="auto"/>
              <w:right w:val="single" w:sz="4" w:space="0" w:color="auto"/>
            </w:tcBorders>
            <w:noWrap/>
            <w:vAlign w:val="center"/>
          </w:tcPr>
          <w:p w14:paraId="223FE2A9" w14:textId="77777777" w:rsidR="00645BC7" w:rsidRPr="00AD4052" w:rsidRDefault="00645BC7" w:rsidP="00542477">
            <w:pPr>
              <w:spacing w:after="0" w:line="240" w:lineRule="auto"/>
              <w:rPr>
                <w:rFonts w:ascii="Times New Roman" w:eastAsia="Times New Roman" w:hAnsi="Times New Roman" w:cs="Times New Roman"/>
                <w:b/>
                <w:bCs/>
                <w:noProof/>
                <w:sz w:val="18"/>
                <w:szCs w:val="18"/>
                <w:lang w:eastAsia="en-GB"/>
              </w:rPr>
            </w:pPr>
          </w:p>
        </w:tc>
        <w:tc>
          <w:tcPr>
            <w:tcW w:w="993" w:type="dxa"/>
            <w:vMerge/>
            <w:tcBorders>
              <w:top w:val="single" w:sz="4" w:space="0" w:color="auto"/>
              <w:left w:val="single" w:sz="4" w:space="0" w:color="auto"/>
              <w:bottom w:val="single" w:sz="4" w:space="0" w:color="auto"/>
              <w:right w:val="single" w:sz="4" w:space="0" w:color="auto"/>
            </w:tcBorders>
            <w:noWrap/>
            <w:vAlign w:val="center"/>
          </w:tcPr>
          <w:p w14:paraId="07E71FAD" w14:textId="77777777" w:rsidR="00645BC7" w:rsidRPr="00AD4052" w:rsidRDefault="00645BC7" w:rsidP="00542477">
            <w:pPr>
              <w:spacing w:after="0" w:line="240" w:lineRule="auto"/>
              <w:rPr>
                <w:rFonts w:ascii="Times New Roman" w:eastAsia="Times New Roman" w:hAnsi="Times New Roman" w:cs="Times New Roman"/>
                <w:b/>
                <w:bCs/>
                <w:noProof/>
                <w:sz w:val="18"/>
                <w:szCs w:val="18"/>
                <w:lang w:eastAsia="en-GB"/>
              </w:rPr>
            </w:pPr>
          </w:p>
        </w:tc>
        <w:tc>
          <w:tcPr>
            <w:tcW w:w="2256" w:type="dxa"/>
            <w:vMerge/>
            <w:tcBorders>
              <w:top w:val="single" w:sz="4" w:space="0" w:color="auto"/>
              <w:left w:val="single" w:sz="4" w:space="0" w:color="auto"/>
              <w:bottom w:val="single" w:sz="4" w:space="0" w:color="auto"/>
              <w:right w:val="single" w:sz="4" w:space="0" w:color="auto"/>
            </w:tcBorders>
            <w:noWrap/>
            <w:vAlign w:val="center"/>
          </w:tcPr>
          <w:p w14:paraId="48B6DEC1" w14:textId="77777777" w:rsidR="00645BC7" w:rsidRPr="00AD4052" w:rsidRDefault="00645BC7" w:rsidP="00542477">
            <w:pPr>
              <w:spacing w:after="0" w:line="240" w:lineRule="auto"/>
              <w:rPr>
                <w:rFonts w:ascii="Times New Roman" w:eastAsia="Times New Roman" w:hAnsi="Times New Roman" w:cs="Times New Roman"/>
                <w:b/>
                <w:bCs/>
                <w:noProof/>
                <w:sz w:val="18"/>
                <w:szCs w:val="18"/>
                <w:lang w:eastAsia="en-GB"/>
              </w:rPr>
            </w:pPr>
          </w:p>
        </w:tc>
        <w:tc>
          <w:tcPr>
            <w:tcW w:w="1560" w:type="dxa"/>
            <w:vMerge/>
            <w:tcBorders>
              <w:top w:val="single" w:sz="4" w:space="0" w:color="auto"/>
              <w:left w:val="single" w:sz="4" w:space="0" w:color="auto"/>
              <w:bottom w:val="single" w:sz="4" w:space="0" w:color="auto"/>
              <w:right w:val="single" w:sz="4" w:space="0" w:color="auto"/>
            </w:tcBorders>
            <w:noWrap/>
            <w:vAlign w:val="center"/>
          </w:tcPr>
          <w:p w14:paraId="2A8C60B7" w14:textId="77777777" w:rsidR="00645BC7" w:rsidRPr="00AD4052" w:rsidRDefault="00645BC7" w:rsidP="00542477">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666714B6" w14:textId="77777777" w:rsidR="00645BC7" w:rsidRPr="00E02B5D" w:rsidRDefault="00645BC7" w:rsidP="00542477">
            <w:pPr>
              <w:spacing w:after="0" w:line="240" w:lineRule="auto"/>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92" w:type="dxa"/>
            <w:tcBorders>
              <w:left w:val="nil"/>
              <w:bottom w:val="single" w:sz="4" w:space="0" w:color="auto"/>
              <w:right w:val="single" w:sz="4" w:space="0" w:color="auto"/>
            </w:tcBorders>
            <w:shd w:val="clear" w:color="auto" w:fill="B8CCE4" w:themeFill="accent1" w:themeFillTint="66"/>
            <w:vAlign w:val="center"/>
          </w:tcPr>
          <w:p w14:paraId="1B9267DB" w14:textId="77777777" w:rsidR="00645BC7" w:rsidRPr="00E02B5D" w:rsidRDefault="00645BC7" w:rsidP="00542477">
            <w:pPr>
              <w:spacing w:after="0" w:line="240" w:lineRule="auto"/>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709"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5AA6F8F3" w14:textId="77777777" w:rsidR="00645BC7" w:rsidRPr="00E02B5D" w:rsidRDefault="00645BC7" w:rsidP="00542477">
            <w:pPr>
              <w:spacing w:after="0" w:line="240" w:lineRule="auto"/>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88"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52A96B8D"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823"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488FE1EE" w14:textId="77777777" w:rsidR="00645BC7" w:rsidRPr="00E02B5D" w:rsidRDefault="00645BC7" w:rsidP="0054247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148" w:type="dxa"/>
            <w:vMerge/>
            <w:tcBorders>
              <w:top w:val="single" w:sz="4" w:space="0" w:color="auto"/>
              <w:bottom w:val="single" w:sz="4" w:space="0" w:color="auto"/>
              <w:right w:val="single" w:sz="4" w:space="0" w:color="auto"/>
            </w:tcBorders>
            <w:noWrap/>
            <w:vAlign w:val="center"/>
          </w:tcPr>
          <w:p w14:paraId="52DB3BE8" w14:textId="77777777" w:rsidR="00645BC7" w:rsidRPr="00E02B5D" w:rsidRDefault="00645BC7" w:rsidP="00542477">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65792085" w14:textId="77777777" w:rsidTr="009B1D27">
        <w:trPr>
          <w:trHeight w:val="313"/>
          <w:tblHeader/>
          <w:jc w:val="center"/>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14:paraId="78D5E333"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61</w:t>
            </w:r>
          </w:p>
        </w:tc>
        <w:tc>
          <w:tcPr>
            <w:tcW w:w="1881" w:type="dxa"/>
            <w:tcBorders>
              <w:top w:val="single" w:sz="4" w:space="0" w:color="auto"/>
              <w:left w:val="nil"/>
              <w:bottom w:val="single" w:sz="4" w:space="0" w:color="auto"/>
              <w:right w:val="single" w:sz="4" w:space="0" w:color="auto"/>
            </w:tcBorders>
            <w:shd w:val="clear" w:color="auto" w:fill="C6EFCE"/>
            <w:noWrap/>
          </w:tcPr>
          <w:p w14:paraId="407A1B81"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4-1.4. Ressursside säästev kasutamine, vastupanuvõime kliimamuutustele ja keskkonnakaitse – 16849_Riiklik taasmetsastamiskava, taastamine ja ennetamine (antiNERO), erosiooni- ja üleujutuste vastased meetmed</w:t>
            </w:r>
          </w:p>
        </w:tc>
        <w:tc>
          <w:tcPr>
            <w:tcW w:w="993" w:type="dxa"/>
            <w:tcBorders>
              <w:top w:val="single" w:sz="4" w:space="0" w:color="auto"/>
              <w:left w:val="nil"/>
              <w:bottom w:val="single" w:sz="4" w:space="0" w:color="auto"/>
              <w:right w:val="single" w:sz="4" w:space="0" w:color="auto"/>
            </w:tcBorders>
            <w:shd w:val="clear" w:color="auto" w:fill="C6EFCE"/>
            <w:noWrap/>
          </w:tcPr>
          <w:p w14:paraId="277E06FF"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Eesmärk</w:t>
            </w:r>
          </w:p>
        </w:tc>
        <w:tc>
          <w:tcPr>
            <w:tcW w:w="2256" w:type="dxa"/>
            <w:tcBorders>
              <w:top w:val="single" w:sz="4" w:space="0" w:color="auto"/>
              <w:left w:val="nil"/>
              <w:bottom w:val="single" w:sz="4" w:space="0" w:color="auto"/>
              <w:right w:val="single" w:sz="4" w:space="0" w:color="auto"/>
            </w:tcBorders>
            <w:shd w:val="clear" w:color="auto" w:fill="C6EFCE"/>
            <w:noWrap/>
          </w:tcPr>
          <w:p w14:paraId="28DF2407" w14:textId="77777777" w:rsidR="00645BC7" w:rsidRPr="00E02B5D" w:rsidRDefault="4976ECFC" w:rsidP="00542477">
            <w:pPr>
              <w:spacing w:after="0" w:line="240" w:lineRule="auto"/>
              <w:rPr>
                <w:rFonts w:eastAsia="Times New Roman" w:cs="Calibri"/>
                <w:noProof/>
                <w:color w:val="006100"/>
                <w:sz w:val="18"/>
                <w:szCs w:val="18"/>
              </w:rPr>
            </w:pPr>
            <w:r>
              <w:rPr>
                <w:noProof/>
                <w:color w:val="006100"/>
                <w:sz w:val="18"/>
              </w:rPr>
              <w:t>Taasmetsastamine, taastamine ja ennetamine – lepingud 1</w:t>
            </w:r>
          </w:p>
        </w:tc>
        <w:tc>
          <w:tcPr>
            <w:tcW w:w="1560" w:type="dxa"/>
            <w:tcBorders>
              <w:top w:val="single" w:sz="4" w:space="0" w:color="auto"/>
              <w:left w:val="nil"/>
              <w:bottom w:val="single" w:sz="4" w:space="0" w:color="auto"/>
              <w:right w:val="single" w:sz="4" w:space="0" w:color="auto"/>
            </w:tcBorders>
            <w:shd w:val="clear" w:color="auto" w:fill="C6EFCE"/>
            <w:noWrap/>
          </w:tcPr>
          <w:p w14:paraId="1375EDA6"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Lepingute sõlmimisest teatamine</w:t>
            </w:r>
          </w:p>
        </w:tc>
        <w:tc>
          <w:tcPr>
            <w:tcW w:w="992" w:type="dxa"/>
            <w:tcBorders>
              <w:top w:val="single" w:sz="4" w:space="0" w:color="auto"/>
              <w:left w:val="nil"/>
              <w:bottom w:val="single" w:sz="4" w:space="0" w:color="auto"/>
              <w:right w:val="single" w:sz="4" w:space="0" w:color="auto"/>
            </w:tcBorders>
            <w:shd w:val="clear" w:color="auto" w:fill="C6EFCE"/>
            <w:noWrap/>
          </w:tcPr>
          <w:p w14:paraId="2E2AA943" w14:textId="77777777" w:rsidR="00645BC7" w:rsidRPr="00E02B5D" w:rsidRDefault="00645BC7" w:rsidP="00542477">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35AC2C68" w14:textId="77777777" w:rsidR="00645BC7" w:rsidRPr="00E02B5D" w:rsidRDefault="00645BC7" w:rsidP="00542477">
            <w:pPr>
              <w:spacing w:after="0" w:line="240" w:lineRule="auto"/>
              <w:rPr>
                <w:rFonts w:eastAsia="Times New Roman" w:cs="Calibri"/>
                <w:noProof/>
                <w:color w:val="006100"/>
                <w:sz w:val="18"/>
                <w:szCs w:val="18"/>
                <w:lang w:val="en-GB" w:eastAsia="en-GB"/>
              </w:rPr>
            </w:pPr>
          </w:p>
        </w:tc>
        <w:tc>
          <w:tcPr>
            <w:tcW w:w="709" w:type="dxa"/>
            <w:tcBorders>
              <w:top w:val="single" w:sz="4" w:space="0" w:color="auto"/>
              <w:left w:val="nil"/>
              <w:bottom w:val="single" w:sz="4" w:space="0" w:color="auto"/>
              <w:right w:val="single" w:sz="4" w:space="0" w:color="auto"/>
            </w:tcBorders>
            <w:shd w:val="clear" w:color="auto" w:fill="C6EFCE"/>
            <w:noWrap/>
          </w:tcPr>
          <w:p w14:paraId="29306D0C" w14:textId="77777777" w:rsidR="00645BC7" w:rsidRPr="00E02B5D" w:rsidRDefault="00645BC7" w:rsidP="00542477">
            <w:pPr>
              <w:spacing w:after="0" w:line="240" w:lineRule="auto"/>
              <w:rPr>
                <w:rFonts w:eastAsia="Times New Roman" w:cs="Calibri"/>
                <w:noProof/>
                <w:color w:val="006100"/>
                <w:sz w:val="18"/>
                <w:szCs w:val="18"/>
                <w:lang w:val="en-GB" w:eastAsia="en-GB"/>
              </w:rPr>
            </w:pPr>
          </w:p>
        </w:tc>
        <w:tc>
          <w:tcPr>
            <w:tcW w:w="888" w:type="dxa"/>
            <w:tcBorders>
              <w:top w:val="single" w:sz="4" w:space="0" w:color="auto"/>
              <w:left w:val="nil"/>
              <w:bottom w:val="single" w:sz="4" w:space="0" w:color="auto"/>
              <w:right w:val="single" w:sz="4" w:space="0" w:color="auto"/>
            </w:tcBorders>
            <w:shd w:val="clear" w:color="auto" w:fill="C6EFCE"/>
            <w:noWrap/>
          </w:tcPr>
          <w:p w14:paraId="41D421FA"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2. kv</w:t>
            </w:r>
          </w:p>
        </w:tc>
        <w:tc>
          <w:tcPr>
            <w:tcW w:w="823" w:type="dxa"/>
            <w:tcBorders>
              <w:top w:val="single" w:sz="4" w:space="0" w:color="auto"/>
              <w:left w:val="nil"/>
              <w:bottom w:val="single" w:sz="4" w:space="0" w:color="auto"/>
              <w:right w:val="single" w:sz="4" w:space="0" w:color="auto"/>
            </w:tcBorders>
            <w:shd w:val="clear" w:color="auto" w:fill="C6EFCE"/>
            <w:noWrap/>
          </w:tcPr>
          <w:p w14:paraId="02284BA4" w14:textId="77777777" w:rsidR="00645BC7" w:rsidRPr="00E02B5D" w:rsidRDefault="00645BC7" w:rsidP="00542477">
            <w:pPr>
              <w:spacing w:after="0" w:line="240" w:lineRule="auto"/>
              <w:rPr>
                <w:rFonts w:eastAsia="Times New Roman" w:cs="Calibri"/>
                <w:noProof/>
                <w:color w:val="006100"/>
                <w:sz w:val="18"/>
                <w:szCs w:val="18"/>
              </w:rPr>
            </w:pPr>
            <w:r>
              <w:rPr>
                <w:noProof/>
                <w:color w:val="006100"/>
                <w:sz w:val="18"/>
              </w:rPr>
              <w:t>2023</w:t>
            </w:r>
          </w:p>
        </w:tc>
        <w:tc>
          <w:tcPr>
            <w:tcW w:w="3148" w:type="dxa"/>
            <w:tcBorders>
              <w:top w:val="single" w:sz="4" w:space="0" w:color="auto"/>
              <w:left w:val="nil"/>
              <w:bottom w:val="single" w:sz="4" w:space="0" w:color="auto"/>
              <w:right w:val="single" w:sz="4" w:space="0" w:color="auto"/>
            </w:tcBorders>
            <w:shd w:val="clear" w:color="auto" w:fill="C6EFCE"/>
            <w:noWrap/>
          </w:tcPr>
          <w:p w14:paraId="5EEA818E" w14:textId="55509D59" w:rsidR="00645BC7" w:rsidRPr="00E02B5D" w:rsidRDefault="5E8BA401" w:rsidP="00542477">
            <w:pPr>
              <w:spacing w:after="0" w:line="240" w:lineRule="auto"/>
              <w:rPr>
                <w:rFonts w:eastAsia="Times New Roman" w:cs="Calibri"/>
                <w:noProof/>
                <w:color w:val="006100"/>
                <w:sz w:val="18"/>
                <w:szCs w:val="18"/>
              </w:rPr>
            </w:pPr>
            <w:r>
              <w:rPr>
                <w:noProof/>
                <w:color w:val="006100"/>
                <w:sz w:val="18"/>
              </w:rPr>
              <w:t xml:space="preserve">Teade kõigi lepingute sõlmimise kohta Antinero I ja II programmi raames, mille eesmärk on ajakohastada 37 500 hektarit kahjustatud metsaökosüsteeme, sealhulgas metsa ja metsamaa raiet ning hooldada metsateede võrgustikku ja olemasolevaid tulekahjupiirkondi. </w:t>
            </w:r>
          </w:p>
        </w:tc>
      </w:tr>
      <w:tr w:rsidR="009B1D27" w:rsidRPr="003B132A" w14:paraId="6D0994C5" w14:textId="77777777" w:rsidTr="009B1D27">
        <w:trPr>
          <w:trHeight w:val="313"/>
          <w:tblHeader/>
          <w:jc w:val="center"/>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14:paraId="5E4DC2A7" w14:textId="2C4C56CB" w:rsidR="009B1D27" w:rsidRPr="00E02B5D" w:rsidRDefault="009B1D27" w:rsidP="009B1D27">
            <w:pPr>
              <w:spacing w:after="0" w:line="240" w:lineRule="auto"/>
              <w:rPr>
                <w:noProof/>
                <w:color w:val="006100"/>
                <w:sz w:val="18"/>
              </w:rPr>
            </w:pPr>
            <w:r>
              <w:rPr>
                <w:noProof/>
                <w:color w:val="006100"/>
                <w:sz w:val="18"/>
              </w:rPr>
              <w:t>62</w:t>
            </w:r>
          </w:p>
        </w:tc>
        <w:tc>
          <w:tcPr>
            <w:tcW w:w="1881" w:type="dxa"/>
            <w:tcBorders>
              <w:top w:val="single" w:sz="4" w:space="0" w:color="auto"/>
              <w:left w:val="nil"/>
              <w:bottom w:val="single" w:sz="4" w:space="0" w:color="auto"/>
              <w:right w:val="single" w:sz="4" w:space="0" w:color="auto"/>
            </w:tcBorders>
            <w:shd w:val="clear" w:color="auto" w:fill="C6EFCE"/>
            <w:noWrap/>
          </w:tcPr>
          <w:p w14:paraId="07AA6D7C" w14:textId="77777777" w:rsidR="009B1D27" w:rsidRDefault="009B1D27" w:rsidP="009B1D27">
            <w:pPr>
              <w:spacing w:after="0" w:line="240" w:lineRule="auto"/>
              <w:rPr>
                <w:noProof/>
                <w:color w:val="006100"/>
                <w:sz w:val="18"/>
              </w:rPr>
            </w:pPr>
            <w:r>
              <w:rPr>
                <w:noProof/>
                <w:color w:val="006100"/>
                <w:sz w:val="18"/>
              </w:rPr>
              <w:t>4-1.4. Ressursside säästev kasutamine, vastupanuvõime kliimamuutustele ja keskkonnakaitse – 16849_Riiklik taasmetsastamiskava, taastamine ja ennetamine (antiNERO), erosiooni- ja üleujutuste vastased meetmed</w:t>
            </w:r>
          </w:p>
          <w:p w14:paraId="06685455" w14:textId="77777777" w:rsidR="009B1D27" w:rsidRPr="00AD4052" w:rsidRDefault="009B1D27" w:rsidP="009B1D27">
            <w:pPr>
              <w:rPr>
                <w:noProof/>
                <w:sz w:val="18"/>
              </w:rPr>
            </w:pPr>
          </w:p>
          <w:p w14:paraId="683161FF" w14:textId="77777777" w:rsidR="009B1D27" w:rsidRPr="00AD4052" w:rsidRDefault="009B1D27" w:rsidP="009B1D27">
            <w:pPr>
              <w:spacing w:after="0" w:line="240" w:lineRule="auto"/>
              <w:rPr>
                <w:noProof/>
                <w:color w:val="006100"/>
                <w:sz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498971F7" w14:textId="6B77FE65" w:rsidR="009B1D27" w:rsidRPr="00E02B5D" w:rsidRDefault="009B1D27" w:rsidP="009B1D27">
            <w:pPr>
              <w:spacing w:after="0" w:line="240" w:lineRule="auto"/>
              <w:rPr>
                <w:noProof/>
                <w:color w:val="006100"/>
                <w:sz w:val="18"/>
              </w:rPr>
            </w:pPr>
            <w:r>
              <w:rPr>
                <w:noProof/>
                <w:color w:val="006100"/>
                <w:sz w:val="18"/>
              </w:rPr>
              <w:t>Eesmärk</w:t>
            </w:r>
          </w:p>
        </w:tc>
        <w:tc>
          <w:tcPr>
            <w:tcW w:w="2256" w:type="dxa"/>
            <w:tcBorders>
              <w:top w:val="single" w:sz="4" w:space="0" w:color="auto"/>
              <w:left w:val="nil"/>
              <w:bottom w:val="single" w:sz="4" w:space="0" w:color="auto"/>
              <w:right w:val="single" w:sz="4" w:space="0" w:color="auto"/>
            </w:tcBorders>
            <w:shd w:val="clear" w:color="auto" w:fill="C6EFCE"/>
            <w:noWrap/>
          </w:tcPr>
          <w:p w14:paraId="38E5F403" w14:textId="75674766" w:rsidR="009B1D27" w:rsidRPr="00E02B5D" w:rsidRDefault="009B1D27" w:rsidP="009B1D27">
            <w:pPr>
              <w:spacing w:after="0" w:line="240" w:lineRule="auto"/>
              <w:rPr>
                <w:noProof/>
                <w:color w:val="006100"/>
                <w:sz w:val="18"/>
              </w:rPr>
            </w:pPr>
            <w:r>
              <w:rPr>
                <w:noProof/>
                <w:color w:val="006100"/>
                <w:sz w:val="18"/>
              </w:rPr>
              <w:t>Taasmetsastamine, taastamine ja ennetamine – lepingud 2</w:t>
            </w:r>
          </w:p>
        </w:tc>
        <w:tc>
          <w:tcPr>
            <w:tcW w:w="1560" w:type="dxa"/>
            <w:tcBorders>
              <w:top w:val="single" w:sz="4" w:space="0" w:color="auto"/>
              <w:left w:val="nil"/>
              <w:bottom w:val="single" w:sz="4" w:space="0" w:color="auto"/>
              <w:right w:val="single" w:sz="4" w:space="0" w:color="auto"/>
            </w:tcBorders>
            <w:shd w:val="clear" w:color="auto" w:fill="C6EFCE"/>
            <w:noWrap/>
          </w:tcPr>
          <w:p w14:paraId="68CEE46A" w14:textId="162B04AD" w:rsidR="009B1D27" w:rsidRPr="00E02B5D" w:rsidRDefault="009B1D27" w:rsidP="009B1D27">
            <w:pPr>
              <w:spacing w:after="0" w:line="240" w:lineRule="auto"/>
              <w:rPr>
                <w:noProof/>
                <w:color w:val="006100"/>
                <w:sz w:val="18"/>
              </w:rPr>
            </w:pPr>
            <w:r>
              <w:rPr>
                <w:noProof/>
                <w:color w:val="006100"/>
                <w:sz w:val="18"/>
              </w:rPr>
              <w:t>Lepingute sõlmimisest teatamine</w:t>
            </w:r>
          </w:p>
        </w:tc>
        <w:tc>
          <w:tcPr>
            <w:tcW w:w="992" w:type="dxa"/>
            <w:tcBorders>
              <w:top w:val="single" w:sz="4" w:space="0" w:color="auto"/>
              <w:left w:val="nil"/>
              <w:bottom w:val="single" w:sz="4" w:space="0" w:color="auto"/>
              <w:right w:val="single" w:sz="4" w:space="0" w:color="auto"/>
            </w:tcBorders>
            <w:shd w:val="clear" w:color="auto" w:fill="C6EFCE"/>
            <w:noWrap/>
          </w:tcPr>
          <w:p w14:paraId="641DA1BA" w14:textId="77777777" w:rsidR="009B1D27" w:rsidRPr="00E02B5D" w:rsidRDefault="009B1D27" w:rsidP="009B1D27">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5FD25A00" w14:textId="77777777" w:rsidR="009B1D27" w:rsidRPr="00E02B5D" w:rsidRDefault="009B1D27" w:rsidP="009B1D27">
            <w:pPr>
              <w:spacing w:after="0" w:line="240" w:lineRule="auto"/>
              <w:rPr>
                <w:rFonts w:eastAsia="Times New Roman" w:cs="Calibri"/>
                <w:noProof/>
                <w:color w:val="006100"/>
                <w:sz w:val="18"/>
                <w:szCs w:val="18"/>
                <w:lang w:val="en-GB" w:eastAsia="en-GB"/>
              </w:rPr>
            </w:pPr>
          </w:p>
        </w:tc>
        <w:tc>
          <w:tcPr>
            <w:tcW w:w="709" w:type="dxa"/>
            <w:tcBorders>
              <w:top w:val="single" w:sz="4" w:space="0" w:color="auto"/>
              <w:left w:val="nil"/>
              <w:bottom w:val="single" w:sz="4" w:space="0" w:color="auto"/>
              <w:right w:val="single" w:sz="4" w:space="0" w:color="auto"/>
            </w:tcBorders>
            <w:shd w:val="clear" w:color="auto" w:fill="C6EFCE"/>
            <w:noWrap/>
          </w:tcPr>
          <w:p w14:paraId="23D38E63" w14:textId="77777777" w:rsidR="009B1D27" w:rsidRPr="00E02B5D" w:rsidRDefault="009B1D27" w:rsidP="009B1D27">
            <w:pPr>
              <w:spacing w:after="0" w:line="240" w:lineRule="auto"/>
              <w:rPr>
                <w:rFonts w:eastAsia="Times New Roman" w:cs="Calibri"/>
                <w:noProof/>
                <w:color w:val="006100"/>
                <w:sz w:val="18"/>
                <w:szCs w:val="18"/>
                <w:lang w:val="en-GB" w:eastAsia="en-GB"/>
              </w:rPr>
            </w:pPr>
          </w:p>
        </w:tc>
        <w:tc>
          <w:tcPr>
            <w:tcW w:w="888" w:type="dxa"/>
            <w:tcBorders>
              <w:top w:val="single" w:sz="4" w:space="0" w:color="auto"/>
              <w:left w:val="nil"/>
              <w:bottom w:val="single" w:sz="4" w:space="0" w:color="auto"/>
              <w:right w:val="single" w:sz="4" w:space="0" w:color="auto"/>
            </w:tcBorders>
            <w:shd w:val="clear" w:color="auto" w:fill="C6EFCE"/>
            <w:noWrap/>
          </w:tcPr>
          <w:p w14:paraId="060A4462" w14:textId="0B5F14A0" w:rsidR="009B1D27" w:rsidRPr="00E02B5D" w:rsidRDefault="009B1D27" w:rsidP="009B1D27">
            <w:pPr>
              <w:spacing w:after="0" w:line="240" w:lineRule="auto"/>
              <w:rPr>
                <w:noProof/>
                <w:color w:val="006100"/>
                <w:sz w:val="18"/>
              </w:rPr>
            </w:pPr>
            <w:r>
              <w:rPr>
                <w:noProof/>
                <w:color w:val="006100"/>
                <w:sz w:val="18"/>
              </w:rPr>
              <w:t>4. kv</w:t>
            </w:r>
          </w:p>
        </w:tc>
        <w:tc>
          <w:tcPr>
            <w:tcW w:w="823" w:type="dxa"/>
            <w:tcBorders>
              <w:top w:val="single" w:sz="4" w:space="0" w:color="auto"/>
              <w:left w:val="nil"/>
              <w:bottom w:val="single" w:sz="4" w:space="0" w:color="auto"/>
              <w:right w:val="single" w:sz="4" w:space="0" w:color="auto"/>
            </w:tcBorders>
            <w:shd w:val="clear" w:color="auto" w:fill="C6EFCE"/>
            <w:noWrap/>
          </w:tcPr>
          <w:p w14:paraId="52EE23F7" w14:textId="59A7054E" w:rsidR="009B1D27" w:rsidRPr="00E02B5D" w:rsidRDefault="009B1D27" w:rsidP="009B1D27">
            <w:pPr>
              <w:spacing w:after="0" w:line="240" w:lineRule="auto"/>
              <w:rPr>
                <w:noProof/>
                <w:color w:val="006100"/>
                <w:sz w:val="18"/>
              </w:rPr>
            </w:pPr>
            <w:r>
              <w:rPr>
                <w:noProof/>
                <w:color w:val="006100"/>
                <w:sz w:val="18"/>
              </w:rPr>
              <w:t>2023</w:t>
            </w:r>
          </w:p>
        </w:tc>
        <w:tc>
          <w:tcPr>
            <w:tcW w:w="3148" w:type="dxa"/>
            <w:tcBorders>
              <w:top w:val="single" w:sz="4" w:space="0" w:color="auto"/>
              <w:left w:val="nil"/>
              <w:bottom w:val="single" w:sz="4" w:space="0" w:color="auto"/>
              <w:right w:val="single" w:sz="4" w:space="0" w:color="auto"/>
            </w:tcBorders>
            <w:shd w:val="clear" w:color="auto" w:fill="C6EFCE"/>
            <w:noWrap/>
          </w:tcPr>
          <w:p w14:paraId="7783709A" w14:textId="77777777" w:rsidR="009B1D27" w:rsidRPr="00E02B5D" w:rsidRDefault="009B1D27" w:rsidP="009B1D27">
            <w:pPr>
              <w:spacing w:after="0" w:line="240" w:lineRule="auto"/>
              <w:rPr>
                <w:rFonts w:eastAsia="Times New Roman" w:cs="Calibri"/>
                <w:noProof/>
                <w:color w:val="006100"/>
                <w:sz w:val="18"/>
                <w:szCs w:val="18"/>
              </w:rPr>
            </w:pPr>
            <w:r>
              <w:rPr>
                <w:noProof/>
                <w:color w:val="006100"/>
                <w:sz w:val="18"/>
              </w:rPr>
              <w:t xml:space="preserve"> Teade kõigi lepingute sõlmimise kohta:</w:t>
            </w:r>
          </w:p>
          <w:p w14:paraId="0883BA09" w14:textId="77777777" w:rsidR="009B1D27" w:rsidRPr="00E02B5D" w:rsidRDefault="009B1D27" w:rsidP="009B1D27">
            <w:pPr>
              <w:spacing w:after="0" w:line="240" w:lineRule="auto"/>
              <w:rPr>
                <w:rFonts w:eastAsia="Times New Roman" w:cs="Calibri"/>
                <w:noProof/>
                <w:color w:val="006100"/>
                <w:sz w:val="18"/>
                <w:szCs w:val="18"/>
              </w:rPr>
            </w:pPr>
            <w:r>
              <w:rPr>
                <w:noProof/>
                <w:color w:val="006100"/>
                <w:sz w:val="18"/>
              </w:rPr>
              <w:t>1. 5 700 ha kahjustatud metsaökosüsteemide taastamine Kreekas istutamise teel, kasutades vähemalt 50 % kohalikest liikidest; ning</w:t>
            </w:r>
          </w:p>
          <w:p w14:paraId="4084A8F0" w14:textId="77777777" w:rsidR="009B1D27" w:rsidRPr="00E02B5D" w:rsidRDefault="009B1D27" w:rsidP="009B1D27">
            <w:pPr>
              <w:spacing w:after="0" w:line="240" w:lineRule="auto"/>
              <w:rPr>
                <w:rFonts w:eastAsia="Times New Roman" w:cs="Calibri"/>
                <w:noProof/>
                <w:color w:val="006100"/>
                <w:sz w:val="18"/>
                <w:szCs w:val="18"/>
              </w:rPr>
            </w:pPr>
            <w:r>
              <w:rPr>
                <w:noProof/>
                <w:color w:val="006100"/>
                <w:sz w:val="18"/>
              </w:rPr>
              <w:t>2. Nelja metsapuukooli ajakohastamine ja ajakohastamine; ning</w:t>
            </w:r>
          </w:p>
          <w:p w14:paraId="3C51C579" w14:textId="77777777" w:rsidR="009B1D27" w:rsidRPr="00E02B5D" w:rsidRDefault="009B1D27" w:rsidP="009B1D27">
            <w:pPr>
              <w:spacing w:after="0" w:line="240" w:lineRule="auto"/>
              <w:rPr>
                <w:rFonts w:eastAsia="Times New Roman" w:cs="Calibri"/>
                <w:noProof/>
                <w:color w:val="006100"/>
                <w:sz w:val="18"/>
                <w:szCs w:val="18"/>
              </w:rPr>
            </w:pPr>
            <w:r>
              <w:rPr>
                <w:noProof/>
                <w:color w:val="006100"/>
                <w:sz w:val="18"/>
              </w:rPr>
              <w:t xml:space="preserve">3. Riikliku taasmetsastamiskava katseline rakendamine; ning </w:t>
            </w:r>
          </w:p>
          <w:p w14:paraId="14E695B2" w14:textId="281174F8" w:rsidR="009B1D27" w:rsidRPr="00E02B5D" w:rsidRDefault="009B1D27" w:rsidP="009B1D27">
            <w:pPr>
              <w:spacing w:after="0" w:line="240" w:lineRule="auto"/>
              <w:rPr>
                <w:noProof/>
                <w:color w:val="006100"/>
                <w:sz w:val="18"/>
              </w:rPr>
            </w:pPr>
            <w:r>
              <w:rPr>
                <w:noProof/>
                <w:color w:val="006100"/>
                <w:sz w:val="18"/>
              </w:rPr>
              <w:t xml:space="preserve">4. Erosiooni- ja üleujutusvastased meetmed Evroses ja Rhodopesis hõlmavad kokku 5 000 hektarit erosioonivastaseid töid ja 175 000 m² üleujutuste eest kaitsvaid töid. </w:t>
            </w:r>
          </w:p>
        </w:tc>
      </w:tr>
      <w:tr w:rsidR="009B1D27" w:rsidRPr="003B132A" w14:paraId="67760DFB" w14:textId="77777777" w:rsidTr="009B1D27">
        <w:trPr>
          <w:trHeight w:val="313"/>
          <w:tblHeader/>
          <w:jc w:val="center"/>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14:paraId="45E3EB0E" w14:textId="2C6CF1B6" w:rsidR="009B1D27" w:rsidRPr="00E02B5D" w:rsidRDefault="009B1D27" w:rsidP="009B1D27">
            <w:pPr>
              <w:spacing w:after="0" w:line="240" w:lineRule="auto"/>
              <w:rPr>
                <w:noProof/>
                <w:color w:val="006100"/>
                <w:sz w:val="18"/>
              </w:rPr>
            </w:pPr>
            <w:r>
              <w:rPr>
                <w:noProof/>
                <w:color w:val="006100"/>
                <w:sz w:val="18"/>
              </w:rPr>
              <w:t>63</w:t>
            </w:r>
          </w:p>
        </w:tc>
        <w:tc>
          <w:tcPr>
            <w:tcW w:w="1881" w:type="dxa"/>
            <w:tcBorders>
              <w:top w:val="single" w:sz="4" w:space="0" w:color="auto"/>
              <w:left w:val="nil"/>
              <w:bottom w:val="single" w:sz="4" w:space="0" w:color="auto"/>
              <w:right w:val="single" w:sz="4" w:space="0" w:color="auto"/>
            </w:tcBorders>
            <w:shd w:val="clear" w:color="auto" w:fill="C6EFCE"/>
            <w:noWrap/>
          </w:tcPr>
          <w:p w14:paraId="53BD5D63" w14:textId="6A819C8B" w:rsidR="009B1D27" w:rsidRPr="00E02B5D" w:rsidRDefault="009B1D27" w:rsidP="009B1D27">
            <w:pPr>
              <w:spacing w:after="0" w:line="240" w:lineRule="auto"/>
              <w:rPr>
                <w:noProof/>
                <w:color w:val="006100"/>
                <w:sz w:val="18"/>
              </w:rPr>
            </w:pPr>
            <w:r>
              <w:rPr>
                <w:noProof/>
                <w:color w:val="006100"/>
                <w:sz w:val="18"/>
              </w:rPr>
              <w:t>4-1.4. Ressursside säästev kasutamine, vastupanuvõime kliimamuutustele ja keskkonnakaitse – 16849_Riiklik taasmetsastamiskava, taastamine ja ennetamine (antiNERO), erosiooni- ja üleujutuste vastased meetmed</w:t>
            </w:r>
          </w:p>
        </w:tc>
        <w:tc>
          <w:tcPr>
            <w:tcW w:w="993" w:type="dxa"/>
            <w:tcBorders>
              <w:top w:val="single" w:sz="4" w:space="0" w:color="auto"/>
              <w:left w:val="nil"/>
              <w:bottom w:val="single" w:sz="4" w:space="0" w:color="auto"/>
              <w:right w:val="single" w:sz="4" w:space="0" w:color="auto"/>
            </w:tcBorders>
            <w:shd w:val="clear" w:color="auto" w:fill="C6EFCE"/>
            <w:noWrap/>
          </w:tcPr>
          <w:p w14:paraId="22B48EFC" w14:textId="095F8100" w:rsidR="009B1D27" w:rsidRPr="00E02B5D" w:rsidRDefault="009B1D27" w:rsidP="009B1D27">
            <w:pPr>
              <w:spacing w:after="0" w:line="240" w:lineRule="auto"/>
              <w:rPr>
                <w:noProof/>
                <w:color w:val="006100"/>
                <w:sz w:val="18"/>
              </w:rPr>
            </w:pPr>
            <w:r>
              <w:rPr>
                <w:noProof/>
                <w:color w:val="006100"/>
                <w:sz w:val="18"/>
              </w:rPr>
              <w:t>Eesmärk</w:t>
            </w:r>
          </w:p>
        </w:tc>
        <w:tc>
          <w:tcPr>
            <w:tcW w:w="2256" w:type="dxa"/>
            <w:tcBorders>
              <w:top w:val="single" w:sz="4" w:space="0" w:color="auto"/>
              <w:left w:val="nil"/>
              <w:bottom w:val="single" w:sz="4" w:space="0" w:color="auto"/>
              <w:right w:val="single" w:sz="4" w:space="0" w:color="auto"/>
            </w:tcBorders>
            <w:shd w:val="clear" w:color="auto" w:fill="C6EFCE"/>
            <w:noWrap/>
          </w:tcPr>
          <w:p w14:paraId="03DE223B" w14:textId="2FE4A42F" w:rsidR="009B1D27" w:rsidRPr="00E02B5D" w:rsidRDefault="009B1D27" w:rsidP="009B1D27">
            <w:pPr>
              <w:spacing w:after="0" w:line="240" w:lineRule="auto"/>
              <w:rPr>
                <w:noProof/>
                <w:color w:val="006100"/>
                <w:sz w:val="18"/>
              </w:rPr>
            </w:pPr>
            <w:r>
              <w:rPr>
                <w:noProof/>
                <w:color w:val="006100"/>
                <w:sz w:val="18"/>
              </w:rPr>
              <w:t xml:space="preserve"> Taasmetsastamine, taastamine ja ennetamine – tööde lõpuleviimine</w:t>
            </w:r>
          </w:p>
        </w:tc>
        <w:tc>
          <w:tcPr>
            <w:tcW w:w="1560" w:type="dxa"/>
            <w:tcBorders>
              <w:top w:val="single" w:sz="4" w:space="0" w:color="auto"/>
              <w:left w:val="nil"/>
              <w:bottom w:val="single" w:sz="4" w:space="0" w:color="auto"/>
              <w:right w:val="single" w:sz="4" w:space="0" w:color="auto"/>
            </w:tcBorders>
            <w:shd w:val="clear" w:color="auto" w:fill="C6EFCE"/>
            <w:noWrap/>
          </w:tcPr>
          <w:p w14:paraId="7BD3EC40" w14:textId="717B67FA" w:rsidR="009B1D27" w:rsidRPr="00E02B5D" w:rsidRDefault="009B1D27" w:rsidP="009B1D27">
            <w:pPr>
              <w:spacing w:after="0" w:line="240" w:lineRule="auto"/>
              <w:rPr>
                <w:noProof/>
                <w:color w:val="006100"/>
                <w:sz w:val="18"/>
              </w:rPr>
            </w:pPr>
            <w:r>
              <w:rPr>
                <w:noProof/>
                <w:color w:val="006100"/>
                <w:sz w:val="18"/>
              </w:rPr>
              <w:t>Keskkonnaministeeriumi kinnitus projektide lõpuleviimise kohta</w:t>
            </w:r>
          </w:p>
        </w:tc>
        <w:tc>
          <w:tcPr>
            <w:tcW w:w="992" w:type="dxa"/>
            <w:tcBorders>
              <w:top w:val="single" w:sz="4" w:space="0" w:color="auto"/>
              <w:left w:val="nil"/>
              <w:bottom w:val="single" w:sz="4" w:space="0" w:color="auto"/>
              <w:right w:val="single" w:sz="4" w:space="0" w:color="auto"/>
            </w:tcBorders>
            <w:shd w:val="clear" w:color="auto" w:fill="C6EFCE"/>
            <w:noWrap/>
          </w:tcPr>
          <w:p w14:paraId="0C1B43A5" w14:textId="77777777" w:rsidR="009B1D27" w:rsidRPr="00AD4052" w:rsidRDefault="009B1D27" w:rsidP="009B1D27">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0CFED61B" w14:textId="77777777" w:rsidR="009B1D27" w:rsidRPr="00AD4052" w:rsidRDefault="009B1D27" w:rsidP="009B1D27">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14:paraId="27687006" w14:textId="77777777" w:rsidR="009B1D27" w:rsidRPr="00AD4052" w:rsidRDefault="009B1D27" w:rsidP="009B1D27">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14:paraId="6C9E6214" w14:textId="2650D7E9" w:rsidR="009B1D27" w:rsidRPr="00E02B5D" w:rsidRDefault="009B1D27" w:rsidP="009B1D27">
            <w:pPr>
              <w:spacing w:after="0" w:line="240" w:lineRule="auto"/>
              <w:rPr>
                <w:noProof/>
                <w:color w:val="006100"/>
                <w:sz w:val="18"/>
              </w:rPr>
            </w:pPr>
            <w:r>
              <w:rPr>
                <w:noProof/>
                <w:color w:val="006100"/>
                <w:sz w:val="18"/>
              </w:rPr>
              <w:t>4. kv</w:t>
            </w:r>
          </w:p>
        </w:tc>
        <w:tc>
          <w:tcPr>
            <w:tcW w:w="823" w:type="dxa"/>
            <w:tcBorders>
              <w:top w:val="single" w:sz="4" w:space="0" w:color="auto"/>
              <w:left w:val="nil"/>
              <w:bottom w:val="single" w:sz="4" w:space="0" w:color="auto"/>
              <w:right w:val="single" w:sz="4" w:space="0" w:color="auto"/>
            </w:tcBorders>
            <w:shd w:val="clear" w:color="auto" w:fill="C6EFCE"/>
            <w:noWrap/>
          </w:tcPr>
          <w:p w14:paraId="1325998C" w14:textId="0677C350" w:rsidR="009B1D27" w:rsidRPr="00E02B5D" w:rsidRDefault="009B1D27" w:rsidP="009B1D27">
            <w:pPr>
              <w:spacing w:after="0" w:line="240" w:lineRule="auto"/>
              <w:rPr>
                <w:noProof/>
                <w:color w:val="006100"/>
                <w:sz w:val="18"/>
              </w:rPr>
            </w:pPr>
            <w:r>
              <w:rPr>
                <w:noProof/>
                <w:color w:val="006100"/>
                <w:sz w:val="18"/>
              </w:rPr>
              <w:t>2025</w:t>
            </w:r>
          </w:p>
        </w:tc>
        <w:tc>
          <w:tcPr>
            <w:tcW w:w="3148" w:type="dxa"/>
            <w:tcBorders>
              <w:top w:val="single" w:sz="4" w:space="0" w:color="auto"/>
              <w:left w:val="nil"/>
              <w:bottom w:val="single" w:sz="4" w:space="0" w:color="auto"/>
              <w:right w:val="single" w:sz="4" w:space="0" w:color="auto"/>
            </w:tcBorders>
            <w:shd w:val="clear" w:color="auto" w:fill="C6EFCE"/>
            <w:noWrap/>
          </w:tcPr>
          <w:p w14:paraId="3B8C9A59" w14:textId="77777777" w:rsidR="009B1D27" w:rsidRPr="00E02B5D" w:rsidRDefault="009B1D27" w:rsidP="009B1D27">
            <w:pPr>
              <w:spacing w:after="0" w:line="240" w:lineRule="auto"/>
              <w:rPr>
                <w:rFonts w:eastAsia="Times New Roman" w:cs="Calibri"/>
                <w:noProof/>
                <w:color w:val="006100"/>
                <w:sz w:val="18"/>
                <w:szCs w:val="18"/>
              </w:rPr>
            </w:pPr>
            <w:r>
              <w:rPr>
                <w:noProof/>
                <w:color w:val="006100"/>
                <w:sz w:val="18"/>
              </w:rPr>
              <w:t>Kõikide tööde lõpuleviimine:</w:t>
            </w:r>
          </w:p>
          <w:p w14:paraId="1C0A0A59" w14:textId="77777777" w:rsidR="009B1D27" w:rsidRPr="00E02B5D" w:rsidRDefault="009B1D27" w:rsidP="009B1D27">
            <w:pPr>
              <w:spacing w:after="0" w:line="240" w:lineRule="auto"/>
              <w:rPr>
                <w:rFonts w:eastAsia="Times New Roman" w:cs="Calibri"/>
                <w:noProof/>
                <w:color w:val="006100"/>
                <w:sz w:val="18"/>
                <w:szCs w:val="18"/>
              </w:rPr>
            </w:pPr>
            <w:r>
              <w:rPr>
                <w:noProof/>
                <w:color w:val="006100"/>
                <w:sz w:val="18"/>
              </w:rPr>
              <w:t xml:space="preserve">– 5 700 ha kahjustatud metsaökosüsteemide taastamine Kreekas istutamise teel, kasutades vähemalt 50 % kohalikest liikidest. (Taasmetsastamine – esimene allprojekt). </w:t>
            </w:r>
          </w:p>
          <w:p w14:paraId="483BACC8" w14:textId="77777777" w:rsidR="009B1D27" w:rsidRPr="00E02B5D" w:rsidRDefault="009B1D27" w:rsidP="009B1D27">
            <w:pPr>
              <w:spacing w:after="0" w:line="240" w:lineRule="auto"/>
              <w:rPr>
                <w:rFonts w:eastAsia="Times New Roman" w:cs="Calibri"/>
                <w:noProof/>
                <w:color w:val="006100"/>
                <w:sz w:val="18"/>
                <w:szCs w:val="18"/>
              </w:rPr>
            </w:pPr>
            <w:r>
              <w:rPr>
                <w:noProof/>
                <w:color w:val="006100"/>
                <w:sz w:val="18"/>
              </w:rPr>
              <w:t xml:space="preserve">– nelja metsapuukooli ajakohastamine ja ajakohastamine; </w:t>
            </w:r>
          </w:p>
          <w:p w14:paraId="34605431" w14:textId="77777777" w:rsidR="009B1D27" w:rsidRPr="00E02B5D" w:rsidRDefault="009B1D27" w:rsidP="009B1D27">
            <w:pPr>
              <w:spacing w:after="0" w:line="240" w:lineRule="auto"/>
              <w:rPr>
                <w:rFonts w:eastAsia="Times New Roman" w:cs="Calibri"/>
                <w:noProof/>
                <w:color w:val="006100"/>
                <w:sz w:val="18"/>
                <w:szCs w:val="18"/>
              </w:rPr>
            </w:pPr>
            <w:r>
              <w:rPr>
                <w:noProof/>
                <w:color w:val="006100"/>
                <w:sz w:val="18"/>
              </w:rPr>
              <w:t>– riikliku taasmetsastamiskava katseline rakendamine</w:t>
            </w:r>
          </w:p>
          <w:p w14:paraId="6E8AA5FA" w14:textId="77777777" w:rsidR="009B1D27" w:rsidRPr="00C27D4D" w:rsidRDefault="009B1D27" w:rsidP="009B1D27">
            <w:pPr>
              <w:spacing w:after="0" w:line="240" w:lineRule="auto"/>
              <w:rPr>
                <w:noProof/>
                <w:color w:val="006100"/>
                <w:sz w:val="18"/>
                <w:szCs w:val="18"/>
              </w:rPr>
            </w:pPr>
            <w:r>
              <w:rPr>
                <w:noProof/>
                <w:color w:val="006100"/>
                <w:sz w:val="18"/>
              </w:rPr>
              <w:t>– Antinero I, II, III ja IV (suurendamine 108 700 hektari võrra seoses kahjustatud ökosüsteemide ajakohastamisega metsa ja metsamaa puhastamise kaudu, metsateede ja olemasolevate tuleohutustsoonide hooldamisega lisaks segatuletsoonide loomisele). Nende programmide kogueelarve meetme kestuse ajal on vähemalt 411 300 000 eurot.</w:t>
            </w:r>
          </w:p>
          <w:p w14:paraId="24804223" w14:textId="580E6147" w:rsidR="009B1D27" w:rsidRPr="00E02B5D" w:rsidRDefault="009B1D27" w:rsidP="009B1D27">
            <w:pPr>
              <w:spacing w:after="0" w:line="240" w:lineRule="auto"/>
              <w:rPr>
                <w:noProof/>
                <w:color w:val="006100"/>
                <w:sz w:val="18"/>
              </w:rPr>
            </w:pPr>
            <w:r>
              <w:rPr>
                <w:noProof/>
                <w:color w:val="006100"/>
                <w:sz w:val="18"/>
              </w:rPr>
              <w:t>– Erosiooni- ja üleujutusvastased meetmed Evroses ja Rhodopesis hõlmavad kokku 5 000 hektarit erosioonivastaseid töid ja 175 000 m² üleujutuste eest kaitsvaid töid. Täiendavad taastamistööd hõlmavad kogu Kreekas erosiooni- ja üleujutuste vastaseid meetmeid, mis hõlmavad 1 221 ha erosioonivastaseid töid ja 226 437 m² üleujutuskaitsetöid.</w:t>
            </w:r>
          </w:p>
        </w:tc>
      </w:tr>
    </w:tbl>
    <w:p w14:paraId="65A8727E" w14:textId="77777777" w:rsidR="00C27D4D" w:rsidRPr="00AD4052" w:rsidRDefault="00C27D4D" w:rsidP="00542477">
      <w:pPr>
        <w:spacing w:line="240" w:lineRule="auto"/>
        <w:rPr>
          <w:noProof/>
          <w:color w:val="006100"/>
          <w:sz w:val="18"/>
        </w:rPr>
        <w:sectPr w:rsidR="00C27D4D" w:rsidRPr="00AD4052" w:rsidSect="00271D33">
          <w:headerReference w:type="even" r:id="rId92"/>
          <w:headerReference w:type="default" r:id="rId93"/>
          <w:footerReference w:type="even" r:id="rId94"/>
          <w:footerReference w:type="default" r:id="rId95"/>
          <w:headerReference w:type="first" r:id="rId96"/>
          <w:footerReference w:type="first" r:id="rId97"/>
          <w:pgSz w:w="16839" w:h="11907" w:orient="landscape"/>
          <w:pgMar w:top="720" w:right="720" w:bottom="720" w:left="720" w:header="709" w:footer="709" w:gutter="0"/>
          <w:cols w:space="720"/>
          <w:docGrid w:linePitch="360"/>
        </w:sectPr>
      </w:pPr>
    </w:p>
    <w:p w14:paraId="585A6A42" w14:textId="7EF53F5B" w:rsidR="00AC28BF" w:rsidRPr="00AD4052" w:rsidRDefault="00AC28BF">
      <w:pPr>
        <w:rPr>
          <w:noProof/>
        </w:rPr>
      </w:pPr>
    </w:p>
    <w:tbl>
      <w:tblPr>
        <w:tblW w:w="15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712"/>
        <w:gridCol w:w="914"/>
        <w:gridCol w:w="2049"/>
        <w:gridCol w:w="1852"/>
        <w:gridCol w:w="1020"/>
        <w:gridCol w:w="1037"/>
        <w:gridCol w:w="842"/>
        <w:gridCol w:w="820"/>
        <w:gridCol w:w="761"/>
        <w:gridCol w:w="2849"/>
      </w:tblGrid>
      <w:tr w:rsidR="006E0EA2" w:rsidRPr="003B132A" w14:paraId="1476D068" w14:textId="77777777" w:rsidTr="00AC28BF">
        <w:trPr>
          <w:trHeight w:val="599"/>
          <w:tblHeader/>
          <w:jc w:val="center"/>
        </w:trPr>
        <w:tc>
          <w:tcPr>
            <w:tcW w:w="1054" w:type="dxa"/>
            <w:vMerge w:val="restart"/>
            <w:shd w:val="clear" w:color="auto" w:fill="B8CCE4" w:themeFill="accent1" w:themeFillTint="66"/>
            <w:noWrap/>
            <w:vAlign w:val="center"/>
          </w:tcPr>
          <w:p w14:paraId="2F0046D1" w14:textId="724B932F" w:rsidR="0052157A" w:rsidRPr="00E02B5D" w:rsidRDefault="0052157A" w:rsidP="0052157A">
            <w:pPr>
              <w:spacing w:after="0" w:line="240" w:lineRule="auto"/>
              <w:jc w:val="center"/>
              <w:rPr>
                <w:noProof/>
                <w:color w:val="006100"/>
                <w:sz w:val="18"/>
              </w:rPr>
            </w:pPr>
            <w:r>
              <w:rPr>
                <w:rFonts w:ascii="Times New Roman" w:hAnsi="Times New Roman"/>
                <w:b/>
                <w:noProof/>
                <w:sz w:val="18"/>
              </w:rPr>
              <w:t>Järjekorranumber</w:t>
            </w:r>
          </w:p>
        </w:tc>
        <w:tc>
          <w:tcPr>
            <w:tcW w:w="1864" w:type="dxa"/>
            <w:vMerge w:val="restart"/>
            <w:shd w:val="clear" w:color="auto" w:fill="B8CCE4" w:themeFill="accent1" w:themeFillTint="66"/>
            <w:noWrap/>
            <w:vAlign w:val="center"/>
          </w:tcPr>
          <w:p w14:paraId="38A9902D" w14:textId="77777777" w:rsidR="0052157A" w:rsidRPr="00E02B5D" w:rsidRDefault="0052157A" w:rsidP="0052157A">
            <w:pPr>
              <w:spacing w:after="0" w:line="240" w:lineRule="auto"/>
              <w:jc w:val="center"/>
              <w:rPr>
                <w:noProof/>
                <w:color w:val="006100"/>
                <w:sz w:val="18"/>
              </w:rPr>
            </w:pPr>
            <w:r>
              <w:rPr>
                <w:rFonts w:ascii="Times New Roman" w:hAnsi="Times New Roman"/>
                <w:b/>
                <w:noProof/>
                <w:sz w:val="18"/>
              </w:rPr>
              <w:t>Seotud meede (reform või investeering)</w:t>
            </w:r>
          </w:p>
        </w:tc>
        <w:tc>
          <w:tcPr>
            <w:tcW w:w="985" w:type="dxa"/>
            <w:vMerge w:val="restart"/>
            <w:shd w:val="clear" w:color="auto" w:fill="B8CCE4" w:themeFill="accent1" w:themeFillTint="66"/>
            <w:noWrap/>
            <w:vAlign w:val="center"/>
          </w:tcPr>
          <w:p w14:paraId="5C0CD66D" w14:textId="77777777" w:rsidR="0052157A" w:rsidRPr="00E02B5D" w:rsidRDefault="0052157A" w:rsidP="0052157A">
            <w:pPr>
              <w:spacing w:after="0" w:line="240" w:lineRule="auto"/>
              <w:jc w:val="center"/>
              <w:rPr>
                <w:noProof/>
                <w:color w:val="006100"/>
                <w:sz w:val="18"/>
              </w:rPr>
            </w:pPr>
            <w:r>
              <w:rPr>
                <w:rFonts w:ascii="Times New Roman" w:hAnsi="Times New Roman"/>
                <w:b/>
                <w:noProof/>
                <w:sz w:val="18"/>
              </w:rPr>
              <w:t>Eesmärk / siht</w:t>
            </w:r>
          </w:p>
        </w:tc>
        <w:tc>
          <w:tcPr>
            <w:tcW w:w="2235" w:type="dxa"/>
            <w:vMerge w:val="restart"/>
            <w:shd w:val="clear" w:color="auto" w:fill="B8CCE4" w:themeFill="accent1" w:themeFillTint="66"/>
            <w:noWrap/>
            <w:vAlign w:val="center"/>
          </w:tcPr>
          <w:p w14:paraId="738B09C2" w14:textId="77777777" w:rsidR="0052157A" w:rsidRPr="00E02B5D" w:rsidRDefault="0052157A" w:rsidP="0052157A">
            <w:pPr>
              <w:spacing w:after="0" w:line="240" w:lineRule="auto"/>
              <w:jc w:val="center"/>
              <w:rPr>
                <w:noProof/>
                <w:color w:val="006100"/>
                <w:sz w:val="18"/>
              </w:rPr>
            </w:pPr>
            <w:r>
              <w:rPr>
                <w:rFonts w:ascii="Times New Roman" w:hAnsi="Times New Roman"/>
                <w:b/>
                <w:noProof/>
                <w:sz w:val="18"/>
              </w:rPr>
              <w:t>Nimi</w:t>
            </w:r>
          </w:p>
        </w:tc>
        <w:tc>
          <w:tcPr>
            <w:tcW w:w="1545" w:type="dxa"/>
            <w:vMerge w:val="restart"/>
            <w:shd w:val="clear" w:color="auto" w:fill="B8CCE4" w:themeFill="accent1" w:themeFillTint="66"/>
            <w:noWrap/>
            <w:vAlign w:val="center"/>
          </w:tcPr>
          <w:p w14:paraId="3802427A" w14:textId="77777777" w:rsidR="0052157A" w:rsidRPr="00E02B5D" w:rsidRDefault="0052157A" w:rsidP="0052157A">
            <w:pPr>
              <w:spacing w:after="0" w:line="240" w:lineRule="auto"/>
              <w:jc w:val="center"/>
              <w:rPr>
                <w:noProof/>
                <w:color w:val="006100"/>
                <w:sz w:val="18"/>
              </w:rPr>
            </w:pPr>
            <w:r>
              <w:rPr>
                <w:rFonts w:ascii="Times New Roman" w:hAnsi="Times New Roman"/>
                <w:b/>
                <w:noProof/>
                <w:sz w:val="18"/>
              </w:rPr>
              <w:t>Kvalitatiivsed näitajad (eesmärkide puhul)</w:t>
            </w:r>
          </w:p>
        </w:tc>
        <w:tc>
          <w:tcPr>
            <w:tcW w:w="2893" w:type="dxa"/>
            <w:gridSpan w:val="3"/>
            <w:shd w:val="clear" w:color="auto" w:fill="B8CCE4" w:themeFill="accent1" w:themeFillTint="66"/>
            <w:noWrap/>
            <w:vAlign w:val="center"/>
          </w:tcPr>
          <w:p w14:paraId="49BD047B" w14:textId="77777777" w:rsidR="0052157A" w:rsidRPr="00E02B5D" w:rsidRDefault="0052157A" w:rsidP="0052157A">
            <w:pPr>
              <w:spacing w:after="0" w:line="240" w:lineRule="auto"/>
              <w:jc w:val="center"/>
              <w:rPr>
                <w:rFonts w:eastAsia="Times New Roman" w:cs="Calibri"/>
                <w:noProof/>
                <w:color w:val="006100"/>
                <w:sz w:val="18"/>
                <w:szCs w:val="18"/>
              </w:rPr>
            </w:pPr>
            <w:r>
              <w:rPr>
                <w:rFonts w:ascii="Times New Roman" w:hAnsi="Times New Roman"/>
                <w:b/>
                <w:noProof/>
                <w:sz w:val="18"/>
              </w:rPr>
              <w:t>Kvantitatiivsed näitajad (sihtide puhul)</w:t>
            </w:r>
          </w:p>
        </w:tc>
        <w:tc>
          <w:tcPr>
            <w:tcW w:w="1697" w:type="dxa"/>
            <w:gridSpan w:val="2"/>
            <w:shd w:val="clear" w:color="auto" w:fill="B8CCE4" w:themeFill="accent1" w:themeFillTint="66"/>
            <w:noWrap/>
            <w:vAlign w:val="center"/>
          </w:tcPr>
          <w:p w14:paraId="7361CB6E" w14:textId="77777777" w:rsidR="0052157A" w:rsidRPr="00E02B5D" w:rsidRDefault="0052157A" w:rsidP="0052157A">
            <w:pPr>
              <w:spacing w:after="0" w:line="240" w:lineRule="auto"/>
              <w:jc w:val="center"/>
              <w:rPr>
                <w:noProof/>
                <w:color w:val="006100"/>
                <w:sz w:val="18"/>
              </w:rPr>
            </w:pPr>
            <w:r>
              <w:rPr>
                <w:rFonts w:ascii="Times New Roman" w:hAnsi="Times New Roman"/>
                <w:b/>
                <w:noProof/>
                <w:sz w:val="18"/>
              </w:rPr>
              <w:t>Lõpuleviimise soovituslik ajakava</w:t>
            </w:r>
          </w:p>
        </w:tc>
        <w:tc>
          <w:tcPr>
            <w:tcW w:w="3116" w:type="dxa"/>
            <w:vMerge w:val="restart"/>
            <w:shd w:val="clear" w:color="auto" w:fill="B8CCE4" w:themeFill="accent1" w:themeFillTint="66"/>
            <w:noWrap/>
            <w:vAlign w:val="center"/>
          </w:tcPr>
          <w:p w14:paraId="09C6389F" w14:textId="77777777" w:rsidR="0052157A" w:rsidRPr="00E02B5D" w:rsidRDefault="0052157A" w:rsidP="0052157A">
            <w:pPr>
              <w:spacing w:after="0" w:line="240" w:lineRule="auto"/>
              <w:jc w:val="center"/>
              <w:rPr>
                <w:noProof/>
                <w:color w:val="006100"/>
                <w:sz w:val="18"/>
              </w:rPr>
            </w:pPr>
            <w:r>
              <w:rPr>
                <w:rFonts w:ascii="Times New Roman" w:hAnsi="Times New Roman"/>
                <w:b/>
                <w:noProof/>
                <w:sz w:val="18"/>
              </w:rPr>
              <w:t>Iga eesmärgi ja sihi kirjeldus</w:t>
            </w:r>
          </w:p>
        </w:tc>
      </w:tr>
      <w:tr w:rsidR="006E0EA2" w:rsidRPr="00BB7B49" w14:paraId="50A0582B" w14:textId="77777777" w:rsidTr="00AC28BF">
        <w:trPr>
          <w:trHeight w:val="548"/>
          <w:tblHeader/>
          <w:jc w:val="center"/>
        </w:trPr>
        <w:tc>
          <w:tcPr>
            <w:tcW w:w="1054" w:type="dxa"/>
            <w:vMerge/>
            <w:noWrap/>
            <w:vAlign w:val="center"/>
          </w:tcPr>
          <w:p w14:paraId="2D25D271" w14:textId="77777777" w:rsidR="0052157A" w:rsidRPr="00AD4052" w:rsidRDefault="0052157A" w:rsidP="0052157A">
            <w:pPr>
              <w:spacing w:after="0" w:line="240" w:lineRule="auto"/>
              <w:rPr>
                <w:rFonts w:ascii="Times New Roman" w:hAnsi="Times New Roman"/>
                <w:b/>
                <w:noProof/>
                <w:sz w:val="18"/>
              </w:rPr>
            </w:pPr>
          </w:p>
        </w:tc>
        <w:tc>
          <w:tcPr>
            <w:tcW w:w="1864" w:type="dxa"/>
            <w:vMerge/>
            <w:noWrap/>
            <w:vAlign w:val="center"/>
          </w:tcPr>
          <w:p w14:paraId="1F06F66B" w14:textId="77777777" w:rsidR="0052157A" w:rsidRPr="00AD4052" w:rsidRDefault="0052157A" w:rsidP="0052157A">
            <w:pPr>
              <w:spacing w:after="0" w:line="240" w:lineRule="auto"/>
              <w:rPr>
                <w:rFonts w:ascii="Times New Roman" w:hAnsi="Times New Roman"/>
                <w:b/>
                <w:noProof/>
                <w:sz w:val="18"/>
              </w:rPr>
            </w:pPr>
          </w:p>
        </w:tc>
        <w:tc>
          <w:tcPr>
            <w:tcW w:w="985" w:type="dxa"/>
            <w:vMerge/>
            <w:noWrap/>
            <w:vAlign w:val="center"/>
          </w:tcPr>
          <w:p w14:paraId="692837A4" w14:textId="77777777" w:rsidR="0052157A" w:rsidRPr="00AD4052" w:rsidRDefault="0052157A" w:rsidP="0052157A">
            <w:pPr>
              <w:spacing w:after="0" w:line="240" w:lineRule="auto"/>
              <w:rPr>
                <w:rFonts w:ascii="Times New Roman" w:hAnsi="Times New Roman"/>
                <w:b/>
                <w:noProof/>
                <w:sz w:val="18"/>
              </w:rPr>
            </w:pPr>
          </w:p>
        </w:tc>
        <w:tc>
          <w:tcPr>
            <w:tcW w:w="2235" w:type="dxa"/>
            <w:vMerge/>
            <w:noWrap/>
            <w:vAlign w:val="center"/>
          </w:tcPr>
          <w:p w14:paraId="46EB8770" w14:textId="77777777" w:rsidR="0052157A" w:rsidRPr="00AD4052" w:rsidRDefault="0052157A" w:rsidP="0052157A">
            <w:pPr>
              <w:spacing w:after="0" w:line="240" w:lineRule="auto"/>
              <w:rPr>
                <w:rFonts w:ascii="Times New Roman" w:hAnsi="Times New Roman"/>
                <w:b/>
                <w:noProof/>
                <w:sz w:val="18"/>
              </w:rPr>
            </w:pPr>
          </w:p>
        </w:tc>
        <w:tc>
          <w:tcPr>
            <w:tcW w:w="1545" w:type="dxa"/>
            <w:vMerge/>
            <w:noWrap/>
            <w:vAlign w:val="center"/>
          </w:tcPr>
          <w:p w14:paraId="54B7AD00" w14:textId="77777777" w:rsidR="0052157A" w:rsidRPr="00AD4052" w:rsidRDefault="0052157A" w:rsidP="0052157A">
            <w:pPr>
              <w:spacing w:after="0" w:line="240" w:lineRule="auto"/>
              <w:rPr>
                <w:rFonts w:ascii="Times New Roman" w:hAnsi="Times New Roman"/>
                <w:b/>
                <w:noProof/>
                <w:sz w:val="18"/>
              </w:rPr>
            </w:pPr>
          </w:p>
        </w:tc>
        <w:tc>
          <w:tcPr>
            <w:tcW w:w="1101" w:type="dxa"/>
            <w:shd w:val="clear" w:color="auto" w:fill="B8CCE4" w:themeFill="accent1" w:themeFillTint="66"/>
            <w:noWrap/>
            <w:vAlign w:val="center"/>
          </w:tcPr>
          <w:p w14:paraId="2574C69F" w14:textId="77777777" w:rsidR="0052157A" w:rsidRPr="00E02B5D" w:rsidRDefault="0052157A" w:rsidP="0052157A">
            <w:pPr>
              <w:spacing w:after="0" w:line="240" w:lineRule="auto"/>
              <w:jc w:val="center"/>
              <w:rPr>
                <w:rFonts w:eastAsia="Times New Roman" w:cs="Calibri"/>
                <w:noProof/>
                <w:color w:val="006100"/>
                <w:sz w:val="18"/>
                <w:szCs w:val="18"/>
              </w:rPr>
            </w:pPr>
            <w:r>
              <w:rPr>
                <w:rFonts w:ascii="Times New Roman" w:hAnsi="Times New Roman"/>
                <w:b/>
                <w:noProof/>
                <w:sz w:val="18"/>
              </w:rPr>
              <w:t>Mõõtühik</w:t>
            </w:r>
          </w:p>
        </w:tc>
        <w:tc>
          <w:tcPr>
            <w:tcW w:w="1120" w:type="dxa"/>
            <w:shd w:val="clear" w:color="auto" w:fill="B8CCE4" w:themeFill="accent1" w:themeFillTint="66"/>
            <w:vAlign w:val="center"/>
          </w:tcPr>
          <w:p w14:paraId="0BF491A4" w14:textId="77777777" w:rsidR="0052157A" w:rsidRPr="00E02B5D" w:rsidRDefault="0052157A" w:rsidP="0052157A">
            <w:pPr>
              <w:spacing w:after="0" w:line="240" w:lineRule="auto"/>
              <w:jc w:val="center"/>
              <w:rPr>
                <w:rFonts w:eastAsia="Times New Roman" w:cs="Calibri"/>
                <w:noProof/>
                <w:color w:val="006100"/>
                <w:sz w:val="18"/>
                <w:szCs w:val="18"/>
              </w:rPr>
            </w:pPr>
            <w:r>
              <w:rPr>
                <w:rFonts w:ascii="Times New Roman" w:hAnsi="Times New Roman"/>
                <w:b/>
                <w:noProof/>
                <w:sz w:val="18"/>
              </w:rPr>
              <w:t>Lähtetase</w:t>
            </w:r>
          </w:p>
        </w:tc>
        <w:tc>
          <w:tcPr>
            <w:tcW w:w="672" w:type="dxa"/>
            <w:shd w:val="clear" w:color="auto" w:fill="B8CCE4" w:themeFill="accent1" w:themeFillTint="66"/>
            <w:vAlign w:val="center"/>
          </w:tcPr>
          <w:p w14:paraId="4083E5D1" w14:textId="77777777" w:rsidR="0052157A" w:rsidRPr="00E02B5D" w:rsidRDefault="0052157A" w:rsidP="0052157A">
            <w:pPr>
              <w:spacing w:after="0" w:line="240" w:lineRule="auto"/>
              <w:jc w:val="center"/>
              <w:rPr>
                <w:rFonts w:eastAsia="Times New Roman" w:cs="Calibri"/>
                <w:noProof/>
                <w:color w:val="006100"/>
                <w:sz w:val="18"/>
                <w:szCs w:val="18"/>
              </w:rPr>
            </w:pPr>
            <w:r>
              <w:rPr>
                <w:rFonts w:ascii="Times New Roman" w:hAnsi="Times New Roman"/>
                <w:b/>
                <w:noProof/>
                <w:sz w:val="18"/>
              </w:rPr>
              <w:t>Eesmärk</w:t>
            </w:r>
          </w:p>
        </w:tc>
        <w:tc>
          <w:tcPr>
            <w:tcW w:w="881" w:type="dxa"/>
            <w:shd w:val="clear" w:color="auto" w:fill="B8CCE4" w:themeFill="accent1" w:themeFillTint="66"/>
            <w:noWrap/>
            <w:vAlign w:val="center"/>
          </w:tcPr>
          <w:p w14:paraId="1F146755" w14:textId="77777777" w:rsidR="0052157A" w:rsidRPr="00E02B5D" w:rsidRDefault="0052157A" w:rsidP="0052157A">
            <w:pPr>
              <w:spacing w:after="0" w:line="240" w:lineRule="auto"/>
              <w:jc w:val="center"/>
              <w:rPr>
                <w:noProof/>
                <w:color w:val="006100"/>
                <w:sz w:val="18"/>
              </w:rPr>
            </w:pPr>
            <w:r>
              <w:rPr>
                <w:rFonts w:ascii="Times New Roman" w:hAnsi="Times New Roman"/>
                <w:b/>
                <w:noProof/>
                <w:sz w:val="18"/>
              </w:rPr>
              <w:t>Kvartal</w:t>
            </w:r>
          </w:p>
        </w:tc>
        <w:tc>
          <w:tcPr>
            <w:tcW w:w="816" w:type="dxa"/>
            <w:shd w:val="clear" w:color="auto" w:fill="B8CCE4" w:themeFill="accent1" w:themeFillTint="66"/>
            <w:vAlign w:val="center"/>
          </w:tcPr>
          <w:p w14:paraId="6CCCEAA3" w14:textId="77777777" w:rsidR="0052157A" w:rsidRPr="00E02B5D" w:rsidRDefault="0052157A" w:rsidP="0052157A">
            <w:pPr>
              <w:spacing w:after="0" w:line="240" w:lineRule="auto"/>
              <w:jc w:val="center"/>
              <w:rPr>
                <w:noProof/>
                <w:color w:val="006100"/>
                <w:sz w:val="18"/>
              </w:rPr>
            </w:pPr>
            <w:r>
              <w:rPr>
                <w:rFonts w:ascii="Times New Roman" w:hAnsi="Times New Roman"/>
                <w:b/>
                <w:noProof/>
                <w:sz w:val="18"/>
              </w:rPr>
              <w:t>Aasta</w:t>
            </w:r>
          </w:p>
        </w:tc>
        <w:tc>
          <w:tcPr>
            <w:tcW w:w="3116" w:type="dxa"/>
            <w:vMerge/>
            <w:noWrap/>
          </w:tcPr>
          <w:p w14:paraId="0C52695A" w14:textId="77777777" w:rsidR="0052157A" w:rsidRPr="00E02B5D" w:rsidRDefault="0052157A" w:rsidP="0052157A">
            <w:pPr>
              <w:spacing w:after="0" w:line="240" w:lineRule="auto"/>
              <w:rPr>
                <w:noProof/>
                <w:color w:val="006100"/>
                <w:sz w:val="18"/>
                <w:lang w:val="en-GB"/>
              </w:rPr>
            </w:pPr>
          </w:p>
        </w:tc>
      </w:tr>
      <w:tr w:rsidR="0052157A" w:rsidRPr="003B132A" w14:paraId="7417F5E4" w14:textId="77777777" w:rsidTr="00AC28BF">
        <w:trPr>
          <w:trHeight w:val="313"/>
          <w:tblHeader/>
          <w:jc w:val="center"/>
        </w:trPr>
        <w:tc>
          <w:tcPr>
            <w:tcW w:w="1054" w:type="dxa"/>
            <w:shd w:val="clear" w:color="auto" w:fill="C6EFCE"/>
            <w:noWrap/>
          </w:tcPr>
          <w:p w14:paraId="3263457C" w14:textId="77777777" w:rsidR="0052157A" w:rsidRPr="00E02B5D" w:rsidRDefault="0052157A" w:rsidP="0052157A">
            <w:pPr>
              <w:spacing w:after="0" w:line="240" w:lineRule="auto"/>
              <w:rPr>
                <w:rFonts w:eastAsia="Times New Roman" w:cs="Calibri"/>
                <w:noProof/>
                <w:color w:val="006100"/>
                <w:sz w:val="18"/>
                <w:szCs w:val="18"/>
              </w:rPr>
            </w:pPr>
            <w:r>
              <w:rPr>
                <w:noProof/>
                <w:color w:val="006100"/>
                <w:sz w:val="18"/>
              </w:rPr>
              <w:t>64</w:t>
            </w:r>
          </w:p>
        </w:tc>
        <w:tc>
          <w:tcPr>
            <w:tcW w:w="1864" w:type="dxa"/>
            <w:shd w:val="clear" w:color="auto" w:fill="C6EFCE"/>
            <w:noWrap/>
          </w:tcPr>
          <w:p w14:paraId="256D740D" w14:textId="77777777" w:rsidR="0052157A" w:rsidRPr="00E02B5D" w:rsidRDefault="0052157A" w:rsidP="0052157A">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16851_Bioloogilise mitmekesisuse kaitse kui jätkusuutliku majanduskasvu liikumapanev jõud</w:t>
            </w:r>
          </w:p>
        </w:tc>
        <w:tc>
          <w:tcPr>
            <w:tcW w:w="985" w:type="dxa"/>
            <w:shd w:val="clear" w:color="auto" w:fill="C6EFCE"/>
            <w:noWrap/>
          </w:tcPr>
          <w:p w14:paraId="7309CD91" w14:textId="77777777" w:rsidR="0052157A" w:rsidRPr="00E02B5D" w:rsidRDefault="0052157A" w:rsidP="0052157A">
            <w:pPr>
              <w:spacing w:after="0" w:line="240" w:lineRule="auto"/>
              <w:rPr>
                <w:rFonts w:eastAsia="Times New Roman" w:cs="Calibri"/>
                <w:noProof/>
                <w:color w:val="006100"/>
                <w:sz w:val="18"/>
                <w:szCs w:val="18"/>
              </w:rPr>
            </w:pPr>
            <w:r>
              <w:rPr>
                <w:noProof/>
                <w:color w:val="006100"/>
                <w:sz w:val="18"/>
              </w:rPr>
              <w:t>Eesmärk</w:t>
            </w:r>
          </w:p>
        </w:tc>
        <w:tc>
          <w:tcPr>
            <w:tcW w:w="2235" w:type="dxa"/>
            <w:shd w:val="clear" w:color="auto" w:fill="C6EFCE"/>
            <w:noWrap/>
          </w:tcPr>
          <w:p w14:paraId="5A203261" w14:textId="77777777" w:rsidR="0052157A" w:rsidRPr="00E02B5D" w:rsidRDefault="0052157A" w:rsidP="0052157A">
            <w:pPr>
              <w:spacing w:after="0" w:line="240" w:lineRule="auto"/>
              <w:rPr>
                <w:rFonts w:eastAsia="Times New Roman" w:cs="Calibri"/>
                <w:noProof/>
                <w:color w:val="006100"/>
                <w:sz w:val="18"/>
                <w:szCs w:val="18"/>
              </w:rPr>
            </w:pPr>
            <w:r>
              <w:rPr>
                <w:noProof/>
                <w:color w:val="006100"/>
                <w:sz w:val="18"/>
              </w:rPr>
              <w:t>Bioloogiline mitmekesisus – lõpuleviimine</w:t>
            </w:r>
          </w:p>
        </w:tc>
        <w:tc>
          <w:tcPr>
            <w:tcW w:w="1545" w:type="dxa"/>
            <w:shd w:val="clear" w:color="auto" w:fill="C6EFCE"/>
            <w:noWrap/>
          </w:tcPr>
          <w:p w14:paraId="20399313" w14:textId="77777777" w:rsidR="0052157A" w:rsidRPr="00E02B5D" w:rsidRDefault="0052157A" w:rsidP="0052157A">
            <w:pPr>
              <w:spacing w:after="0" w:line="240" w:lineRule="auto"/>
              <w:rPr>
                <w:rFonts w:eastAsia="Times New Roman" w:cs="Calibri"/>
                <w:noProof/>
                <w:color w:val="006100"/>
                <w:sz w:val="18"/>
                <w:szCs w:val="18"/>
              </w:rPr>
            </w:pPr>
            <w:r>
              <w:rPr>
                <w:noProof/>
                <w:color w:val="006100"/>
                <w:sz w:val="18"/>
              </w:rPr>
              <w:t>Keskkonnaministeeriumi tõend kõigi allprojektide lõpuleviimise kohta</w:t>
            </w:r>
          </w:p>
        </w:tc>
        <w:tc>
          <w:tcPr>
            <w:tcW w:w="1101" w:type="dxa"/>
            <w:shd w:val="clear" w:color="auto" w:fill="C6EFCE"/>
            <w:noWrap/>
          </w:tcPr>
          <w:p w14:paraId="5BCBFF97" w14:textId="77777777" w:rsidR="0052157A" w:rsidRPr="00AD4052" w:rsidRDefault="0052157A" w:rsidP="0052157A">
            <w:pPr>
              <w:spacing w:after="0" w:line="240" w:lineRule="auto"/>
              <w:rPr>
                <w:rFonts w:eastAsia="Times New Roman" w:cs="Calibri"/>
                <w:noProof/>
                <w:color w:val="006100"/>
                <w:sz w:val="18"/>
                <w:szCs w:val="18"/>
                <w:lang w:eastAsia="en-GB"/>
              </w:rPr>
            </w:pPr>
          </w:p>
        </w:tc>
        <w:tc>
          <w:tcPr>
            <w:tcW w:w="1120" w:type="dxa"/>
            <w:shd w:val="clear" w:color="auto" w:fill="C6EFCE"/>
            <w:noWrap/>
          </w:tcPr>
          <w:p w14:paraId="3C192CD5" w14:textId="77777777" w:rsidR="0052157A" w:rsidRPr="00AD4052" w:rsidRDefault="0052157A" w:rsidP="0052157A">
            <w:pPr>
              <w:spacing w:after="0" w:line="240" w:lineRule="auto"/>
              <w:rPr>
                <w:rFonts w:eastAsia="Times New Roman" w:cs="Calibri"/>
                <w:noProof/>
                <w:color w:val="006100"/>
                <w:sz w:val="18"/>
                <w:szCs w:val="18"/>
                <w:lang w:eastAsia="en-GB"/>
              </w:rPr>
            </w:pPr>
          </w:p>
        </w:tc>
        <w:tc>
          <w:tcPr>
            <w:tcW w:w="672" w:type="dxa"/>
            <w:shd w:val="clear" w:color="auto" w:fill="C6EFCE"/>
            <w:noWrap/>
          </w:tcPr>
          <w:p w14:paraId="2CD9AD37" w14:textId="77777777" w:rsidR="0052157A" w:rsidRPr="00AD4052" w:rsidRDefault="0052157A" w:rsidP="0052157A">
            <w:pPr>
              <w:spacing w:after="0" w:line="240" w:lineRule="auto"/>
              <w:rPr>
                <w:rFonts w:eastAsia="Times New Roman" w:cs="Calibri"/>
                <w:noProof/>
                <w:color w:val="006100"/>
                <w:sz w:val="18"/>
                <w:szCs w:val="18"/>
                <w:lang w:eastAsia="en-GB"/>
              </w:rPr>
            </w:pPr>
          </w:p>
        </w:tc>
        <w:tc>
          <w:tcPr>
            <w:tcW w:w="881" w:type="dxa"/>
            <w:shd w:val="clear" w:color="auto" w:fill="C6EFCE"/>
            <w:noWrap/>
          </w:tcPr>
          <w:p w14:paraId="35D6D58C" w14:textId="77777777" w:rsidR="0052157A" w:rsidRPr="00E02B5D" w:rsidRDefault="0052157A" w:rsidP="0052157A">
            <w:pPr>
              <w:spacing w:after="0" w:line="240" w:lineRule="auto"/>
              <w:rPr>
                <w:rFonts w:eastAsia="Times New Roman" w:cs="Calibri"/>
                <w:noProof/>
                <w:color w:val="006100"/>
                <w:sz w:val="18"/>
                <w:szCs w:val="18"/>
              </w:rPr>
            </w:pPr>
            <w:r>
              <w:rPr>
                <w:noProof/>
                <w:color w:val="006100"/>
                <w:sz w:val="18"/>
              </w:rPr>
              <w:t>4. kv</w:t>
            </w:r>
          </w:p>
        </w:tc>
        <w:tc>
          <w:tcPr>
            <w:tcW w:w="816" w:type="dxa"/>
            <w:shd w:val="clear" w:color="auto" w:fill="C6EFCE"/>
            <w:noWrap/>
          </w:tcPr>
          <w:p w14:paraId="0DCB290A" w14:textId="77777777" w:rsidR="0052157A" w:rsidRPr="00E02B5D" w:rsidRDefault="0052157A" w:rsidP="0052157A">
            <w:pPr>
              <w:spacing w:after="0" w:line="240" w:lineRule="auto"/>
              <w:rPr>
                <w:rFonts w:eastAsia="Times New Roman" w:cs="Calibri"/>
                <w:noProof/>
                <w:color w:val="006100"/>
                <w:sz w:val="18"/>
                <w:szCs w:val="18"/>
              </w:rPr>
            </w:pPr>
            <w:r>
              <w:rPr>
                <w:noProof/>
                <w:color w:val="006100"/>
                <w:sz w:val="18"/>
              </w:rPr>
              <w:t>2025</w:t>
            </w:r>
          </w:p>
        </w:tc>
        <w:tc>
          <w:tcPr>
            <w:tcW w:w="3116" w:type="dxa"/>
            <w:shd w:val="clear" w:color="auto" w:fill="C6EFCE"/>
            <w:noWrap/>
          </w:tcPr>
          <w:p w14:paraId="45F21B8E" w14:textId="77777777" w:rsidR="0052157A" w:rsidRPr="00E02B5D" w:rsidRDefault="0052157A" w:rsidP="0052157A">
            <w:pPr>
              <w:spacing w:after="0" w:line="240" w:lineRule="auto"/>
              <w:rPr>
                <w:rFonts w:eastAsia="Times New Roman" w:cs="Calibri"/>
                <w:noProof/>
                <w:color w:val="006100"/>
                <w:sz w:val="18"/>
                <w:szCs w:val="18"/>
              </w:rPr>
            </w:pPr>
            <w:r>
              <w:rPr>
                <w:noProof/>
                <w:color w:val="006100"/>
                <w:sz w:val="18"/>
              </w:rPr>
              <w:t>Kõigi bioloogilise mitmekesisuse kaitse allprojektide lõpuleviimine: riikliku teede ja matkaradade võrgustiku loomine, elurikkuse kaitsega seotud terrasside taastamine, Alonissose mereuuringute keskuse ja kaitsealade haldamise üksuste hoonete renoveerimine ja ajakohastamine, riikliku loodusajaloomuuseumi ja Kreeta loodusajaloo muuseumi ajakohastamine, Kreeka looduspärandi kollektsioonide digiteerimine, Kreeka loodusega seotud toodete identiteedi loomine, ühtsete seireprotokollide ja vastava tegevussüsteemi kehtestamine ning horisontaalne patrullisüsteemi kava Kreeka kõigi kaitsealade jaoks.</w:t>
            </w:r>
          </w:p>
        </w:tc>
      </w:tr>
    </w:tbl>
    <w:p w14:paraId="56412DD4" w14:textId="77777777" w:rsidR="00542477" w:rsidRPr="00AD4052" w:rsidRDefault="00542477" w:rsidP="00645BC7">
      <w:pPr>
        <w:keepNext/>
        <w:keepLines/>
        <w:spacing w:before="240" w:after="0" w:line="240" w:lineRule="auto"/>
        <w:jc w:val="both"/>
        <w:outlineLvl w:val="4"/>
        <w:rPr>
          <w:rFonts w:ascii="Cambria" w:hAnsi="Cambria"/>
          <w:noProof/>
          <w:color w:val="365F91"/>
          <w:sz w:val="24"/>
        </w:rPr>
        <w:sectPr w:rsidR="00542477" w:rsidRPr="00AD4052" w:rsidSect="00271D33">
          <w:headerReference w:type="even" r:id="rId98"/>
          <w:headerReference w:type="default" r:id="rId99"/>
          <w:footerReference w:type="even" r:id="rId100"/>
          <w:footerReference w:type="default" r:id="rId101"/>
          <w:headerReference w:type="first" r:id="rId102"/>
          <w:footerReference w:type="first" r:id="rId103"/>
          <w:pgSz w:w="16839" w:h="11907" w:orient="landscape"/>
          <w:pgMar w:top="720" w:right="720" w:bottom="720" w:left="720" w:header="709" w:footer="709" w:gutter="0"/>
          <w:cols w:space="720"/>
          <w:docGrid w:linePitch="360"/>
        </w:sectPr>
      </w:pPr>
    </w:p>
    <w:p w14:paraId="1D87FD8D" w14:textId="77777777" w:rsidR="00645BC7" w:rsidRPr="00E02B5D" w:rsidRDefault="00645BC7" w:rsidP="00645BC7">
      <w:pPr>
        <w:keepNext/>
        <w:keepLines/>
        <w:spacing w:before="240" w:after="0" w:line="240" w:lineRule="auto"/>
        <w:jc w:val="both"/>
        <w:outlineLvl w:val="4"/>
        <w:rPr>
          <w:rFonts w:ascii="Cambria" w:eastAsia="Times New Roman" w:hAnsi="Cambria"/>
          <w:noProof/>
          <w:color w:val="365F91"/>
          <w:sz w:val="24"/>
        </w:rPr>
      </w:pPr>
      <w:r>
        <w:rPr>
          <w:rFonts w:ascii="Cambria" w:hAnsi="Cambria"/>
          <w:noProof/>
          <w:color w:val="365F91"/>
          <w:sz w:val="24"/>
        </w:rPr>
        <w:t>Grupp 6: Reovesi &amp; veetaristu, vee säästmine</w:t>
      </w:r>
    </w:p>
    <w:p w14:paraId="0516D468"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Sellesse rühma kuuluvad järgmised meetmed:</w:t>
      </w:r>
    </w:p>
    <w:p w14:paraId="57DF4683"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Asulareovesi ja reoveesetete käitlemise taristud (ID: 16846)</w:t>
      </w:r>
    </w:p>
    <w:p w14:paraId="2BA0FA4A"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Joogiveevarustuse ja -säästu taristud (ID: 16850)</w:t>
      </w:r>
    </w:p>
    <w:tbl>
      <w:tblPr>
        <w:tblpPr w:leftFromText="180" w:rightFromText="180" w:vertAnchor="text" w:tblpXSpec="center" w:tblpY="1"/>
        <w:tblOverlap w:val="never"/>
        <w:tblW w:w="15276" w:type="dxa"/>
        <w:tblLayout w:type="fixed"/>
        <w:tblLook w:val="04A0" w:firstRow="1" w:lastRow="0" w:firstColumn="1" w:lastColumn="0" w:noHBand="0" w:noVBand="1"/>
      </w:tblPr>
      <w:tblGrid>
        <w:gridCol w:w="1027"/>
        <w:gridCol w:w="1374"/>
        <w:gridCol w:w="1042"/>
        <w:gridCol w:w="1302"/>
        <w:gridCol w:w="1778"/>
        <w:gridCol w:w="866"/>
        <w:gridCol w:w="857"/>
        <w:gridCol w:w="587"/>
        <w:gridCol w:w="1134"/>
        <w:gridCol w:w="709"/>
        <w:gridCol w:w="4600"/>
      </w:tblGrid>
      <w:tr w:rsidR="004B472A" w:rsidRPr="003B132A" w14:paraId="22B2565B" w14:textId="77777777" w:rsidTr="00542477">
        <w:trPr>
          <w:trHeight w:val="939"/>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9AEB589" w14:textId="77777777" w:rsidR="005A4852" w:rsidRPr="00E02B5D" w:rsidRDefault="00645BC7"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E771BA5"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6C385F"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BB6D88"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65A5CB"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31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79616BE"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14:paraId="63F34120"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165B1F"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4B472A" w:rsidRPr="00E02B5D" w14:paraId="242DCA2B" w14:textId="77777777" w:rsidTr="0052157A">
        <w:trPr>
          <w:trHeight w:val="609"/>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2EA7AD56" w14:textId="77777777" w:rsidR="005A4852" w:rsidRPr="00AD4052" w:rsidRDefault="005A4852" w:rsidP="005A4852">
            <w:pPr>
              <w:spacing w:after="0" w:line="240" w:lineRule="auto"/>
              <w:rPr>
                <w:rFonts w:ascii="Times New Roman" w:eastAsia="Times New Roman" w:hAnsi="Times New Roman" w:cs="Times New Roman"/>
                <w:b/>
                <w:bCs/>
                <w:noProof/>
                <w:sz w:val="18"/>
                <w:szCs w:val="18"/>
                <w:lang w:eastAsia="en-GB"/>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71B192A2" w14:textId="77777777" w:rsidR="005A4852" w:rsidRPr="00AD4052" w:rsidRDefault="005A4852" w:rsidP="005A4852">
            <w:pPr>
              <w:spacing w:after="0" w:line="240" w:lineRule="auto"/>
              <w:rPr>
                <w:rFonts w:ascii="Times New Roman" w:eastAsia="Times New Roman" w:hAnsi="Times New Roman" w:cs="Times New Roman"/>
                <w:b/>
                <w:bCs/>
                <w:noProof/>
                <w:sz w:val="18"/>
                <w:szCs w:val="18"/>
                <w:lang w:eastAsia="en-GB"/>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44533B40" w14:textId="77777777" w:rsidR="005A4852" w:rsidRPr="00AD4052" w:rsidRDefault="005A4852" w:rsidP="005A4852">
            <w:pPr>
              <w:spacing w:after="0" w:line="240" w:lineRule="auto"/>
              <w:rPr>
                <w:rFonts w:ascii="Times New Roman" w:eastAsia="Times New Roman" w:hAnsi="Times New Roman" w:cs="Times New Roman"/>
                <w:b/>
                <w:bCs/>
                <w:noProof/>
                <w:sz w:val="18"/>
                <w:szCs w:val="18"/>
                <w:lang w:eastAsia="en-GB"/>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4814DD64" w14:textId="77777777" w:rsidR="005A4852" w:rsidRPr="00AD4052" w:rsidRDefault="005A4852" w:rsidP="005A4852">
            <w:pPr>
              <w:spacing w:after="0" w:line="240" w:lineRule="auto"/>
              <w:rPr>
                <w:rFonts w:ascii="Times New Roman" w:eastAsia="Times New Roman" w:hAnsi="Times New Roman" w:cs="Times New Roman"/>
                <w:b/>
                <w:bCs/>
                <w:noProof/>
                <w:sz w:val="18"/>
                <w:szCs w:val="18"/>
                <w:lang w:eastAsia="en-GB"/>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637E28AE" w14:textId="77777777" w:rsidR="005A4852" w:rsidRPr="00AD4052" w:rsidRDefault="005A4852" w:rsidP="005A4852">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single" w:sz="4" w:space="0" w:color="auto"/>
              <w:bottom w:val="single" w:sz="4" w:space="0" w:color="auto"/>
              <w:right w:val="single" w:sz="4" w:space="0" w:color="auto"/>
            </w:tcBorders>
            <w:shd w:val="clear" w:color="auto" w:fill="BDD7EE"/>
            <w:vAlign w:val="center"/>
            <w:hideMark/>
          </w:tcPr>
          <w:p w14:paraId="79EB95DE"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857" w:type="dxa"/>
            <w:tcBorders>
              <w:top w:val="nil"/>
              <w:left w:val="nil"/>
              <w:bottom w:val="single" w:sz="4" w:space="0" w:color="auto"/>
              <w:right w:val="single" w:sz="4" w:space="0" w:color="auto"/>
            </w:tcBorders>
            <w:shd w:val="clear" w:color="auto" w:fill="BDD7EE"/>
            <w:vAlign w:val="center"/>
            <w:hideMark/>
          </w:tcPr>
          <w:p w14:paraId="5DE14CC0"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587" w:type="dxa"/>
            <w:tcBorders>
              <w:top w:val="nil"/>
              <w:left w:val="nil"/>
              <w:bottom w:val="single" w:sz="4" w:space="0" w:color="auto"/>
              <w:right w:val="single" w:sz="4" w:space="0" w:color="auto"/>
            </w:tcBorders>
            <w:shd w:val="clear" w:color="auto" w:fill="BDD7EE"/>
            <w:vAlign w:val="center"/>
            <w:hideMark/>
          </w:tcPr>
          <w:p w14:paraId="274A3931"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1134" w:type="dxa"/>
            <w:tcBorders>
              <w:top w:val="nil"/>
              <w:left w:val="nil"/>
              <w:bottom w:val="single" w:sz="4" w:space="0" w:color="auto"/>
              <w:right w:val="single" w:sz="4" w:space="0" w:color="auto"/>
            </w:tcBorders>
            <w:shd w:val="clear" w:color="auto" w:fill="BDD7EE"/>
            <w:vAlign w:val="center"/>
            <w:hideMark/>
          </w:tcPr>
          <w:p w14:paraId="6580E5AA"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9" w:type="dxa"/>
            <w:tcBorders>
              <w:top w:val="nil"/>
              <w:left w:val="nil"/>
              <w:bottom w:val="single" w:sz="4" w:space="0" w:color="auto"/>
              <w:right w:val="single" w:sz="4" w:space="0" w:color="auto"/>
            </w:tcBorders>
            <w:shd w:val="clear" w:color="auto" w:fill="BDD7EE"/>
            <w:vAlign w:val="center"/>
            <w:hideMark/>
          </w:tcPr>
          <w:p w14:paraId="1CF794EF" w14:textId="77777777" w:rsidR="005A4852" w:rsidRPr="00E02B5D" w:rsidRDefault="005A4852" w:rsidP="005A485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600" w:type="dxa"/>
            <w:vMerge/>
            <w:tcBorders>
              <w:top w:val="single" w:sz="4" w:space="0" w:color="auto"/>
              <w:bottom w:val="single" w:sz="4" w:space="0" w:color="auto"/>
              <w:right w:val="single" w:sz="4" w:space="0" w:color="auto"/>
            </w:tcBorders>
            <w:vAlign w:val="center"/>
            <w:hideMark/>
          </w:tcPr>
          <w:p w14:paraId="6119570F" w14:textId="77777777" w:rsidR="005A4852" w:rsidRPr="00E02B5D" w:rsidRDefault="005A4852" w:rsidP="005A4852">
            <w:pPr>
              <w:spacing w:after="0" w:line="240" w:lineRule="auto"/>
              <w:rPr>
                <w:rFonts w:ascii="Times New Roman" w:eastAsia="Times New Roman" w:hAnsi="Times New Roman" w:cs="Times New Roman"/>
                <w:b/>
                <w:bCs/>
                <w:noProof/>
                <w:sz w:val="18"/>
                <w:szCs w:val="18"/>
                <w:lang w:val="en-GB" w:eastAsia="en-GB"/>
              </w:rPr>
            </w:pPr>
          </w:p>
        </w:tc>
      </w:tr>
      <w:tr w:rsidR="004B472A" w:rsidRPr="003B132A" w14:paraId="1C35C22C" w14:textId="77777777" w:rsidTr="005424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BB1A6CC"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66</w:t>
            </w:r>
          </w:p>
        </w:tc>
        <w:tc>
          <w:tcPr>
            <w:tcW w:w="1374" w:type="dxa"/>
            <w:tcBorders>
              <w:top w:val="single" w:sz="4" w:space="0" w:color="auto"/>
              <w:left w:val="nil"/>
              <w:bottom w:val="single" w:sz="4" w:space="0" w:color="auto"/>
              <w:right w:val="single" w:sz="4" w:space="0" w:color="auto"/>
            </w:tcBorders>
            <w:shd w:val="clear" w:color="auto" w:fill="C6EFCE"/>
            <w:noWrap/>
          </w:tcPr>
          <w:p w14:paraId="3958850D"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16850_Joogiveevarustuse ja -säästu taristud</w:t>
            </w:r>
          </w:p>
        </w:tc>
        <w:tc>
          <w:tcPr>
            <w:tcW w:w="1042" w:type="dxa"/>
            <w:tcBorders>
              <w:top w:val="single" w:sz="4" w:space="0" w:color="auto"/>
              <w:left w:val="nil"/>
              <w:bottom w:val="single" w:sz="4" w:space="0" w:color="auto"/>
              <w:right w:val="single" w:sz="4" w:space="0" w:color="auto"/>
            </w:tcBorders>
            <w:shd w:val="clear" w:color="auto" w:fill="C6EFCE"/>
            <w:noWrap/>
          </w:tcPr>
          <w:p w14:paraId="13F50C42"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Eesmärk</w:t>
            </w:r>
          </w:p>
        </w:tc>
        <w:tc>
          <w:tcPr>
            <w:tcW w:w="1302" w:type="dxa"/>
            <w:tcBorders>
              <w:top w:val="single" w:sz="4" w:space="0" w:color="auto"/>
              <w:left w:val="nil"/>
              <w:bottom w:val="single" w:sz="4" w:space="0" w:color="auto"/>
              <w:right w:val="single" w:sz="4" w:space="0" w:color="auto"/>
            </w:tcBorders>
            <w:shd w:val="clear" w:color="auto" w:fill="C6EFCE"/>
            <w:noWrap/>
          </w:tcPr>
          <w:p w14:paraId="3AE3ECDC" w14:textId="77777777" w:rsidR="005A4852" w:rsidRPr="00E02B5D" w:rsidRDefault="008C4310" w:rsidP="008C4310">
            <w:pPr>
              <w:spacing w:after="0" w:line="240" w:lineRule="auto"/>
              <w:rPr>
                <w:rFonts w:eastAsia="Times New Roman" w:cs="Calibri"/>
                <w:noProof/>
                <w:color w:val="006100"/>
                <w:sz w:val="18"/>
                <w:szCs w:val="18"/>
              </w:rPr>
            </w:pPr>
            <w:r>
              <w:rPr>
                <w:noProof/>
                <w:color w:val="006100"/>
                <w:sz w:val="18"/>
              </w:rPr>
              <w:t>Veetaristu taotluste heakskiitmine</w:t>
            </w:r>
          </w:p>
        </w:tc>
        <w:tc>
          <w:tcPr>
            <w:tcW w:w="1778" w:type="dxa"/>
            <w:tcBorders>
              <w:top w:val="single" w:sz="4" w:space="0" w:color="auto"/>
              <w:left w:val="nil"/>
              <w:bottom w:val="single" w:sz="4" w:space="0" w:color="auto"/>
              <w:right w:val="single" w:sz="4" w:space="0" w:color="auto"/>
            </w:tcBorders>
            <w:shd w:val="clear" w:color="auto" w:fill="C6EFCE"/>
            <w:noWrap/>
          </w:tcPr>
          <w:p w14:paraId="55028631" w14:textId="77777777" w:rsidR="005A4852" w:rsidRPr="00E02B5D" w:rsidRDefault="008C4310" w:rsidP="005A4852">
            <w:pPr>
              <w:spacing w:after="0" w:line="240" w:lineRule="auto"/>
              <w:rPr>
                <w:rFonts w:eastAsia="Times New Roman" w:cs="Calibri"/>
                <w:noProof/>
                <w:color w:val="006100"/>
                <w:sz w:val="18"/>
                <w:szCs w:val="18"/>
              </w:rPr>
            </w:pPr>
            <w:r>
              <w:rPr>
                <w:noProof/>
                <w:color w:val="006100"/>
                <w:sz w:val="18"/>
              </w:rPr>
              <w:t>Keskkonna- ja energeetikaministeeriumi heakskiidetud taotlused</w:t>
            </w:r>
          </w:p>
        </w:tc>
        <w:tc>
          <w:tcPr>
            <w:tcW w:w="866" w:type="dxa"/>
            <w:tcBorders>
              <w:top w:val="nil"/>
              <w:left w:val="nil"/>
              <w:bottom w:val="single" w:sz="4" w:space="0" w:color="auto"/>
              <w:right w:val="single" w:sz="4" w:space="0" w:color="auto"/>
            </w:tcBorders>
            <w:shd w:val="clear" w:color="auto" w:fill="C6EFCE"/>
            <w:noWrap/>
          </w:tcPr>
          <w:p w14:paraId="5CE2F092" w14:textId="77777777" w:rsidR="005A4852" w:rsidRPr="00E02B5D" w:rsidRDefault="005A4852" w:rsidP="005A4852">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09340B07" w14:textId="77777777" w:rsidR="005A4852" w:rsidRPr="00E02B5D" w:rsidRDefault="005A4852" w:rsidP="005A4852">
            <w:pPr>
              <w:spacing w:after="0" w:line="240" w:lineRule="auto"/>
              <w:rPr>
                <w:rFonts w:eastAsia="Times New Roman" w:cs="Calibri"/>
                <w:noProof/>
                <w:color w:val="006100"/>
                <w:sz w:val="18"/>
                <w:szCs w:val="18"/>
                <w:lang w:val="en-GB" w:eastAsia="en-GB"/>
              </w:rPr>
            </w:pPr>
          </w:p>
        </w:tc>
        <w:tc>
          <w:tcPr>
            <w:tcW w:w="587" w:type="dxa"/>
            <w:tcBorders>
              <w:top w:val="nil"/>
              <w:left w:val="nil"/>
              <w:bottom w:val="single" w:sz="4" w:space="0" w:color="auto"/>
              <w:right w:val="single" w:sz="4" w:space="0" w:color="auto"/>
            </w:tcBorders>
            <w:shd w:val="clear" w:color="auto" w:fill="C6EFCE"/>
            <w:noWrap/>
          </w:tcPr>
          <w:p w14:paraId="2C97B3EE" w14:textId="77777777" w:rsidR="005A4852" w:rsidRPr="00E02B5D" w:rsidRDefault="005A4852" w:rsidP="005A4852">
            <w:pPr>
              <w:spacing w:after="0" w:line="240" w:lineRule="auto"/>
              <w:rPr>
                <w:rFonts w:eastAsia="Times New Roman" w:cs="Calibri"/>
                <w:noProof/>
                <w:color w:val="006100"/>
                <w:sz w:val="18"/>
                <w:szCs w:val="18"/>
                <w:lang w:val="en-GB" w:eastAsia="en-GB"/>
              </w:rPr>
            </w:pPr>
          </w:p>
        </w:tc>
        <w:tc>
          <w:tcPr>
            <w:tcW w:w="1134" w:type="dxa"/>
            <w:tcBorders>
              <w:top w:val="nil"/>
              <w:left w:val="nil"/>
              <w:bottom w:val="single" w:sz="4" w:space="0" w:color="auto"/>
              <w:right w:val="single" w:sz="4" w:space="0" w:color="auto"/>
            </w:tcBorders>
            <w:shd w:val="clear" w:color="auto" w:fill="C6EFCE"/>
            <w:noWrap/>
          </w:tcPr>
          <w:p w14:paraId="52DE87A1"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2. kv</w:t>
            </w:r>
          </w:p>
        </w:tc>
        <w:tc>
          <w:tcPr>
            <w:tcW w:w="709" w:type="dxa"/>
            <w:tcBorders>
              <w:top w:val="nil"/>
              <w:left w:val="nil"/>
              <w:bottom w:val="single" w:sz="4" w:space="0" w:color="auto"/>
              <w:right w:val="single" w:sz="4" w:space="0" w:color="auto"/>
            </w:tcBorders>
            <w:shd w:val="clear" w:color="auto" w:fill="C6EFCE"/>
            <w:noWrap/>
          </w:tcPr>
          <w:p w14:paraId="3E0600FB"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2023</w:t>
            </w:r>
          </w:p>
        </w:tc>
        <w:tc>
          <w:tcPr>
            <w:tcW w:w="4600" w:type="dxa"/>
            <w:tcBorders>
              <w:top w:val="single" w:sz="4" w:space="0" w:color="auto"/>
              <w:left w:val="nil"/>
              <w:bottom w:val="single" w:sz="4" w:space="0" w:color="auto"/>
              <w:right w:val="single" w:sz="4" w:space="0" w:color="auto"/>
            </w:tcBorders>
            <w:shd w:val="clear" w:color="auto" w:fill="C6EFCE"/>
            <w:noWrap/>
          </w:tcPr>
          <w:p w14:paraId="076080B1" w14:textId="77777777" w:rsidR="005A4852" w:rsidRPr="0070603A" w:rsidRDefault="005A4852" w:rsidP="005A4852">
            <w:pPr>
              <w:spacing w:after="0" w:line="240" w:lineRule="auto"/>
              <w:rPr>
                <w:rFonts w:asciiTheme="minorHAnsi" w:eastAsiaTheme="minorEastAsia" w:hAnsiTheme="minorHAnsi" w:cstheme="minorBidi"/>
                <w:noProof/>
                <w:color w:val="006100"/>
                <w:sz w:val="18"/>
                <w:szCs w:val="18"/>
              </w:rPr>
            </w:pPr>
            <w:r>
              <w:rPr>
                <w:noProof/>
                <w:color w:val="006100"/>
                <w:sz w:val="18"/>
              </w:rPr>
              <w:t>Projektikonkursi väljakuulutamine veetaristu projektide jaoks, et lisada järgmised nõuded:  i) uute süsteemide puhul, mille taristu lekkeindeks (ILI) on kuni 1,5; ii) renoveerimistegevuse puhul, et vähendada lekkeid rohkem kui 20 % või vähendada keskmist energiatarbimist rohkem kui 20 %, ning iii) magestamistehaste puhul, mis ühendatakse taastuvate energiaallikatega ja mille keskmine energiatarbimine on kuni 0,5 kWh.</w:t>
            </w:r>
          </w:p>
        </w:tc>
      </w:tr>
      <w:tr w:rsidR="005A4852" w:rsidRPr="003B132A" w14:paraId="046D10FB" w14:textId="77777777" w:rsidTr="00AF187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14:paraId="5566CA7B"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68</w:t>
            </w:r>
          </w:p>
        </w:tc>
        <w:tc>
          <w:tcPr>
            <w:tcW w:w="1374" w:type="dxa"/>
            <w:tcBorders>
              <w:top w:val="nil"/>
              <w:left w:val="nil"/>
              <w:bottom w:val="single" w:sz="4" w:space="0" w:color="auto"/>
              <w:right w:val="single" w:sz="4" w:space="0" w:color="auto"/>
            </w:tcBorders>
            <w:shd w:val="clear" w:color="auto" w:fill="C6EFCE"/>
            <w:noWrap/>
          </w:tcPr>
          <w:p w14:paraId="6372A8DF" w14:textId="77777777" w:rsidR="005A4852" w:rsidRPr="00E02B5D" w:rsidRDefault="005A4852" w:rsidP="008C4310">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16846_Asulareovesi ja reoveesetete käitlemise taristud</w:t>
            </w:r>
          </w:p>
        </w:tc>
        <w:tc>
          <w:tcPr>
            <w:tcW w:w="1042" w:type="dxa"/>
            <w:tcBorders>
              <w:top w:val="nil"/>
              <w:left w:val="nil"/>
              <w:bottom w:val="single" w:sz="4" w:space="0" w:color="auto"/>
              <w:right w:val="single" w:sz="4" w:space="0" w:color="auto"/>
            </w:tcBorders>
            <w:shd w:val="clear" w:color="auto" w:fill="C6EFCE"/>
            <w:noWrap/>
          </w:tcPr>
          <w:p w14:paraId="40C56B32"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Eesmärk</w:t>
            </w:r>
          </w:p>
        </w:tc>
        <w:tc>
          <w:tcPr>
            <w:tcW w:w="1302" w:type="dxa"/>
            <w:tcBorders>
              <w:top w:val="nil"/>
              <w:left w:val="nil"/>
              <w:bottom w:val="single" w:sz="4" w:space="0" w:color="auto"/>
              <w:right w:val="single" w:sz="4" w:space="0" w:color="auto"/>
            </w:tcBorders>
            <w:shd w:val="clear" w:color="auto" w:fill="C6EFCE"/>
            <w:noWrap/>
          </w:tcPr>
          <w:p w14:paraId="70AE447D"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Teade reoveeprojektide lepingu sõlmimise kohta</w:t>
            </w:r>
          </w:p>
        </w:tc>
        <w:tc>
          <w:tcPr>
            <w:tcW w:w="1778" w:type="dxa"/>
            <w:tcBorders>
              <w:top w:val="nil"/>
              <w:left w:val="nil"/>
              <w:bottom w:val="single" w:sz="4" w:space="0" w:color="auto"/>
              <w:right w:val="single" w:sz="4" w:space="0" w:color="auto"/>
            </w:tcBorders>
            <w:shd w:val="clear" w:color="auto" w:fill="C6EFCE"/>
            <w:noWrap/>
          </w:tcPr>
          <w:p w14:paraId="68865BC1"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Teade kõigi lepingute sõlmimise kohta</w:t>
            </w:r>
          </w:p>
        </w:tc>
        <w:tc>
          <w:tcPr>
            <w:tcW w:w="866" w:type="dxa"/>
            <w:tcBorders>
              <w:top w:val="nil"/>
              <w:left w:val="nil"/>
              <w:bottom w:val="single" w:sz="4" w:space="0" w:color="auto"/>
              <w:right w:val="single" w:sz="4" w:space="0" w:color="auto"/>
            </w:tcBorders>
            <w:shd w:val="clear" w:color="auto" w:fill="C6EFCE"/>
            <w:noWrap/>
          </w:tcPr>
          <w:p w14:paraId="057AEE22" w14:textId="77777777" w:rsidR="005A4852" w:rsidRPr="00E02B5D" w:rsidRDefault="005A4852" w:rsidP="005A4852">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580E3ADC" w14:textId="77777777" w:rsidR="005A4852" w:rsidRPr="00E02B5D" w:rsidRDefault="005A4852" w:rsidP="005A4852">
            <w:pPr>
              <w:spacing w:after="0" w:line="240" w:lineRule="auto"/>
              <w:rPr>
                <w:rFonts w:eastAsia="Times New Roman" w:cs="Calibri"/>
                <w:noProof/>
                <w:color w:val="006100"/>
                <w:sz w:val="18"/>
                <w:szCs w:val="18"/>
                <w:lang w:val="en-GB" w:eastAsia="en-GB"/>
              </w:rPr>
            </w:pPr>
          </w:p>
        </w:tc>
        <w:tc>
          <w:tcPr>
            <w:tcW w:w="587" w:type="dxa"/>
            <w:tcBorders>
              <w:top w:val="nil"/>
              <w:left w:val="nil"/>
              <w:bottom w:val="single" w:sz="4" w:space="0" w:color="auto"/>
              <w:right w:val="single" w:sz="4" w:space="0" w:color="auto"/>
            </w:tcBorders>
            <w:shd w:val="clear" w:color="auto" w:fill="C6EFCE"/>
            <w:noWrap/>
          </w:tcPr>
          <w:p w14:paraId="34F4DFB7" w14:textId="77777777" w:rsidR="005A4852" w:rsidRPr="00E02B5D" w:rsidRDefault="005A4852" w:rsidP="005A4852">
            <w:pPr>
              <w:spacing w:after="0" w:line="240" w:lineRule="auto"/>
              <w:rPr>
                <w:rFonts w:eastAsia="Times New Roman" w:cs="Calibri"/>
                <w:noProof/>
                <w:color w:val="006100"/>
                <w:sz w:val="18"/>
                <w:szCs w:val="18"/>
                <w:lang w:val="en-GB" w:eastAsia="en-GB"/>
              </w:rPr>
            </w:pPr>
          </w:p>
        </w:tc>
        <w:tc>
          <w:tcPr>
            <w:tcW w:w="1134" w:type="dxa"/>
            <w:tcBorders>
              <w:top w:val="nil"/>
              <w:left w:val="nil"/>
              <w:bottom w:val="single" w:sz="4" w:space="0" w:color="auto"/>
              <w:right w:val="single" w:sz="4" w:space="0" w:color="auto"/>
            </w:tcBorders>
            <w:shd w:val="clear" w:color="auto" w:fill="C6EFCE"/>
            <w:noWrap/>
          </w:tcPr>
          <w:p w14:paraId="3137487F"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30E501E2"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2023</w:t>
            </w:r>
          </w:p>
        </w:tc>
        <w:tc>
          <w:tcPr>
            <w:tcW w:w="4600" w:type="dxa"/>
            <w:tcBorders>
              <w:top w:val="nil"/>
              <w:left w:val="nil"/>
              <w:bottom w:val="single" w:sz="4" w:space="0" w:color="auto"/>
              <w:right w:val="single" w:sz="4" w:space="0" w:color="auto"/>
            </w:tcBorders>
            <w:shd w:val="clear" w:color="auto" w:fill="C6EFCE"/>
            <w:noWrap/>
          </w:tcPr>
          <w:p w14:paraId="5C861B75"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Reovee ja reoveesetete käitlemise projektide lepingu sõlmimisest teatamine:</w:t>
            </w:r>
          </w:p>
          <w:p w14:paraId="1FD847F9"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1. Kanalisatsioonivõrgu infrastruktuur ja reoveepuhastusjaamad.</w:t>
            </w:r>
          </w:p>
          <w:p w14:paraId="474DE796"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2. Reoveepuhastite ajakohastamine, laiendamine ja moderniseerimine ning puhastatud vee taaskasutamine.</w:t>
            </w:r>
          </w:p>
          <w:p w14:paraId="12BA2DF3"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3. Reoveepuhastite reoveesetete käitlemise taristu rakendamine.</w:t>
            </w:r>
          </w:p>
          <w:p w14:paraId="0B818F8F" w14:textId="77777777" w:rsidR="005A4852" w:rsidRPr="00E02B5D" w:rsidRDefault="005A4852" w:rsidP="005A4852">
            <w:pPr>
              <w:spacing w:after="0" w:line="240" w:lineRule="auto"/>
              <w:rPr>
                <w:rFonts w:eastAsia="Times New Roman" w:cs="Calibri"/>
                <w:noProof/>
                <w:color w:val="006100"/>
                <w:sz w:val="18"/>
                <w:szCs w:val="18"/>
                <w:lang w:val="en-GB" w:eastAsia="en-GB"/>
              </w:rPr>
            </w:pPr>
          </w:p>
        </w:tc>
      </w:tr>
      <w:tr w:rsidR="005A4852" w:rsidRPr="003B132A" w14:paraId="7D2FB72B" w14:textId="77777777" w:rsidTr="00AF187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14:paraId="67313137"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71</w:t>
            </w:r>
          </w:p>
        </w:tc>
        <w:tc>
          <w:tcPr>
            <w:tcW w:w="1374" w:type="dxa"/>
            <w:tcBorders>
              <w:top w:val="nil"/>
              <w:left w:val="nil"/>
              <w:bottom w:val="single" w:sz="4" w:space="0" w:color="auto"/>
              <w:right w:val="single" w:sz="4" w:space="0" w:color="auto"/>
            </w:tcBorders>
            <w:shd w:val="clear" w:color="auto" w:fill="C6EFCE"/>
            <w:noWrap/>
          </w:tcPr>
          <w:p w14:paraId="653A087C"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16850_Joogiveevarustuse ja -säästu taristud</w:t>
            </w:r>
          </w:p>
        </w:tc>
        <w:tc>
          <w:tcPr>
            <w:tcW w:w="1042" w:type="dxa"/>
            <w:tcBorders>
              <w:top w:val="nil"/>
              <w:left w:val="nil"/>
              <w:bottom w:val="single" w:sz="4" w:space="0" w:color="auto"/>
              <w:right w:val="single" w:sz="4" w:space="0" w:color="auto"/>
            </w:tcBorders>
            <w:shd w:val="clear" w:color="auto" w:fill="C6EFCE"/>
            <w:noWrap/>
          </w:tcPr>
          <w:p w14:paraId="7E646066"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Eesmärk</w:t>
            </w:r>
          </w:p>
        </w:tc>
        <w:tc>
          <w:tcPr>
            <w:tcW w:w="1302" w:type="dxa"/>
            <w:tcBorders>
              <w:top w:val="nil"/>
              <w:left w:val="nil"/>
              <w:bottom w:val="single" w:sz="4" w:space="0" w:color="auto"/>
              <w:right w:val="single" w:sz="4" w:space="0" w:color="auto"/>
            </w:tcBorders>
            <w:shd w:val="clear" w:color="auto" w:fill="C6EFCE"/>
            <w:noWrap/>
          </w:tcPr>
          <w:p w14:paraId="6BD323B6" w14:textId="77777777" w:rsidR="005A4852" w:rsidRPr="00E02B5D" w:rsidRDefault="005A4852" w:rsidP="008C4310">
            <w:pPr>
              <w:spacing w:after="0" w:line="240" w:lineRule="auto"/>
              <w:rPr>
                <w:rFonts w:eastAsia="Times New Roman" w:cs="Calibri"/>
                <w:noProof/>
                <w:color w:val="006100"/>
                <w:sz w:val="18"/>
                <w:szCs w:val="18"/>
              </w:rPr>
            </w:pPr>
            <w:r>
              <w:rPr>
                <w:noProof/>
                <w:color w:val="006100"/>
                <w:sz w:val="18"/>
              </w:rPr>
              <w:t>50 % veeinfrastruktuuride lõpuleviimine</w:t>
            </w:r>
          </w:p>
        </w:tc>
        <w:tc>
          <w:tcPr>
            <w:tcW w:w="1778" w:type="dxa"/>
            <w:tcBorders>
              <w:top w:val="nil"/>
              <w:left w:val="nil"/>
              <w:bottom w:val="single" w:sz="4" w:space="0" w:color="auto"/>
              <w:right w:val="single" w:sz="4" w:space="0" w:color="auto"/>
            </w:tcBorders>
            <w:shd w:val="clear" w:color="auto" w:fill="C6EFCE"/>
            <w:noWrap/>
          </w:tcPr>
          <w:p w14:paraId="1E0DE44C"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Keskkonna- ja energeetikaministeeriumi sertifitseeritud sõltumatu inseneri aruanne</w:t>
            </w:r>
          </w:p>
        </w:tc>
        <w:tc>
          <w:tcPr>
            <w:tcW w:w="866" w:type="dxa"/>
            <w:tcBorders>
              <w:top w:val="nil"/>
              <w:left w:val="nil"/>
              <w:bottom w:val="single" w:sz="4" w:space="0" w:color="auto"/>
              <w:right w:val="single" w:sz="4" w:space="0" w:color="auto"/>
            </w:tcBorders>
            <w:shd w:val="clear" w:color="auto" w:fill="C6EFCE"/>
            <w:noWrap/>
          </w:tcPr>
          <w:p w14:paraId="15FBEFBC"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14:paraId="7D28B4A4"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14:paraId="1DA7045F"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14:paraId="2B5F6FAE"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074C1E69"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2024</w:t>
            </w:r>
          </w:p>
        </w:tc>
        <w:tc>
          <w:tcPr>
            <w:tcW w:w="4600" w:type="dxa"/>
            <w:tcBorders>
              <w:top w:val="nil"/>
              <w:left w:val="nil"/>
              <w:bottom w:val="single" w:sz="4" w:space="0" w:color="auto"/>
              <w:right w:val="single" w:sz="4" w:space="0" w:color="auto"/>
            </w:tcBorders>
            <w:shd w:val="clear" w:color="auto" w:fill="C6EFCE"/>
            <w:noWrap/>
          </w:tcPr>
          <w:p w14:paraId="0E375E77"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 xml:space="preserve">Vee säästmise meetmete lõpuleviimine 50 % majapidamiste puhul ja veevarustusprojektidega seotud tööde elluviimine 50 % ulatuses. </w:t>
            </w:r>
          </w:p>
        </w:tc>
      </w:tr>
      <w:tr w:rsidR="005A4852" w:rsidRPr="003B132A" w14:paraId="1F9236E9" w14:textId="77777777" w:rsidTr="00AF187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14:paraId="2A92F8D0"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72</w:t>
            </w:r>
          </w:p>
        </w:tc>
        <w:tc>
          <w:tcPr>
            <w:tcW w:w="1374" w:type="dxa"/>
            <w:tcBorders>
              <w:top w:val="nil"/>
              <w:left w:val="nil"/>
              <w:bottom w:val="single" w:sz="4" w:space="0" w:color="auto"/>
              <w:right w:val="single" w:sz="4" w:space="0" w:color="auto"/>
            </w:tcBorders>
            <w:shd w:val="clear" w:color="auto" w:fill="C6EFCE"/>
            <w:noWrap/>
          </w:tcPr>
          <w:p w14:paraId="636017B5" w14:textId="77777777" w:rsidR="005A4852" w:rsidRPr="00E02B5D" w:rsidRDefault="005A4852" w:rsidP="008C4310">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16846_Asulareovesi ja reoveesetete käitlemise taristud</w:t>
            </w:r>
          </w:p>
        </w:tc>
        <w:tc>
          <w:tcPr>
            <w:tcW w:w="1042" w:type="dxa"/>
            <w:tcBorders>
              <w:top w:val="nil"/>
              <w:left w:val="nil"/>
              <w:bottom w:val="single" w:sz="4" w:space="0" w:color="auto"/>
              <w:right w:val="single" w:sz="4" w:space="0" w:color="auto"/>
            </w:tcBorders>
            <w:shd w:val="clear" w:color="auto" w:fill="C6EFCE"/>
            <w:noWrap/>
          </w:tcPr>
          <w:p w14:paraId="787A53EA"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Eesmärk</w:t>
            </w:r>
          </w:p>
        </w:tc>
        <w:tc>
          <w:tcPr>
            <w:tcW w:w="1302" w:type="dxa"/>
            <w:tcBorders>
              <w:top w:val="nil"/>
              <w:left w:val="nil"/>
              <w:bottom w:val="single" w:sz="4" w:space="0" w:color="auto"/>
              <w:right w:val="single" w:sz="4" w:space="0" w:color="auto"/>
            </w:tcBorders>
            <w:shd w:val="clear" w:color="auto" w:fill="C6EFCE"/>
            <w:noWrap/>
          </w:tcPr>
          <w:p w14:paraId="07F23E0F"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50 % reoveetööde lõpuleviimine</w:t>
            </w:r>
          </w:p>
        </w:tc>
        <w:tc>
          <w:tcPr>
            <w:tcW w:w="1778" w:type="dxa"/>
            <w:tcBorders>
              <w:top w:val="nil"/>
              <w:left w:val="nil"/>
              <w:bottom w:val="single" w:sz="4" w:space="0" w:color="auto"/>
              <w:right w:val="single" w:sz="4" w:space="0" w:color="auto"/>
            </w:tcBorders>
            <w:shd w:val="clear" w:color="auto" w:fill="C6EFCE"/>
            <w:noWrap/>
          </w:tcPr>
          <w:p w14:paraId="73437746"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Keskkonna- ja energeetikaministeeriumi poolt sertifitseeritud sõltumatu inseneri valmimisaruanne</w:t>
            </w:r>
          </w:p>
        </w:tc>
        <w:tc>
          <w:tcPr>
            <w:tcW w:w="866" w:type="dxa"/>
            <w:tcBorders>
              <w:top w:val="nil"/>
              <w:left w:val="nil"/>
              <w:bottom w:val="single" w:sz="4" w:space="0" w:color="auto"/>
              <w:right w:val="single" w:sz="4" w:space="0" w:color="auto"/>
            </w:tcBorders>
            <w:shd w:val="clear" w:color="auto" w:fill="C6EFCE"/>
            <w:noWrap/>
          </w:tcPr>
          <w:p w14:paraId="7E43B09C"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14:paraId="05DB5E5D"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14:paraId="4BBFDBD8"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14:paraId="1A61C0F1"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33339E5D"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2024</w:t>
            </w:r>
          </w:p>
        </w:tc>
        <w:tc>
          <w:tcPr>
            <w:tcW w:w="4600" w:type="dxa"/>
            <w:tcBorders>
              <w:top w:val="nil"/>
              <w:left w:val="nil"/>
              <w:bottom w:val="single" w:sz="4" w:space="0" w:color="auto"/>
              <w:right w:val="single" w:sz="4" w:space="0" w:color="auto"/>
            </w:tcBorders>
            <w:shd w:val="clear" w:color="auto" w:fill="C6EFCE"/>
            <w:noWrap/>
          </w:tcPr>
          <w:p w14:paraId="5E4F3431"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Viia lõpule 50 % asulareovee ja reoveesetete käitlemise taristute tööde maksumusest.</w:t>
            </w:r>
          </w:p>
        </w:tc>
      </w:tr>
      <w:tr w:rsidR="005A4852" w:rsidRPr="003B132A" w14:paraId="20A9F924" w14:textId="77777777" w:rsidTr="00AF187E">
        <w:trPr>
          <w:trHeight w:val="313"/>
        </w:trPr>
        <w:tc>
          <w:tcPr>
            <w:tcW w:w="1027" w:type="dxa"/>
            <w:tcBorders>
              <w:top w:val="nil"/>
              <w:left w:val="single" w:sz="4" w:space="0" w:color="auto"/>
              <w:bottom w:val="single" w:sz="4" w:space="0" w:color="auto"/>
              <w:right w:val="single" w:sz="4" w:space="0" w:color="auto"/>
            </w:tcBorders>
            <w:shd w:val="clear" w:color="auto" w:fill="C6EFCE"/>
            <w:noWrap/>
          </w:tcPr>
          <w:p w14:paraId="47514CD4"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73</w:t>
            </w:r>
          </w:p>
        </w:tc>
        <w:tc>
          <w:tcPr>
            <w:tcW w:w="1374" w:type="dxa"/>
            <w:tcBorders>
              <w:top w:val="nil"/>
              <w:left w:val="nil"/>
              <w:bottom w:val="single" w:sz="4" w:space="0" w:color="auto"/>
              <w:right w:val="single" w:sz="4" w:space="0" w:color="auto"/>
            </w:tcBorders>
            <w:shd w:val="clear" w:color="auto" w:fill="C6EFCE"/>
            <w:noWrap/>
          </w:tcPr>
          <w:p w14:paraId="14FD4619" w14:textId="77777777" w:rsidR="005A4852" w:rsidRPr="00E02B5D" w:rsidRDefault="005A4852" w:rsidP="008C4310">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16846_Asulareovesi ja reoveesetete käitlemise taristud</w:t>
            </w:r>
          </w:p>
        </w:tc>
        <w:tc>
          <w:tcPr>
            <w:tcW w:w="1042" w:type="dxa"/>
            <w:tcBorders>
              <w:top w:val="nil"/>
              <w:left w:val="nil"/>
              <w:bottom w:val="single" w:sz="4" w:space="0" w:color="auto"/>
              <w:right w:val="single" w:sz="4" w:space="0" w:color="auto"/>
            </w:tcBorders>
            <w:shd w:val="clear" w:color="auto" w:fill="C6EFCE"/>
            <w:noWrap/>
          </w:tcPr>
          <w:p w14:paraId="5376E1D5"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Eesmärk</w:t>
            </w:r>
          </w:p>
        </w:tc>
        <w:tc>
          <w:tcPr>
            <w:tcW w:w="1302" w:type="dxa"/>
            <w:tcBorders>
              <w:top w:val="nil"/>
              <w:left w:val="nil"/>
              <w:bottom w:val="single" w:sz="4" w:space="0" w:color="auto"/>
              <w:right w:val="single" w:sz="4" w:space="0" w:color="auto"/>
            </w:tcBorders>
            <w:shd w:val="clear" w:color="auto" w:fill="C6EFCE"/>
            <w:noWrap/>
          </w:tcPr>
          <w:p w14:paraId="12C27D6D"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Asulareovee ja reoveesetete käitlemise taristute lõpuleviimine</w:t>
            </w:r>
          </w:p>
        </w:tc>
        <w:tc>
          <w:tcPr>
            <w:tcW w:w="1778" w:type="dxa"/>
            <w:tcBorders>
              <w:top w:val="nil"/>
              <w:left w:val="nil"/>
              <w:bottom w:val="single" w:sz="4" w:space="0" w:color="auto"/>
              <w:right w:val="single" w:sz="4" w:space="0" w:color="auto"/>
            </w:tcBorders>
            <w:shd w:val="clear" w:color="auto" w:fill="C6EFCE"/>
            <w:noWrap/>
          </w:tcPr>
          <w:p w14:paraId="4A52784B"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Keskkonna- ja energeetikaministeeriumi poolt sertifitseeritud sõltumatu inseneri valmimisaruanne</w:t>
            </w:r>
          </w:p>
        </w:tc>
        <w:tc>
          <w:tcPr>
            <w:tcW w:w="866" w:type="dxa"/>
            <w:tcBorders>
              <w:top w:val="nil"/>
              <w:left w:val="nil"/>
              <w:bottom w:val="single" w:sz="4" w:space="0" w:color="auto"/>
              <w:right w:val="single" w:sz="4" w:space="0" w:color="auto"/>
            </w:tcBorders>
            <w:shd w:val="clear" w:color="auto" w:fill="C6EFCE"/>
            <w:noWrap/>
          </w:tcPr>
          <w:p w14:paraId="58DDA9D7"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14:paraId="4AC979B7"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14:paraId="2E4F4ECD"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14:paraId="338EE8D6"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0C8735D5"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2025</w:t>
            </w:r>
          </w:p>
        </w:tc>
        <w:tc>
          <w:tcPr>
            <w:tcW w:w="4600" w:type="dxa"/>
            <w:tcBorders>
              <w:top w:val="nil"/>
              <w:left w:val="nil"/>
              <w:bottom w:val="single" w:sz="4" w:space="0" w:color="auto"/>
              <w:right w:val="single" w:sz="4" w:space="0" w:color="auto"/>
            </w:tcBorders>
            <w:shd w:val="clear" w:color="auto" w:fill="C6EFCE"/>
            <w:noWrap/>
          </w:tcPr>
          <w:p w14:paraId="3A28E8EC"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 xml:space="preserve">Kõigi asulareovee ja reoveesetete käitlemise projektide lõpuleviimine: </w:t>
            </w:r>
          </w:p>
          <w:p w14:paraId="4E7C7695"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1. Kanalisatsioonivõrgu infrastruktuur ja reoveepuhastusjaamad;</w:t>
            </w:r>
          </w:p>
          <w:p w14:paraId="17DE0B99"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2. Reoveepuhastite ajakohastamine, laiendamine ja moderniseerimine ning puhastatud vee taaskasutamine; ning</w:t>
            </w:r>
          </w:p>
          <w:p w14:paraId="3C6F9B6A"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3. Reoveepuhastite reoveesetete käitlemise taristu rakendamine.</w:t>
            </w:r>
          </w:p>
        </w:tc>
      </w:tr>
      <w:tr w:rsidR="005A4852" w:rsidRPr="003B132A" w14:paraId="4823D228" w14:textId="77777777" w:rsidTr="00AF187E">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3C7A66E"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74</w:t>
            </w:r>
          </w:p>
        </w:tc>
        <w:tc>
          <w:tcPr>
            <w:tcW w:w="1374" w:type="dxa"/>
            <w:tcBorders>
              <w:top w:val="single" w:sz="4" w:space="0" w:color="auto"/>
              <w:left w:val="nil"/>
              <w:bottom w:val="single" w:sz="4" w:space="0" w:color="auto"/>
              <w:right w:val="single" w:sz="4" w:space="0" w:color="auto"/>
            </w:tcBorders>
            <w:shd w:val="clear" w:color="auto" w:fill="C6EFCE"/>
            <w:noWrap/>
          </w:tcPr>
          <w:p w14:paraId="0D48A753"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4-1.4. Ressursside säästev kasutamine, kliimamuutustele vastupanu võime ja keskkonnakaitse – 16850_Joogiveevarustuse ja -säästu taristud</w:t>
            </w:r>
          </w:p>
        </w:tc>
        <w:tc>
          <w:tcPr>
            <w:tcW w:w="1042" w:type="dxa"/>
            <w:tcBorders>
              <w:top w:val="single" w:sz="4" w:space="0" w:color="auto"/>
              <w:left w:val="nil"/>
              <w:bottom w:val="single" w:sz="4" w:space="0" w:color="auto"/>
              <w:right w:val="single" w:sz="4" w:space="0" w:color="auto"/>
            </w:tcBorders>
            <w:shd w:val="clear" w:color="auto" w:fill="C6EFCE"/>
            <w:noWrap/>
          </w:tcPr>
          <w:p w14:paraId="3747DB11"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Eesmärk</w:t>
            </w:r>
          </w:p>
        </w:tc>
        <w:tc>
          <w:tcPr>
            <w:tcW w:w="1302" w:type="dxa"/>
            <w:tcBorders>
              <w:top w:val="single" w:sz="4" w:space="0" w:color="auto"/>
              <w:left w:val="nil"/>
              <w:bottom w:val="single" w:sz="4" w:space="0" w:color="auto"/>
              <w:right w:val="single" w:sz="4" w:space="0" w:color="auto"/>
            </w:tcBorders>
            <w:shd w:val="clear" w:color="auto" w:fill="C6EFCE"/>
            <w:noWrap/>
          </w:tcPr>
          <w:p w14:paraId="5AABF2B1" w14:textId="77777777" w:rsidR="005A4852" w:rsidRPr="00E02B5D" w:rsidRDefault="005A4852" w:rsidP="008C4310">
            <w:pPr>
              <w:spacing w:after="0" w:line="240" w:lineRule="auto"/>
              <w:rPr>
                <w:rFonts w:eastAsia="Times New Roman" w:cs="Calibri"/>
                <w:noProof/>
                <w:color w:val="006100"/>
                <w:sz w:val="18"/>
                <w:szCs w:val="18"/>
              </w:rPr>
            </w:pPr>
            <w:r>
              <w:rPr>
                <w:noProof/>
                <w:color w:val="006100"/>
                <w:sz w:val="18"/>
              </w:rPr>
              <w:t>Veeinfrastruktuuride väljakujundamine</w:t>
            </w:r>
          </w:p>
        </w:tc>
        <w:tc>
          <w:tcPr>
            <w:tcW w:w="1778" w:type="dxa"/>
            <w:tcBorders>
              <w:top w:val="single" w:sz="4" w:space="0" w:color="auto"/>
              <w:left w:val="nil"/>
              <w:bottom w:val="single" w:sz="4" w:space="0" w:color="auto"/>
              <w:right w:val="single" w:sz="4" w:space="0" w:color="auto"/>
            </w:tcBorders>
            <w:shd w:val="clear" w:color="auto" w:fill="C6EFCE"/>
            <w:noWrap/>
          </w:tcPr>
          <w:p w14:paraId="118A5023"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Keskkonna- ja energeetikaministeeriumi poolt sertifitseeritud sõltumatu inseneri valmimisaruanne</w:t>
            </w:r>
          </w:p>
        </w:tc>
        <w:tc>
          <w:tcPr>
            <w:tcW w:w="866" w:type="dxa"/>
            <w:tcBorders>
              <w:top w:val="single" w:sz="4" w:space="0" w:color="auto"/>
              <w:left w:val="nil"/>
              <w:bottom w:val="single" w:sz="4" w:space="0" w:color="auto"/>
              <w:right w:val="single" w:sz="4" w:space="0" w:color="auto"/>
            </w:tcBorders>
            <w:shd w:val="clear" w:color="auto" w:fill="C6EFCE"/>
            <w:noWrap/>
          </w:tcPr>
          <w:p w14:paraId="02310E68"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2F026E65"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14:paraId="0B51DE88" w14:textId="77777777" w:rsidR="005A4852" w:rsidRPr="00AD4052" w:rsidRDefault="005A4852" w:rsidP="005A4852">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5ED2B69C"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54B46925"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2025</w:t>
            </w:r>
          </w:p>
        </w:tc>
        <w:tc>
          <w:tcPr>
            <w:tcW w:w="4600" w:type="dxa"/>
            <w:tcBorders>
              <w:top w:val="single" w:sz="4" w:space="0" w:color="auto"/>
              <w:left w:val="nil"/>
              <w:bottom w:val="single" w:sz="4" w:space="0" w:color="auto"/>
              <w:right w:val="single" w:sz="4" w:space="0" w:color="auto"/>
            </w:tcBorders>
            <w:shd w:val="clear" w:color="auto" w:fill="C6EFCE"/>
            <w:noWrap/>
          </w:tcPr>
          <w:p w14:paraId="28328E8E"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 xml:space="preserve">Kõigi projektide lõpuleviimine, sealhulgas: </w:t>
            </w:r>
          </w:p>
          <w:p w14:paraId="36939675"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1: Veevarustuse infrastruktuurid seitsmes piirkonnas</w:t>
            </w:r>
          </w:p>
          <w:p w14:paraId="56FFDB2C"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2: Kolm magestamisettevõtet</w:t>
            </w:r>
          </w:p>
          <w:p w14:paraId="30880A91"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3: Telemeetria – kaugjuhtimisprojektid lekete avastamiseks veevarustusvõrkudes</w:t>
            </w:r>
          </w:p>
          <w:p w14:paraId="6E0A1F82" w14:textId="77777777" w:rsidR="005A4852" w:rsidRPr="00E02B5D" w:rsidRDefault="005A4852" w:rsidP="005A4852">
            <w:pPr>
              <w:spacing w:after="0" w:line="240" w:lineRule="auto"/>
              <w:rPr>
                <w:rFonts w:eastAsia="Times New Roman" w:cs="Calibri"/>
                <w:noProof/>
                <w:color w:val="006100"/>
                <w:sz w:val="18"/>
                <w:szCs w:val="18"/>
              </w:rPr>
            </w:pPr>
            <w:r>
              <w:rPr>
                <w:noProof/>
                <w:color w:val="006100"/>
                <w:sz w:val="18"/>
              </w:rPr>
              <w:t xml:space="preserve">4: Digitaalsete veearvestite hankimine </w:t>
            </w:r>
          </w:p>
          <w:p w14:paraId="1567BF55" w14:textId="761F3AC4" w:rsidR="005A4852" w:rsidRPr="00E02B5D" w:rsidRDefault="005A4852" w:rsidP="005A4852">
            <w:pPr>
              <w:spacing w:after="0" w:line="240" w:lineRule="auto"/>
              <w:rPr>
                <w:rFonts w:eastAsia="Times New Roman" w:cs="Calibri"/>
                <w:noProof/>
                <w:color w:val="006100"/>
                <w:sz w:val="18"/>
                <w:szCs w:val="18"/>
              </w:rPr>
            </w:pPr>
            <w:r>
              <w:rPr>
                <w:noProof/>
                <w:color w:val="006100"/>
                <w:sz w:val="18"/>
              </w:rPr>
              <w:t>5: Vee säästmise meetmed vähemalt 45 000 kodumajapidamises ja 10 000 ettevõttes</w:t>
            </w:r>
          </w:p>
        </w:tc>
      </w:tr>
    </w:tbl>
    <w:p w14:paraId="21421DCD" w14:textId="77777777" w:rsidR="00645BC7" w:rsidRPr="00AD4052" w:rsidRDefault="00645BC7" w:rsidP="00645BC7">
      <w:pPr>
        <w:spacing w:before="120" w:after="120" w:line="240" w:lineRule="auto"/>
        <w:rPr>
          <w:rFonts w:ascii="Times New Roman" w:hAnsi="Times New Roman" w:cs="Times New Roman"/>
          <w:noProof/>
          <w:sz w:val="24"/>
        </w:rPr>
      </w:pPr>
    </w:p>
    <w:p w14:paraId="007E1014" w14:textId="77777777" w:rsidR="00933578" w:rsidRPr="00AD4052" w:rsidRDefault="00933578" w:rsidP="00645BC7">
      <w:pPr>
        <w:keepNext/>
        <w:keepLines/>
        <w:spacing w:before="360" w:after="0" w:line="240" w:lineRule="auto"/>
        <w:jc w:val="both"/>
        <w:outlineLvl w:val="4"/>
        <w:rPr>
          <w:rFonts w:ascii="Cambria" w:hAnsi="Cambria"/>
          <w:noProof/>
          <w:color w:val="365F91"/>
          <w:sz w:val="24"/>
        </w:rPr>
        <w:sectPr w:rsidR="00933578" w:rsidRPr="00AD4052" w:rsidSect="00271D33">
          <w:headerReference w:type="even" r:id="rId104"/>
          <w:headerReference w:type="default" r:id="rId105"/>
          <w:footerReference w:type="even" r:id="rId106"/>
          <w:footerReference w:type="default" r:id="rId107"/>
          <w:headerReference w:type="first" r:id="rId108"/>
          <w:footerReference w:type="first" r:id="rId109"/>
          <w:pgSz w:w="16839" w:h="11907" w:orient="landscape"/>
          <w:pgMar w:top="720" w:right="720" w:bottom="720" w:left="720" w:header="709" w:footer="709" w:gutter="0"/>
          <w:cols w:space="720"/>
          <w:docGrid w:linePitch="360"/>
        </w:sectPr>
      </w:pPr>
    </w:p>
    <w:p w14:paraId="7F3B7121" w14:textId="77777777" w:rsidR="00645BC7" w:rsidRPr="00E02B5D" w:rsidRDefault="00645BC7" w:rsidP="00645BC7">
      <w:pPr>
        <w:keepNext/>
        <w:keepLines/>
        <w:spacing w:before="360" w:after="0" w:line="240" w:lineRule="auto"/>
        <w:jc w:val="both"/>
        <w:outlineLvl w:val="4"/>
        <w:rPr>
          <w:rFonts w:ascii="Cambria" w:eastAsia="Times New Roman" w:hAnsi="Cambria"/>
          <w:noProof/>
          <w:color w:val="365F91"/>
          <w:sz w:val="24"/>
        </w:rPr>
      </w:pPr>
      <w:r>
        <w:rPr>
          <w:rFonts w:ascii="Cambria" w:hAnsi="Cambria"/>
          <w:noProof/>
          <w:color w:val="365F91"/>
          <w:sz w:val="24"/>
        </w:rPr>
        <w:t>Grupp 7: Kodanikukaitse projektid</w:t>
      </w:r>
    </w:p>
    <w:p w14:paraId="26700317"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Sellesse rühma kuuluvad järgmised meetmed:</w:t>
      </w:r>
    </w:p>
    <w:p w14:paraId="3233515D"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Lennuvahendid kriisiohje jaoks (ID: 16911)</w:t>
      </w:r>
    </w:p>
    <w:p w14:paraId="75C5259D"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Uuendusliku järelevalve- ja juhtimissüsteemi väljatöötamine (ID: 16910)</w:t>
      </w:r>
    </w:p>
    <w:p w14:paraId="2740E728"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Strateegilise riikliku katastroofiohu juhtimise loomine (ID: 16909)</w:t>
      </w:r>
    </w:p>
    <w:p w14:paraId="7FF0AB64"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Metsatulekahjude kustutamise, ennetamise ja neile reageerimise seadmed (ID: 16912)</w:t>
      </w:r>
    </w:p>
    <w:p w14:paraId="4EEC0E91" w14:textId="77777777" w:rsidR="00645BC7" w:rsidRPr="00E02B5D" w:rsidRDefault="00645BC7" w:rsidP="00645BC7">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Piirkondlike kodanikukaitsekeskuste (PEKEPP) rakendamine avaliku ja erasektori partnerluse kavade kaudu (ID: 16283)</w:t>
      </w:r>
    </w:p>
    <w:p w14:paraId="50F7B89A" w14:textId="77777777" w:rsidR="00A42AC3" w:rsidRPr="00E02B5D" w:rsidRDefault="34E0A6AB" w:rsidP="00D6270B">
      <w:pPr>
        <w:pStyle w:val="ListParagraph"/>
        <w:numPr>
          <w:ilvl w:val="0"/>
          <w:numId w:val="2"/>
        </w:numPr>
        <w:spacing w:before="120" w:after="120" w:line="240" w:lineRule="auto"/>
        <w:rPr>
          <w:noProof/>
          <w:sz w:val="24"/>
          <w:szCs w:val="24"/>
        </w:rPr>
      </w:pPr>
      <w:r>
        <w:rPr>
          <w:rFonts w:ascii="Times New Roman" w:hAnsi="Times New Roman"/>
          <w:noProof/>
          <w:sz w:val="24"/>
        </w:rPr>
        <w:t>Ehitiste seismilisuse eelkontroll (ID: 16983)</w:t>
      </w:r>
    </w:p>
    <w:p w14:paraId="4A71C350" w14:textId="77777777" w:rsidR="00A42AC3" w:rsidRPr="00E02B5D" w:rsidRDefault="00A42AC3" w:rsidP="00645BC7">
      <w:pPr>
        <w:spacing w:before="120" w:after="120" w:line="240" w:lineRule="auto"/>
        <w:rPr>
          <w:rFonts w:ascii="Times New Roman" w:hAnsi="Times New Roman" w:cs="Times New Roman"/>
          <w:noProof/>
          <w:sz w:val="24"/>
          <w:lang w:val="en-GB"/>
        </w:rPr>
      </w:pPr>
    </w:p>
    <w:tbl>
      <w:tblPr>
        <w:tblStyle w:val="TableGrid"/>
        <w:tblW w:w="15588" w:type="dxa"/>
        <w:jc w:val="center"/>
        <w:tblLayout w:type="fixed"/>
        <w:tblLook w:val="0480" w:firstRow="0" w:lastRow="0" w:firstColumn="1" w:lastColumn="0" w:noHBand="0" w:noVBand="1"/>
      </w:tblPr>
      <w:tblGrid>
        <w:gridCol w:w="1129"/>
        <w:gridCol w:w="1276"/>
        <w:gridCol w:w="993"/>
        <w:gridCol w:w="1134"/>
        <w:gridCol w:w="1134"/>
        <w:gridCol w:w="992"/>
        <w:gridCol w:w="992"/>
        <w:gridCol w:w="709"/>
        <w:gridCol w:w="850"/>
        <w:gridCol w:w="851"/>
        <w:gridCol w:w="5528"/>
      </w:tblGrid>
      <w:tr w:rsidR="007B4D63" w:rsidRPr="003B132A" w14:paraId="0D2BC415" w14:textId="77777777" w:rsidTr="0052157A">
        <w:trPr>
          <w:trHeight w:val="612"/>
          <w:tblHeader/>
          <w:jc w:val="center"/>
        </w:trPr>
        <w:tc>
          <w:tcPr>
            <w:tcW w:w="1129" w:type="dxa"/>
            <w:vMerge w:val="restart"/>
            <w:shd w:val="clear" w:color="auto" w:fill="BDD7EE"/>
            <w:vAlign w:val="center"/>
            <w:hideMark/>
          </w:tcPr>
          <w:p w14:paraId="095EA5F6"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276" w:type="dxa"/>
            <w:vMerge w:val="restart"/>
            <w:shd w:val="clear" w:color="auto" w:fill="BDD7EE"/>
            <w:vAlign w:val="center"/>
            <w:hideMark/>
          </w:tcPr>
          <w:p w14:paraId="0F11964D"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93" w:type="dxa"/>
            <w:vMerge w:val="restart"/>
            <w:shd w:val="clear" w:color="auto" w:fill="BDD7EE"/>
            <w:vAlign w:val="center"/>
            <w:hideMark/>
          </w:tcPr>
          <w:p w14:paraId="30BFC9D6"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134" w:type="dxa"/>
            <w:vMerge w:val="restart"/>
            <w:shd w:val="clear" w:color="auto" w:fill="BDD7EE"/>
            <w:vAlign w:val="center"/>
            <w:hideMark/>
          </w:tcPr>
          <w:p w14:paraId="48AEE39E"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134" w:type="dxa"/>
            <w:vMerge w:val="restart"/>
            <w:shd w:val="clear" w:color="auto" w:fill="BDD7EE"/>
            <w:vAlign w:val="center"/>
            <w:hideMark/>
          </w:tcPr>
          <w:p w14:paraId="785F0C2C"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693" w:type="dxa"/>
            <w:gridSpan w:val="3"/>
            <w:shd w:val="clear" w:color="auto" w:fill="BDD7EE"/>
            <w:vAlign w:val="center"/>
            <w:hideMark/>
          </w:tcPr>
          <w:p w14:paraId="7162E3C6"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701" w:type="dxa"/>
            <w:gridSpan w:val="2"/>
            <w:shd w:val="clear" w:color="auto" w:fill="BDD7EE"/>
            <w:vAlign w:val="center"/>
            <w:hideMark/>
          </w:tcPr>
          <w:p w14:paraId="79C9236E"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5528" w:type="dxa"/>
            <w:vMerge w:val="restart"/>
            <w:shd w:val="clear" w:color="auto" w:fill="BDD7EE"/>
            <w:vAlign w:val="center"/>
            <w:hideMark/>
          </w:tcPr>
          <w:p w14:paraId="34612095"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1DECA2EC" w14:textId="77777777" w:rsidTr="0052157A">
        <w:trPr>
          <w:trHeight w:val="540"/>
          <w:tblHeader/>
          <w:jc w:val="center"/>
        </w:trPr>
        <w:tc>
          <w:tcPr>
            <w:tcW w:w="1129" w:type="dxa"/>
            <w:vMerge/>
            <w:vAlign w:val="center"/>
            <w:hideMark/>
          </w:tcPr>
          <w:p w14:paraId="630E05D6" w14:textId="77777777" w:rsidR="00645BC7" w:rsidRPr="00AD4052" w:rsidRDefault="00645BC7" w:rsidP="007B4D63">
            <w:pPr>
              <w:rPr>
                <w:rFonts w:ascii="Times New Roman" w:eastAsia="Times New Roman" w:hAnsi="Times New Roman" w:cs="Times New Roman"/>
                <w:b/>
                <w:bCs/>
                <w:noProof/>
                <w:sz w:val="18"/>
                <w:szCs w:val="18"/>
                <w:lang w:eastAsia="en-GB"/>
              </w:rPr>
            </w:pPr>
          </w:p>
        </w:tc>
        <w:tc>
          <w:tcPr>
            <w:tcW w:w="1276" w:type="dxa"/>
            <w:vMerge/>
            <w:vAlign w:val="center"/>
            <w:hideMark/>
          </w:tcPr>
          <w:p w14:paraId="2C02C307" w14:textId="77777777" w:rsidR="00645BC7" w:rsidRPr="00AD4052" w:rsidRDefault="00645BC7" w:rsidP="007B4D63">
            <w:pPr>
              <w:rPr>
                <w:rFonts w:ascii="Times New Roman" w:eastAsia="Times New Roman" w:hAnsi="Times New Roman" w:cs="Times New Roman"/>
                <w:b/>
                <w:bCs/>
                <w:noProof/>
                <w:sz w:val="18"/>
                <w:szCs w:val="18"/>
                <w:lang w:eastAsia="en-GB"/>
              </w:rPr>
            </w:pPr>
          </w:p>
        </w:tc>
        <w:tc>
          <w:tcPr>
            <w:tcW w:w="993" w:type="dxa"/>
            <w:vMerge/>
            <w:vAlign w:val="center"/>
            <w:hideMark/>
          </w:tcPr>
          <w:p w14:paraId="0100A6AF" w14:textId="77777777" w:rsidR="00645BC7" w:rsidRPr="00AD4052" w:rsidRDefault="00645BC7" w:rsidP="007B4D63">
            <w:pPr>
              <w:rPr>
                <w:rFonts w:ascii="Times New Roman" w:eastAsia="Times New Roman" w:hAnsi="Times New Roman" w:cs="Times New Roman"/>
                <w:b/>
                <w:bCs/>
                <w:noProof/>
                <w:sz w:val="18"/>
                <w:szCs w:val="18"/>
                <w:lang w:eastAsia="en-GB"/>
              </w:rPr>
            </w:pPr>
          </w:p>
        </w:tc>
        <w:tc>
          <w:tcPr>
            <w:tcW w:w="1134" w:type="dxa"/>
            <w:vMerge/>
            <w:vAlign w:val="center"/>
            <w:hideMark/>
          </w:tcPr>
          <w:p w14:paraId="11073176" w14:textId="77777777" w:rsidR="00645BC7" w:rsidRPr="00AD4052" w:rsidRDefault="00645BC7" w:rsidP="007B4D63">
            <w:pPr>
              <w:rPr>
                <w:rFonts w:ascii="Times New Roman" w:eastAsia="Times New Roman" w:hAnsi="Times New Roman" w:cs="Times New Roman"/>
                <w:b/>
                <w:bCs/>
                <w:noProof/>
                <w:sz w:val="18"/>
                <w:szCs w:val="18"/>
                <w:lang w:eastAsia="en-GB"/>
              </w:rPr>
            </w:pPr>
          </w:p>
        </w:tc>
        <w:tc>
          <w:tcPr>
            <w:tcW w:w="1134" w:type="dxa"/>
            <w:vMerge/>
            <w:vAlign w:val="center"/>
            <w:hideMark/>
          </w:tcPr>
          <w:p w14:paraId="5C0143F3" w14:textId="77777777" w:rsidR="00645BC7" w:rsidRPr="00AD4052" w:rsidRDefault="00645BC7" w:rsidP="007B4D63">
            <w:pPr>
              <w:rPr>
                <w:rFonts w:ascii="Times New Roman" w:eastAsia="Times New Roman" w:hAnsi="Times New Roman" w:cs="Times New Roman"/>
                <w:b/>
                <w:bCs/>
                <w:noProof/>
                <w:sz w:val="18"/>
                <w:szCs w:val="18"/>
                <w:lang w:eastAsia="en-GB"/>
              </w:rPr>
            </w:pPr>
          </w:p>
        </w:tc>
        <w:tc>
          <w:tcPr>
            <w:tcW w:w="992" w:type="dxa"/>
            <w:shd w:val="clear" w:color="auto" w:fill="BDD7EE"/>
            <w:vAlign w:val="center"/>
            <w:hideMark/>
          </w:tcPr>
          <w:p w14:paraId="37989C94"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92" w:type="dxa"/>
            <w:shd w:val="clear" w:color="auto" w:fill="BDD7EE"/>
            <w:vAlign w:val="center"/>
            <w:hideMark/>
          </w:tcPr>
          <w:p w14:paraId="74BBAD15"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709" w:type="dxa"/>
            <w:shd w:val="clear" w:color="auto" w:fill="BDD7EE"/>
            <w:vAlign w:val="center"/>
            <w:hideMark/>
          </w:tcPr>
          <w:p w14:paraId="5EEBFE3B"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50" w:type="dxa"/>
            <w:shd w:val="clear" w:color="auto" w:fill="BDD7EE"/>
            <w:vAlign w:val="center"/>
            <w:hideMark/>
          </w:tcPr>
          <w:p w14:paraId="1E85042A"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851" w:type="dxa"/>
            <w:shd w:val="clear" w:color="auto" w:fill="BDD7EE"/>
            <w:vAlign w:val="center"/>
            <w:hideMark/>
          </w:tcPr>
          <w:p w14:paraId="6FFD73DB" w14:textId="77777777" w:rsidR="00645BC7" w:rsidRPr="00E02B5D" w:rsidRDefault="00645BC7" w:rsidP="007B4D63">
            <w:pPr>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5528" w:type="dxa"/>
            <w:vMerge/>
            <w:vAlign w:val="center"/>
            <w:hideMark/>
          </w:tcPr>
          <w:p w14:paraId="69528607" w14:textId="77777777" w:rsidR="00645BC7" w:rsidRPr="00E02B5D" w:rsidRDefault="00645BC7" w:rsidP="007B4D63">
            <w:pPr>
              <w:rPr>
                <w:rFonts w:ascii="Times New Roman" w:eastAsia="Times New Roman" w:hAnsi="Times New Roman" w:cs="Times New Roman"/>
                <w:b/>
                <w:bCs/>
                <w:noProof/>
                <w:sz w:val="18"/>
                <w:szCs w:val="18"/>
                <w:lang w:val="en-GB" w:eastAsia="en-GB"/>
              </w:rPr>
            </w:pPr>
          </w:p>
        </w:tc>
      </w:tr>
      <w:tr w:rsidR="007B4D63" w:rsidRPr="003B132A" w14:paraId="2867B527" w14:textId="77777777" w:rsidTr="00AF187E">
        <w:trPr>
          <w:trHeight w:val="309"/>
          <w:jc w:val="center"/>
        </w:trPr>
        <w:tc>
          <w:tcPr>
            <w:tcW w:w="1129" w:type="dxa"/>
            <w:shd w:val="clear" w:color="auto" w:fill="C6EFCE"/>
            <w:noWrap/>
          </w:tcPr>
          <w:p w14:paraId="1A32EC30" w14:textId="77777777" w:rsidR="00645BC7" w:rsidRPr="00E02B5D" w:rsidRDefault="00645BC7" w:rsidP="007B4D63">
            <w:pPr>
              <w:rPr>
                <w:rFonts w:eastAsia="Times New Roman" w:cs="Calibri"/>
                <w:noProof/>
                <w:color w:val="006100"/>
                <w:sz w:val="18"/>
                <w:szCs w:val="18"/>
              </w:rPr>
            </w:pPr>
            <w:r>
              <w:rPr>
                <w:noProof/>
                <w:color w:val="006100"/>
                <w:sz w:val="18"/>
              </w:rPr>
              <w:t>77</w:t>
            </w:r>
          </w:p>
        </w:tc>
        <w:tc>
          <w:tcPr>
            <w:tcW w:w="1276" w:type="dxa"/>
            <w:shd w:val="clear" w:color="auto" w:fill="C6EFCE"/>
            <w:noWrap/>
          </w:tcPr>
          <w:p w14:paraId="2E9BA69C" w14:textId="77777777" w:rsidR="00645BC7" w:rsidRPr="00E02B5D" w:rsidRDefault="00645BC7" w:rsidP="007B4D63">
            <w:pPr>
              <w:rPr>
                <w:rFonts w:eastAsia="Times New Roman" w:cs="Calibri"/>
                <w:noProof/>
                <w:color w:val="006100"/>
                <w:sz w:val="18"/>
                <w:szCs w:val="18"/>
              </w:rPr>
            </w:pPr>
            <w:r>
              <w:rPr>
                <w:noProof/>
                <w:color w:val="006100"/>
                <w:sz w:val="18"/>
              </w:rPr>
              <w:t>4-1.4. Ressursside säästev kasutamine, kliimamuutustele vastupanu võime ja keskkonnakaitse – 16283_Piirkondlike kodanikukaitsekeskuste (PEKEPP) rakendamine avaliku ja erasektori partnerluse kavade kaudu</w:t>
            </w:r>
          </w:p>
        </w:tc>
        <w:tc>
          <w:tcPr>
            <w:tcW w:w="993" w:type="dxa"/>
            <w:shd w:val="clear" w:color="auto" w:fill="C6EFCE"/>
            <w:noWrap/>
          </w:tcPr>
          <w:p w14:paraId="245378DA" w14:textId="77777777" w:rsidR="00645BC7" w:rsidRPr="00E02B5D" w:rsidRDefault="00645BC7" w:rsidP="007B4D63">
            <w:pPr>
              <w:rPr>
                <w:rFonts w:eastAsia="Times New Roman" w:cs="Calibri"/>
                <w:noProof/>
                <w:color w:val="006100"/>
                <w:sz w:val="18"/>
                <w:szCs w:val="18"/>
              </w:rPr>
            </w:pPr>
            <w:r>
              <w:rPr>
                <w:noProof/>
                <w:color w:val="006100"/>
                <w:sz w:val="18"/>
              </w:rPr>
              <w:t>Eesmärk</w:t>
            </w:r>
          </w:p>
        </w:tc>
        <w:tc>
          <w:tcPr>
            <w:tcW w:w="1134" w:type="dxa"/>
            <w:shd w:val="clear" w:color="auto" w:fill="C6EFCE"/>
            <w:noWrap/>
          </w:tcPr>
          <w:p w14:paraId="3150164B" w14:textId="77777777" w:rsidR="00645BC7" w:rsidRPr="00E02B5D" w:rsidRDefault="00645BC7" w:rsidP="007B4D63">
            <w:pPr>
              <w:rPr>
                <w:rFonts w:eastAsia="Times New Roman" w:cs="Calibri"/>
                <w:noProof/>
                <w:color w:val="006100"/>
                <w:sz w:val="18"/>
                <w:szCs w:val="18"/>
              </w:rPr>
            </w:pPr>
            <w:r>
              <w:rPr>
                <w:noProof/>
                <w:color w:val="006100"/>
                <w:sz w:val="18"/>
              </w:rPr>
              <w:t>13 piirkondlikku keskust käsitlev pakkumus</w:t>
            </w:r>
          </w:p>
        </w:tc>
        <w:tc>
          <w:tcPr>
            <w:tcW w:w="1134" w:type="dxa"/>
            <w:shd w:val="clear" w:color="auto" w:fill="C6EFCE"/>
            <w:noWrap/>
          </w:tcPr>
          <w:p w14:paraId="6873FF94" w14:textId="77777777" w:rsidR="00645BC7" w:rsidRPr="00E02B5D" w:rsidRDefault="00645BC7" w:rsidP="007B4D63">
            <w:pPr>
              <w:rPr>
                <w:rFonts w:eastAsia="Times New Roman" w:cs="Calibri"/>
                <w:noProof/>
                <w:color w:val="006100"/>
                <w:sz w:val="18"/>
                <w:szCs w:val="18"/>
              </w:rPr>
            </w:pPr>
            <w:r>
              <w:rPr>
                <w:noProof/>
                <w:color w:val="006100"/>
                <w:sz w:val="18"/>
              </w:rPr>
              <w:t>Hanketeate avaldamine</w:t>
            </w:r>
          </w:p>
        </w:tc>
        <w:tc>
          <w:tcPr>
            <w:tcW w:w="992" w:type="dxa"/>
            <w:shd w:val="clear" w:color="auto" w:fill="C6EFCE"/>
            <w:noWrap/>
          </w:tcPr>
          <w:p w14:paraId="4520C3C8" w14:textId="77777777" w:rsidR="00645BC7" w:rsidRPr="00E02B5D" w:rsidRDefault="00645BC7" w:rsidP="007B4D63">
            <w:pPr>
              <w:rPr>
                <w:rFonts w:eastAsia="Times New Roman" w:cs="Calibri"/>
                <w:noProof/>
                <w:color w:val="006100"/>
                <w:sz w:val="18"/>
                <w:szCs w:val="18"/>
                <w:lang w:val="en-GB" w:eastAsia="en-GB"/>
              </w:rPr>
            </w:pPr>
          </w:p>
        </w:tc>
        <w:tc>
          <w:tcPr>
            <w:tcW w:w="992" w:type="dxa"/>
            <w:shd w:val="clear" w:color="auto" w:fill="C6EFCE"/>
            <w:noWrap/>
          </w:tcPr>
          <w:p w14:paraId="1503A288" w14:textId="77777777" w:rsidR="00645BC7" w:rsidRPr="00E02B5D" w:rsidRDefault="00645BC7" w:rsidP="007B4D63">
            <w:pPr>
              <w:rPr>
                <w:rFonts w:eastAsia="Times New Roman" w:cs="Calibri"/>
                <w:noProof/>
                <w:color w:val="006100"/>
                <w:sz w:val="18"/>
                <w:szCs w:val="18"/>
                <w:lang w:val="en-GB" w:eastAsia="en-GB"/>
              </w:rPr>
            </w:pPr>
          </w:p>
        </w:tc>
        <w:tc>
          <w:tcPr>
            <w:tcW w:w="709" w:type="dxa"/>
            <w:shd w:val="clear" w:color="auto" w:fill="C6EFCE"/>
            <w:noWrap/>
          </w:tcPr>
          <w:p w14:paraId="477EEAD6" w14:textId="77777777" w:rsidR="00645BC7" w:rsidRPr="00E02B5D" w:rsidRDefault="00645BC7" w:rsidP="007B4D63">
            <w:pPr>
              <w:rPr>
                <w:rFonts w:eastAsia="Times New Roman" w:cs="Calibri"/>
                <w:noProof/>
                <w:color w:val="006100"/>
                <w:sz w:val="18"/>
                <w:szCs w:val="18"/>
                <w:lang w:val="en-GB" w:eastAsia="en-GB"/>
              </w:rPr>
            </w:pPr>
          </w:p>
        </w:tc>
        <w:tc>
          <w:tcPr>
            <w:tcW w:w="850" w:type="dxa"/>
            <w:shd w:val="clear" w:color="auto" w:fill="C6EFCE"/>
            <w:noWrap/>
          </w:tcPr>
          <w:p w14:paraId="6B03ECC1" w14:textId="77777777" w:rsidR="00645BC7" w:rsidRPr="00E02B5D" w:rsidRDefault="00645BC7" w:rsidP="007B4D63">
            <w:pPr>
              <w:rPr>
                <w:rFonts w:eastAsia="Times New Roman" w:cs="Calibri"/>
                <w:noProof/>
                <w:color w:val="006100"/>
                <w:sz w:val="18"/>
                <w:szCs w:val="18"/>
              </w:rPr>
            </w:pPr>
            <w:r>
              <w:rPr>
                <w:noProof/>
                <w:color w:val="006100"/>
                <w:sz w:val="18"/>
              </w:rPr>
              <w:t>3. kv</w:t>
            </w:r>
          </w:p>
        </w:tc>
        <w:tc>
          <w:tcPr>
            <w:tcW w:w="851" w:type="dxa"/>
            <w:shd w:val="clear" w:color="auto" w:fill="C6EFCE"/>
            <w:noWrap/>
          </w:tcPr>
          <w:p w14:paraId="109EA03A" w14:textId="77777777" w:rsidR="00645BC7" w:rsidRPr="00E02B5D" w:rsidRDefault="00645BC7" w:rsidP="007B4D63">
            <w:pPr>
              <w:rPr>
                <w:rFonts w:eastAsia="Times New Roman" w:cs="Calibri"/>
                <w:noProof/>
                <w:color w:val="006100"/>
                <w:sz w:val="18"/>
                <w:szCs w:val="18"/>
              </w:rPr>
            </w:pPr>
            <w:r>
              <w:rPr>
                <w:noProof/>
                <w:color w:val="006100"/>
                <w:sz w:val="18"/>
              </w:rPr>
              <w:t>2021</w:t>
            </w:r>
          </w:p>
        </w:tc>
        <w:tc>
          <w:tcPr>
            <w:tcW w:w="5528" w:type="dxa"/>
            <w:shd w:val="clear" w:color="auto" w:fill="C6EFCE"/>
            <w:noWrap/>
          </w:tcPr>
          <w:p w14:paraId="30758B24" w14:textId="77777777" w:rsidR="00645BC7" w:rsidRPr="00E02B5D" w:rsidRDefault="00645BC7" w:rsidP="007B4D63">
            <w:pPr>
              <w:rPr>
                <w:rFonts w:eastAsia="Times New Roman" w:cs="Calibri"/>
                <w:noProof/>
                <w:color w:val="006100"/>
                <w:sz w:val="18"/>
                <w:szCs w:val="18"/>
              </w:rPr>
            </w:pPr>
            <w:r>
              <w:rPr>
                <w:noProof/>
                <w:color w:val="006100"/>
                <w:sz w:val="18"/>
              </w:rPr>
              <w:t>Hanketeade 13 piirkondliku kodanikukaitsekeskuse ehitamiseks.</w:t>
            </w:r>
          </w:p>
        </w:tc>
      </w:tr>
      <w:tr w:rsidR="007B4D63" w:rsidRPr="003B132A" w14:paraId="6394FF89" w14:textId="77777777" w:rsidTr="00AF187E">
        <w:trPr>
          <w:trHeight w:val="309"/>
          <w:jc w:val="center"/>
        </w:trPr>
        <w:tc>
          <w:tcPr>
            <w:tcW w:w="1129" w:type="dxa"/>
            <w:shd w:val="clear" w:color="auto" w:fill="C6EFCE"/>
            <w:noWrap/>
          </w:tcPr>
          <w:p w14:paraId="2D9D612D" w14:textId="77777777" w:rsidR="00645BC7" w:rsidRPr="00E02B5D" w:rsidRDefault="00645BC7" w:rsidP="007B4D63">
            <w:pPr>
              <w:rPr>
                <w:rFonts w:eastAsia="Times New Roman" w:cs="Calibri"/>
                <w:noProof/>
                <w:color w:val="006100"/>
                <w:sz w:val="18"/>
                <w:szCs w:val="18"/>
              </w:rPr>
            </w:pPr>
            <w:r>
              <w:rPr>
                <w:noProof/>
                <w:color w:val="006100"/>
                <w:sz w:val="18"/>
              </w:rPr>
              <w:t>78</w:t>
            </w:r>
          </w:p>
        </w:tc>
        <w:tc>
          <w:tcPr>
            <w:tcW w:w="1276" w:type="dxa"/>
            <w:shd w:val="clear" w:color="auto" w:fill="C6EFCE"/>
            <w:noWrap/>
          </w:tcPr>
          <w:p w14:paraId="09A5C42E" w14:textId="77777777" w:rsidR="00645BC7" w:rsidRPr="00E02B5D" w:rsidRDefault="00645BC7" w:rsidP="007B4D63">
            <w:pPr>
              <w:rPr>
                <w:rFonts w:eastAsia="Times New Roman" w:cs="Calibri"/>
                <w:noProof/>
                <w:color w:val="006100"/>
                <w:sz w:val="18"/>
                <w:szCs w:val="18"/>
              </w:rPr>
            </w:pPr>
            <w:r>
              <w:rPr>
                <w:noProof/>
                <w:color w:val="006100"/>
                <w:sz w:val="18"/>
              </w:rPr>
              <w:t>4-1.4. Ressursside säästev kasutamine, kliimamuutustele vastupanu võime ja keskkonnakaitse – 16910_Seire- ja juhtimissüsteem</w:t>
            </w:r>
          </w:p>
        </w:tc>
        <w:tc>
          <w:tcPr>
            <w:tcW w:w="993" w:type="dxa"/>
            <w:shd w:val="clear" w:color="auto" w:fill="C6EFCE"/>
            <w:noWrap/>
          </w:tcPr>
          <w:p w14:paraId="3763E178" w14:textId="77777777" w:rsidR="00645BC7" w:rsidRPr="00E02B5D" w:rsidRDefault="00645BC7" w:rsidP="007B4D63">
            <w:pPr>
              <w:rPr>
                <w:rFonts w:eastAsia="Times New Roman" w:cs="Calibri"/>
                <w:noProof/>
                <w:color w:val="006100"/>
                <w:sz w:val="18"/>
                <w:szCs w:val="18"/>
              </w:rPr>
            </w:pPr>
            <w:r>
              <w:rPr>
                <w:noProof/>
                <w:color w:val="006100"/>
                <w:sz w:val="18"/>
              </w:rPr>
              <w:t>Eesmärk</w:t>
            </w:r>
          </w:p>
        </w:tc>
        <w:tc>
          <w:tcPr>
            <w:tcW w:w="1134" w:type="dxa"/>
            <w:shd w:val="clear" w:color="auto" w:fill="C6EFCE"/>
            <w:noWrap/>
          </w:tcPr>
          <w:p w14:paraId="0DCD7A62" w14:textId="77777777" w:rsidR="00645BC7" w:rsidRPr="00E02B5D" w:rsidRDefault="00645BC7" w:rsidP="007B4D63">
            <w:pPr>
              <w:rPr>
                <w:rFonts w:eastAsia="Times New Roman" w:cs="Calibri"/>
                <w:noProof/>
                <w:color w:val="006100"/>
                <w:sz w:val="18"/>
                <w:szCs w:val="18"/>
              </w:rPr>
            </w:pPr>
            <w:r>
              <w:rPr>
                <w:noProof/>
                <w:color w:val="006100"/>
                <w:sz w:val="18"/>
              </w:rPr>
              <w:t>GPSi leping</w:t>
            </w:r>
          </w:p>
        </w:tc>
        <w:tc>
          <w:tcPr>
            <w:tcW w:w="1134" w:type="dxa"/>
            <w:shd w:val="clear" w:color="auto" w:fill="C6EFCE"/>
            <w:noWrap/>
          </w:tcPr>
          <w:p w14:paraId="1EDCC783" w14:textId="77777777" w:rsidR="00645BC7" w:rsidRPr="00E02B5D" w:rsidRDefault="00645BC7" w:rsidP="007B4D63">
            <w:pPr>
              <w:rPr>
                <w:rFonts w:eastAsia="Times New Roman" w:cs="Calibri"/>
                <w:noProof/>
                <w:color w:val="006100"/>
                <w:sz w:val="18"/>
                <w:szCs w:val="18"/>
              </w:rPr>
            </w:pPr>
            <w:r>
              <w:rPr>
                <w:noProof/>
                <w:color w:val="006100"/>
                <w:sz w:val="18"/>
              </w:rPr>
              <w:t xml:space="preserve">Lepingute sõlmimisest teatamine </w:t>
            </w:r>
          </w:p>
        </w:tc>
        <w:tc>
          <w:tcPr>
            <w:tcW w:w="992" w:type="dxa"/>
            <w:shd w:val="clear" w:color="auto" w:fill="C6EFCE"/>
            <w:noWrap/>
          </w:tcPr>
          <w:p w14:paraId="16DEB220" w14:textId="77777777" w:rsidR="00645BC7" w:rsidRPr="00E02B5D" w:rsidRDefault="00645BC7" w:rsidP="007B4D63">
            <w:pPr>
              <w:rPr>
                <w:rFonts w:eastAsia="Times New Roman" w:cs="Calibri"/>
                <w:noProof/>
                <w:color w:val="006100"/>
                <w:sz w:val="18"/>
                <w:szCs w:val="18"/>
                <w:lang w:val="en-GB" w:eastAsia="en-GB"/>
              </w:rPr>
            </w:pPr>
          </w:p>
        </w:tc>
        <w:tc>
          <w:tcPr>
            <w:tcW w:w="992" w:type="dxa"/>
            <w:shd w:val="clear" w:color="auto" w:fill="C6EFCE"/>
            <w:noWrap/>
          </w:tcPr>
          <w:p w14:paraId="78643EAD" w14:textId="77777777" w:rsidR="00645BC7" w:rsidRPr="00E02B5D" w:rsidRDefault="00645BC7" w:rsidP="007B4D63">
            <w:pPr>
              <w:rPr>
                <w:rFonts w:eastAsia="Times New Roman" w:cs="Calibri"/>
                <w:noProof/>
                <w:color w:val="006100"/>
                <w:sz w:val="18"/>
                <w:szCs w:val="18"/>
                <w:lang w:val="en-GB" w:eastAsia="en-GB"/>
              </w:rPr>
            </w:pPr>
          </w:p>
        </w:tc>
        <w:tc>
          <w:tcPr>
            <w:tcW w:w="709" w:type="dxa"/>
            <w:shd w:val="clear" w:color="auto" w:fill="C6EFCE"/>
            <w:noWrap/>
          </w:tcPr>
          <w:p w14:paraId="38C576DF" w14:textId="77777777" w:rsidR="00645BC7" w:rsidRPr="00E02B5D" w:rsidRDefault="00645BC7" w:rsidP="007B4D63">
            <w:pPr>
              <w:rPr>
                <w:rFonts w:eastAsia="Times New Roman" w:cs="Calibri"/>
                <w:noProof/>
                <w:color w:val="006100"/>
                <w:sz w:val="18"/>
                <w:szCs w:val="18"/>
                <w:lang w:val="en-GB" w:eastAsia="en-GB"/>
              </w:rPr>
            </w:pPr>
          </w:p>
        </w:tc>
        <w:tc>
          <w:tcPr>
            <w:tcW w:w="850" w:type="dxa"/>
            <w:shd w:val="clear" w:color="auto" w:fill="C6EFCE"/>
            <w:noWrap/>
          </w:tcPr>
          <w:p w14:paraId="0A6E24F4" w14:textId="77777777" w:rsidR="00645BC7" w:rsidRPr="00E02B5D" w:rsidRDefault="00645BC7" w:rsidP="007B4D63">
            <w:pPr>
              <w:rPr>
                <w:rFonts w:eastAsia="Times New Roman" w:cs="Calibri"/>
                <w:noProof/>
                <w:color w:val="006100"/>
                <w:sz w:val="18"/>
                <w:szCs w:val="18"/>
              </w:rPr>
            </w:pPr>
            <w:r>
              <w:rPr>
                <w:noProof/>
                <w:color w:val="006100"/>
                <w:sz w:val="18"/>
              </w:rPr>
              <w:t>4. kv</w:t>
            </w:r>
          </w:p>
        </w:tc>
        <w:tc>
          <w:tcPr>
            <w:tcW w:w="851" w:type="dxa"/>
            <w:shd w:val="clear" w:color="auto" w:fill="C6EFCE"/>
            <w:noWrap/>
          </w:tcPr>
          <w:p w14:paraId="3E8C533F" w14:textId="77777777" w:rsidR="00645BC7" w:rsidRPr="00E02B5D" w:rsidRDefault="00645BC7" w:rsidP="007B4D63">
            <w:pPr>
              <w:rPr>
                <w:rFonts w:eastAsia="Times New Roman" w:cs="Calibri"/>
                <w:noProof/>
                <w:color w:val="006100"/>
                <w:sz w:val="18"/>
                <w:szCs w:val="18"/>
              </w:rPr>
            </w:pPr>
            <w:r>
              <w:rPr>
                <w:noProof/>
                <w:color w:val="006100"/>
                <w:sz w:val="18"/>
              </w:rPr>
              <w:t>2022</w:t>
            </w:r>
          </w:p>
        </w:tc>
        <w:tc>
          <w:tcPr>
            <w:tcW w:w="5528" w:type="dxa"/>
            <w:shd w:val="clear" w:color="auto" w:fill="C6EFCE"/>
            <w:noWrap/>
          </w:tcPr>
          <w:p w14:paraId="286270FA" w14:textId="77777777" w:rsidR="00645BC7" w:rsidRPr="00E02B5D" w:rsidRDefault="00645BC7" w:rsidP="007B4D63">
            <w:pPr>
              <w:rPr>
                <w:rFonts w:eastAsia="Times New Roman" w:cs="Calibri"/>
                <w:noProof/>
                <w:color w:val="006100"/>
                <w:sz w:val="18"/>
                <w:szCs w:val="18"/>
              </w:rPr>
            </w:pPr>
            <w:r>
              <w:rPr>
                <w:noProof/>
                <w:color w:val="006100"/>
                <w:sz w:val="18"/>
              </w:rPr>
              <w:t xml:space="preserve">Teade lepingu sõlmimise kohta seoses GPSi seiresüsteemi ja varajase hoiatamise süsteemiga. </w:t>
            </w:r>
          </w:p>
        </w:tc>
      </w:tr>
      <w:tr w:rsidR="007B4D63" w:rsidRPr="003B132A" w14:paraId="0DBF7C0E" w14:textId="77777777" w:rsidTr="00AF187E">
        <w:trPr>
          <w:trHeight w:val="309"/>
          <w:jc w:val="center"/>
        </w:trPr>
        <w:tc>
          <w:tcPr>
            <w:tcW w:w="1129" w:type="dxa"/>
            <w:shd w:val="clear" w:color="auto" w:fill="C6EFCE"/>
            <w:noWrap/>
          </w:tcPr>
          <w:p w14:paraId="661C0701" w14:textId="77777777" w:rsidR="00645BC7" w:rsidRPr="00E02B5D" w:rsidRDefault="00645BC7" w:rsidP="007B4D63">
            <w:pPr>
              <w:rPr>
                <w:rFonts w:eastAsia="Times New Roman" w:cs="Calibri"/>
                <w:noProof/>
                <w:color w:val="006100"/>
                <w:sz w:val="18"/>
                <w:szCs w:val="18"/>
              </w:rPr>
            </w:pPr>
            <w:r>
              <w:rPr>
                <w:noProof/>
                <w:color w:val="006100"/>
                <w:sz w:val="18"/>
              </w:rPr>
              <w:t>79</w:t>
            </w:r>
          </w:p>
        </w:tc>
        <w:tc>
          <w:tcPr>
            <w:tcW w:w="1276" w:type="dxa"/>
            <w:shd w:val="clear" w:color="auto" w:fill="C6EFCE"/>
            <w:noWrap/>
          </w:tcPr>
          <w:p w14:paraId="5C45A234" w14:textId="77777777" w:rsidR="00645BC7" w:rsidRPr="00E02B5D" w:rsidRDefault="00645BC7" w:rsidP="007B4D63">
            <w:pPr>
              <w:rPr>
                <w:rFonts w:eastAsia="Times New Roman" w:cs="Calibri"/>
                <w:noProof/>
                <w:color w:val="006100"/>
                <w:sz w:val="18"/>
                <w:szCs w:val="18"/>
              </w:rPr>
            </w:pPr>
            <w:r>
              <w:rPr>
                <w:noProof/>
                <w:color w:val="006100"/>
                <w:sz w:val="18"/>
              </w:rPr>
              <w:t>4-1.4. Ressursside säästev kasutamine, kliimamuutustele vastupanu võime ja keskkonnakaitse – 16911_Lennuvahendid kriisiohje jaoks</w:t>
            </w:r>
          </w:p>
        </w:tc>
        <w:tc>
          <w:tcPr>
            <w:tcW w:w="993" w:type="dxa"/>
            <w:shd w:val="clear" w:color="auto" w:fill="C6EFCE"/>
            <w:noWrap/>
          </w:tcPr>
          <w:p w14:paraId="766C93DB" w14:textId="77777777" w:rsidR="00645BC7" w:rsidRPr="00E02B5D" w:rsidRDefault="00645BC7" w:rsidP="007B4D63">
            <w:pPr>
              <w:rPr>
                <w:rFonts w:eastAsia="Times New Roman" w:cs="Calibri"/>
                <w:noProof/>
                <w:color w:val="006100"/>
                <w:sz w:val="18"/>
                <w:szCs w:val="18"/>
              </w:rPr>
            </w:pPr>
            <w:r>
              <w:rPr>
                <w:noProof/>
                <w:color w:val="006100"/>
                <w:sz w:val="18"/>
              </w:rPr>
              <w:t>Eesmärk</w:t>
            </w:r>
          </w:p>
        </w:tc>
        <w:tc>
          <w:tcPr>
            <w:tcW w:w="1134" w:type="dxa"/>
            <w:shd w:val="clear" w:color="auto" w:fill="C6EFCE"/>
            <w:noWrap/>
          </w:tcPr>
          <w:p w14:paraId="3E713923" w14:textId="77777777" w:rsidR="00645BC7" w:rsidRPr="00E02B5D" w:rsidRDefault="00645BC7" w:rsidP="007B4D63">
            <w:pPr>
              <w:rPr>
                <w:rFonts w:eastAsia="Times New Roman" w:cs="Calibri"/>
                <w:noProof/>
                <w:color w:val="006100"/>
                <w:sz w:val="18"/>
                <w:szCs w:val="18"/>
              </w:rPr>
            </w:pPr>
            <w:r>
              <w:rPr>
                <w:noProof/>
                <w:color w:val="006100"/>
                <w:sz w:val="18"/>
              </w:rPr>
              <w:t>Kahe keskmise suurusega tuletõrjehelikopteri ostmine</w:t>
            </w:r>
          </w:p>
        </w:tc>
        <w:tc>
          <w:tcPr>
            <w:tcW w:w="1134" w:type="dxa"/>
            <w:shd w:val="clear" w:color="auto" w:fill="C6EFCE"/>
            <w:noWrap/>
          </w:tcPr>
          <w:p w14:paraId="18A9C1DE" w14:textId="77777777" w:rsidR="00645BC7" w:rsidRPr="00E02B5D" w:rsidRDefault="00645BC7" w:rsidP="007B4D63">
            <w:pPr>
              <w:rPr>
                <w:rFonts w:eastAsia="Times New Roman" w:cs="Calibri"/>
                <w:noProof/>
                <w:color w:val="006100"/>
                <w:sz w:val="18"/>
                <w:szCs w:val="18"/>
              </w:rPr>
            </w:pPr>
            <w:r>
              <w:rPr>
                <w:noProof/>
                <w:color w:val="006100"/>
                <w:sz w:val="18"/>
              </w:rPr>
              <w:t xml:space="preserve">Lepingute sõlmimisest teatamine </w:t>
            </w:r>
          </w:p>
        </w:tc>
        <w:tc>
          <w:tcPr>
            <w:tcW w:w="992" w:type="dxa"/>
            <w:shd w:val="clear" w:color="auto" w:fill="C6EFCE"/>
            <w:noWrap/>
          </w:tcPr>
          <w:p w14:paraId="437F266F" w14:textId="77777777" w:rsidR="00645BC7" w:rsidRPr="00E02B5D" w:rsidRDefault="00645BC7" w:rsidP="007B4D63">
            <w:pPr>
              <w:rPr>
                <w:rFonts w:eastAsia="Times New Roman" w:cs="Calibri"/>
                <w:noProof/>
                <w:color w:val="006100"/>
                <w:sz w:val="18"/>
                <w:szCs w:val="18"/>
                <w:lang w:val="en-GB" w:eastAsia="en-GB"/>
              </w:rPr>
            </w:pPr>
          </w:p>
        </w:tc>
        <w:tc>
          <w:tcPr>
            <w:tcW w:w="992" w:type="dxa"/>
            <w:shd w:val="clear" w:color="auto" w:fill="C6EFCE"/>
            <w:noWrap/>
          </w:tcPr>
          <w:p w14:paraId="7FF2406B" w14:textId="77777777" w:rsidR="00645BC7" w:rsidRPr="00E02B5D" w:rsidRDefault="00645BC7" w:rsidP="007B4D63">
            <w:pPr>
              <w:rPr>
                <w:rFonts w:eastAsia="Times New Roman" w:cs="Calibri"/>
                <w:noProof/>
                <w:color w:val="006100"/>
                <w:sz w:val="18"/>
                <w:szCs w:val="18"/>
                <w:lang w:val="en-GB" w:eastAsia="en-GB"/>
              </w:rPr>
            </w:pPr>
          </w:p>
        </w:tc>
        <w:tc>
          <w:tcPr>
            <w:tcW w:w="709" w:type="dxa"/>
            <w:shd w:val="clear" w:color="auto" w:fill="C6EFCE"/>
            <w:noWrap/>
          </w:tcPr>
          <w:p w14:paraId="0B9E4FBF" w14:textId="77777777" w:rsidR="00645BC7" w:rsidRPr="00E02B5D" w:rsidRDefault="00645BC7" w:rsidP="007B4D63">
            <w:pPr>
              <w:rPr>
                <w:rFonts w:eastAsia="Times New Roman" w:cs="Calibri"/>
                <w:noProof/>
                <w:color w:val="006100"/>
                <w:sz w:val="18"/>
                <w:szCs w:val="18"/>
                <w:lang w:val="en-GB" w:eastAsia="en-GB"/>
              </w:rPr>
            </w:pPr>
          </w:p>
        </w:tc>
        <w:tc>
          <w:tcPr>
            <w:tcW w:w="850" w:type="dxa"/>
            <w:shd w:val="clear" w:color="auto" w:fill="C6EFCE"/>
            <w:noWrap/>
          </w:tcPr>
          <w:p w14:paraId="53660410" w14:textId="77777777" w:rsidR="00645BC7" w:rsidRPr="00E02B5D" w:rsidRDefault="00645BC7" w:rsidP="007B4D63">
            <w:pPr>
              <w:rPr>
                <w:rFonts w:eastAsia="Times New Roman" w:cs="Calibri"/>
                <w:noProof/>
                <w:color w:val="006100"/>
                <w:sz w:val="18"/>
                <w:szCs w:val="18"/>
              </w:rPr>
            </w:pPr>
            <w:r>
              <w:rPr>
                <w:noProof/>
                <w:color w:val="006100"/>
                <w:sz w:val="18"/>
              </w:rPr>
              <w:t>4. kv</w:t>
            </w:r>
          </w:p>
        </w:tc>
        <w:tc>
          <w:tcPr>
            <w:tcW w:w="851" w:type="dxa"/>
            <w:shd w:val="clear" w:color="auto" w:fill="C6EFCE"/>
            <w:noWrap/>
          </w:tcPr>
          <w:p w14:paraId="0BB6C410" w14:textId="77777777" w:rsidR="00645BC7" w:rsidRPr="00E02B5D" w:rsidRDefault="00645BC7" w:rsidP="007B4D63">
            <w:pPr>
              <w:rPr>
                <w:rFonts w:eastAsia="Times New Roman" w:cs="Calibri"/>
                <w:noProof/>
                <w:color w:val="006100"/>
                <w:sz w:val="18"/>
                <w:szCs w:val="18"/>
              </w:rPr>
            </w:pPr>
            <w:r>
              <w:rPr>
                <w:noProof/>
                <w:color w:val="006100"/>
                <w:sz w:val="18"/>
              </w:rPr>
              <w:t>2023</w:t>
            </w:r>
          </w:p>
        </w:tc>
        <w:tc>
          <w:tcPr>
            <w:tcW w:w="5528" w:type="dxa"/>
            <w:shd w:val="clear" w:color="auto" w:fill="C6EFCE"/>
            <w:noWrap/>
          </w:tcPr>
          <w:p w14:paraId="7D8C6304" w14:textId="77777777" w:rsidR="00645BC7" w:rsidRPr="00E02B5D" w:rsidRDefault="00645BC7" w:rsidP="007B4D63">
            <w:pPr>
              <w:rPr>
                <w:rFonts w:eastAsia="Times New Roman" w:cs="Calibri"/>
                <w:noProof/>
                <w:color w:val="006100"/>
                <w:sz w:val="18"/>
                <w:szCs w:val="18"/>
              </w:rPr>
            </w:pPr>
            <w:r>
              <w:rPr>
                <w:noProof/>
                <w:color w:val="006100"/>
                <w:sz w:val="18"/>
              </w:rPr>
              <w:t>Teade lepingu sõlmimise kohta kahe keskmise suurusega tuletõrjehelikopteri ostmiseks kodanikukaitse ja tuletõrjevajaduste rahuldamiseks.</w:t>
            </w:r>
          </w:p>
        </w:tc>
      </w:tr>
      <w:tr w:rsidR="007B4D63" w:rsidRPr="003B132A" w14:paraId="3889FBF1" w14:textId="77777777" w:rsidTr="00AF187E">
        <w:trPr>
          <w:trHeight w:val="309"/>
          <w:jc w:val="center"/>
        </w:trPr>
        <w:tc>
          <w:tcPr>
            <w:tcW w:w="1129" w:type="dxa"/>
            <w:shd w:val="clear" w:color="auto" w:fill="C6EFCE"/>
            <w:noWrap/>
          </w:tcPr>
          <w:p w14:paraId="0606D246" w14:textId="77777777" w:rsidR="00645BC7" w:rsidRPr="00E02B5D" w:rsidRDefault="00645BC7" w:rsidP="007B4D63">
            <w:pPr>
              <w:rPr>
                <w:rFonts w:eastAsia="Times New Roman" w:cs="Calibri"/>
                <w:noProof/>
                <w:color w:val="006100"/>
                <w:sz w:val="18"/>
                <w:szCs w:val="18"/>
              </w:rPr>
            </w:pPr>
            <w:r>
              <w:rPr>
                <w:noProof/>
                <w:color w:val="006100"/>
                <w:sz w:val="18"/>
              </w:rPr>
              <w:t>80</w:t>
            </w:r>
          </w:p>
        </w:tc>
        <w:tc>
          <w:tcPr>
            <w:tcW w:w="1276" w:type="dxa"/>
            <w:shd w:val="clear" w:color="auto" w:fill="C6EFCE"/>
            <w:noWrap/>
          </w:tcPr>
          <w:p w14:paraId="4EBD68D9" w14:textId="77777777" w:rsidR="00645BC7" w:rsidRPr="00E02B5D" w:rsidRDefault="00645BC7" w:rsidP="007B4D63">
            <w:pPr>
              <w:rPr>
                <w:rFonts w:eastAsia="Times New Roman" w:cs="Calibri"/>
                <w:noProof/>
                <w:color w:val="006100"/>
                <w:sz w:val="18"/>
                <w:szCs w:val="18"/>
              </w:rPr>
            </w:pPr>
            <w:r>
              <w:rPr>
                <w:noProof/>
                <w:color w:val="006100"/>
                <w:sz w:val="18"/>
              </w:rPr>
              <w:t>4-1.4. Ressursside säästev kasutamine, kliimamuutustele vastupanu võime ja keskkonnakaitse – 16283_Piirkondlike kodanikukaitsekeskuste (PEKEPP) rakendamine avaliku ja erasektori partnerluse kavade kaudu</w:t>
            </w:r>
          </w:p>
        </w:tc>
        <w:tc>
          <w:tcPr>
            <w:tcW w:w="993" w:type="dxa"/>
            <w:shd w:val="clear" w:color="auto" w:fill="C6EFCE"/>
            <w:noWrap/>
          </w:tcPr>
          <w:p w14:paraId="536C271F" w14:textId="77777777" w:rsidR="00645BC7" w:rsidRPr="00E02B5D" w:rsidRDefault="00645BC7" w:rsidP="007B4D63">
            <w:pPr>
              <w:rPr>
                <w:rFonts w:eastAsia="Times New Roman" w:cs="Calibri"/>
                <w:noProof/>
                <w:color w:val="006100"/>
                <w:sz w:val="18"/>
                <w:szCs w:val="18"/>
              </w:rPr>
            </w:pPr>
            <w:r>
              <w:rPr>
                <w:noProof/>
                <w:color w:val="006100"/>
                <w:sz w:val="18"/>
              </w:rPr>
              <w:t>Siht</w:t>
            </w:r>
          </w:p>
        </w:tc>
        <w:tc>
          <w:tcPr>
            <w:tcW w:w="1134" w:type="dxa"/>
            <w:shd w:val="clear" w:color="auto" w:fill="C6EFCE"/>
            <w:noWrap/>
          </w:tcPr>
          <w:p w14:paraId="7725A561" w14:textId="77777777" w:rsidR="00645BC7" w:rsidRPr="00E02B5D" w:rsidRDefault="00645BC7" w:rsidP="007B4D63">
            <w:pPr>
              <w:rPr>
                <w:rFonts w:eastAsia="Times New Roman" w:cs="Calibri"/>
                <w:noProof/>
                <w:color w:val="006100"/>
                <w:sz w:val="18"/>
                <w:szCs w:val="18"/>
              </w:rPr>
            </w:pPr>
            <w:r>
              <w:rPr>
                <w:noProof/>
                <w:color w:val="006100"/>
                <w:sz w:val="18"/>
              </w:rPr>
              <w:t>13 hoone valmimine</w:t>
            </w:r>
          </w:p>
        </w:tc>
        <w:tc>
          <w:tcPr>
            <w:tcW w:w="1134" w:type="dxa"/>
            <w:shd w:val="clear" w:color="auto" w:fill="C6EFCE"/>
            <w:noWrap/>
          </w:tcPr>
          <w:p w14:paraId="7A466143" w14:textId="77777777" w:rsidR="00645BC7" w:rsidRPr="00E02B5D" w:rsidRDefault="00645BC7" w:rsidP="007B4D63">
            <w:pPr>
              <w:rPr>
                <w:rFonts w:eastAsia="Times New Roman" w:cs="Calibri"/>
                <w:noProof/>
                <w:color w:val="006100"/>
                <w:sz w:val="18"/>
                <w:szCs w:val="18"/>
                <w:lang w:val="en-GB" w:eastAsia="en-GB"/>
              </w:rPr>
            </w:pPr>
          </w:p>
        </w:tc>
        <w:tc>
          <w:tcPr>
            <w:tcW w:w="992" w:type="dxa"/>
            <w:shd w:val="clear" w:color="auto" w:fill="C6EFCE"/>
            <w:noWrap/>
          </w:tcPr>
          <w:p w14:paraId="790E3E3F" w14:textId="77777777" w:rsidR="00645BC7" w:rsidRPr="00E02B5D" w:rsidRDefault="00645BC7" w:rsidP="007B4D63">
            <w:pPr>
              <w:rPr>
                <w:rFonts w:eastAsia="Times New Roman" w:cs="Calibri"/>
                <w:noProof/>
                <w:color w:val="006100"/>
                <w:sz w:val="18"/>
                <w:szCs w:val="18"/>
              </w:rPr>
            </w:pPr>
            <w:r>
              <w:rPr>
                <w:noProof/>
                <w:color w:val="006100"/>
                <w:sz w:val="18"/>
              </w:rPr>
              <w:t xml:space="preserve">Pärast ehitustööde lõpetamist kasutusele võetud piirkondlike kodanikukaitsekeskuste arv </w:t>
            </w:r>
          </w:p>
        </w:tc>
        <w:tc>
          <w:tcPr>
            <w:tcW w:w="992" w:type="dxa"/>
            <w:shd w:val="clear" w:color="auto" w:fill="C6EFCE"/>
            <w:noWrap/>
          </w:tcPr>
          <w:p w14:paraId="32770148" w14:textId="77777777" w:rsidR="00645BC7" w:rsidRPr="00E02B5D" w:rsidRDefault="00645BC7" w:rsidP="007B4D63">
            <w:pPr>
              <w:rPr>
                <w:rFonts w:eastAsia="Times New Roman" w:cs="Calibri"/>
                <w:noProof/>
                <w:color w:val="006100"/>
                <w:sz w:val="18"/>
                <w:szCs w:val="18"/>
              </w:rPr>
            </w:pPr>
            <w:r>
              <w:rPr>
                <w:noProof/>
                <w:color w:val="006100"/>
                <w:sz w:val="18"/>
              </w:rPr>
              <w:t>0</w:t>
            </w:r>
          </w:p>
        </w:tc>
        <w:tc>
          <w:tcPr>
            <w:tcW w:w="709" w:type="dxa"/>
            <w:shd w:val="clear" w:color="auto" w:fill="C6EFCE"/>
            <w:noWrap/>
          </w:tcPr>
          <w:p w14:paraId="1A78ED84" w14:textId="77777777" w:rsidR="00645BC7" w:rsidRPr="00E02B5D" w:rsidRDefault="00645BC7" w:rsidP="007B4D63">
            <w:pPr>
              <w:rPr>
                <w:rFonts w:eastAsia="Times New Roman" w:cs="Calibri"/>
                <w:noProof/>
                <w:color w:val="006100"/>
                <w:sz w:val="18"/>
                <w:szCs w:val="18"/>
              </w:rPr>
            </w:pPr>
            <w:r>
              <w:rPr>
                <w:noProof/>
                <w:color w:val="006100"/>
                <w:sz w:val="18"/>
              </w:rPr>
              <w:t>13</w:t>
            </w:r>
          </w:p>
        </w:tc>
        <w:tc>
          <w:tcPr>
            <w:tcW w:w="850" w:type="dxa"/>
            <w:shd w:val="clear" w:color="auto" w:fill="C6EFCE"/>
            <w:noWrap/>
          </w:tcPr>
          <w:p w14:paraId="2C3CA9EF" w14:textId="77777777" w:rsidR="00645BC7" w:rsidRPr="00E02B5D" w:rsidRDefault="00645BC7" w:rsidP="007B4D63">
            <w:pPr>
              <w:rPr>
                <w:rFonts w:eastAsia="Times New Roman" w:cs="Calibri"/>
                <w:noProof/>
                <w:color w:val="006100"/>
                <w:sz w:val="18"/>
                <w:szCs w:val="18"/>
              </w:rPr>
            </w:pPr>
            <w:r>
              <w:rPr>
                <w:noProof/>
                <w:color w:val="006100"/>
                <w:sz w:val="18"/>
              </w:rPr>
              <w:t>4. kv</w:t>
            </w:r>
          </w:p>
        </w:tc>
        <w:tc>
          <w:tcPr>
            <w:tcW w:w="851" w:type="dxa"/>
            <w:shd w:val="clear" w:color="auto" w:fill="C6EFCE"/>
            <w:noWrap/>
          </w:tcPr>
          <w:p w14:paraId="2E500C85" w14:textId="77777777" w:rsidR="00645BC7" w:rsidRPr="00E02B5D" w:rsidRDefault="00645BC7" w:rsidP="007B4D63">
            <w:pPr>
              <w:rPr>
                <w:rFonts w:eastAsia="Times New Roman" w:cs="Calibri"/>
                <w:noProof/>
                <w:color w:val="006100"/>
                <w:sz w:val="18"/>
                <w:szCs w:val="18"/>
              </w:rPr>
            </w:pPr>
            <w:r>
              <w:rPr>
                <w:noProof/>
                <w:color w:val="006100"/>
                <w:sz w:val="18"/>
              </w:rPr>
              <w:t>2025</w:t>
            </w:r>
          </w:p>
        </w:tc>
        <w:tc>
          <w:tcPr>
            <w:tcW w:w="5528" w:type="dxa"/>
            <w:shd w:val="clear" w:color="auto" w:fill="C6EFCE"/>
            <w:noWrap/>
          </w:tcPr>
          <w:p w14:paraId="4FFD03DC" w14:textId="77777777" w:rsidR="00645BC7" w:rsidRPr="00E02B5D" w:rsidRDefault="00645BC7" w:rsidP="007B4D63">
            <w:pPr>
              <w:rPr>
                <w:rFonts w:eastAsia="Times New Roman" w:cs="Calibri"/>
                <w:noProof/>
                <w:color w:val="006100"/>
                <w:sz w:val="18"/>
                <w:szCs w:val="18"/>
              </w:rPr>
            </w:pPr>
            <w:r>
              <w:rPr>
                <w:noProof/>
                <w:color w:val="006100"/>
                <w:sz w:val="18"/>
              </w:rPr>
              <w:t>13 piirkondliku kodanikukaitsekeskuse ehitamine ja töölerakendamine.</w:t>
            </w:r>
          </w:p>
        </w:tc>
      </w:tr>
      <w:tr w:rsidR="007B4D63" w:rsidRPr="00E02B5D" w14:paraId="7EA846FA" w14:textId="77777777" w:rsidTr="00AF187E">
        <w:trPr>
          <w:trHeight w:val="309"/>
          <w:jc w:val="center"/>
        </w:trPr>
        <w:tc>
          <w:tcPr>
            <w:tcW w:w="1129" w:type="dxa"/>
            <w:shd w:val="clear" w:color="auto" w:fill="C6EFCE"/>
            <w:noWrap/>
          </w:tcPr>
          <w:p w14:paraId="20933168" w14:textId="77777777" w:rsidR="00645BC7" w:rsidRPr="00E02B5D" w:rsidRDefault="00645BC7" w:rsidP="007B4D63">
            <w:pPr>
              <w:rPr>
                <w:rFonts w:eastAsia="Times New Roman" w:cs="Calibri"/>
                <w:noProof/>
                <w:color w:val="006100"/>
                <w:sz w:val="18"/>
                <w:szCs w:val="18"/>
              </w:rPr>
            </w:pPr>
            <w:r>
              <w:rPr>
                <w:noProof/>
                <w:color w:val="006100"/>
                <w:sz w:val="18"/>
              </w:rPr>
              <w:t>81</w:t>
            </w:r>
          </w:p>
        </w:tc>
        <w:tc>
          <w:tcPr>
            <w:tcW w:w="1276" w:type="dxa"/>
            <w:shd w:val="clear" w:color="auto" w:fill="C6EFCE"/>
            <w:noWrap/>
          </w:tcPr>
          <w:p w14:paraId="49DB28FD" w14:textId="77777777" w:rsidR="00645BC7" w:rsidRPr="00E02B5D" w:rsidRDefault="00645BC7" w:rsidP="007B4D63">
            <w:pPr>
              <w:rPr>
                <w:rFonts w:eastAsia="Times New Roman" w:cs="Calibri"/>
                <w:noProof/>
                <w:color w:val="006100"/>
                <w:sz w:val="18"/>
                <w:szCs w:val="18"/>
                <w:highlight w:val="magenta"/>
              </w:rPr>
            </w:pPr>
            <w:r>
              <w:rPr>
                <w:noProof/>
                <w:color w:val="006100"/>
                <w:sz w:val="18"/>
              </w:rPr>
              <w:t>4-1.4. Ressursside säästev kasutamine, kliimamuutustele vastupanu võime ja keskkonnakaitse – 16910_Seire- ja juhtimissüsteem</w:t>
            </w:r>
          </w:p>
        </w:tc>
        <w:tc>
          <w:tcPr>
            <w:tcW w:w="993" w:type="dxa"/>
            <w:shd w:val="clear" w:color="auto" w:fill="C6EFCE"/>
            <w:noWrap/>
          </w:tcPr>
          <w:p w14:paraId="77C05350" w14:textId="77777777" w:rsidR="00645BC7" w:rsidRPr="00E02B5D" w:rsidRDefault="00645BC7" w:rsidP="007B4D63">
            <w:pPr>
              <w:rPr>
                <w:rFonts w:eastAsia="Times New Roman" w:cs="Calibri"/>
                <w:noProof/>
                <w:color w:val="006100"/>
                <w:sz w:val="18"/>
                <w:szCs w:val="18"/>
              </w:rPr>
            </w:pPr>
            <w:r>
              <w:rPr>
                <w:noProof/>
                <w:color w:val="006100"/>
                <w:sz w:val="18"/>
              </w:rPr>
              <w:t>Eesmärk</w:t>
            </w:r>
          </w:p>
        </w:tc>
        <w:tc>
          <w:tcPr>
            <w:tcW w:w="1134" w:type="dxa"/>
            <w:shd w:val="clear" w:color="auto" w:fill="C6EFCE"/>
            <w:noWrap/>
          </w:tcPr>
          <w:p w14:paraId="2849295D" w14:textId="77777777" w:rsidR="00645BC7" w:rsidRPr="00E02B5D" w:rsidRDefault="00645BC7" w:rsidP="007B4D63">
            <w:pPr>
              <w:rPr>
                <w:rFonts w:eastAsia="Times New Roman" w:cs="Calibri"/>
                <w:noProof/>
                <w:color w:val="006100"/>
                <w:sz w:val="18"/>
                <w:szCs w:val="18"/>
              </w:rPr>
            </w:pPr>
            <w:r>
              <w:rPr>
                <w:noProof/>
                <w:color w:val="006100"/>
                <w:sz w:val="18"/>
              </w:rPr>
              <w:t>Kodanikukaitse järelevalve- ja juhtimissüsteemi lõpuleviimine</w:t>
            </w:r>
          </w:p>
        </w:tc>
        <w:tc>
          <w:tcPr>
            <w:tcW w:w="1134" w:type="dxa"/>
            <w:shd w:val="clear" w:color="auto" w:fill="C6EFCE"/>
            <w:noWrap/>
          </w:tcPr>
          <w:p w14:paraId="19C48DA9" w14:textId="77777777" w:rsidR="00645BC7" w:rsidRPr="00E02B5D" w:rsidRDefault="00645BC7" w:rsidP="007B4D63">
            <w:pPr>
              <w:rPr>
                <w:rFonts w:eastAsia="Times New Roman" w:cs="Calibri"/>
                <w:noProof/>
                <w:color w:val="006100"/>
                <w:sz w:val="18"/>
                <w:szCs w:val="18"/>
              </w:rPr>
            </w:pPr>
            <w:r>
              <w:rPr>
                <w:noProof/>
                <w:color w:val="006100"/>
                <w:sz w:val="18"/>
              </w:rPr>
              <w:t>Täitmine on kinnitatud siseministeeriumi aruandega</w:t>
            </w:r>
          </w:p>
        </w:tc>
        <w:tc>
          <w:tcPr>
            <w:tcW w:w="992" w:type="dxa"/>
            <w:shd w:val="clear" w:color="auto" w:fill="C6EFCE"/>
            <w:noWrap/>
          </w:tcPr>
          <w:p w14:paraId="247B3AB4" w14:textId="77777777" w:rsidR="00645BC7" w:rsidRPr="00E02B5D" w:rsidRDefault="00645BC7" w:rsidP="007B4D63">
            <w:pPr>
              <w:rPr>
                <w:rFonts w:eastAsia="Times New Roman" w:cs="Calibri"/>
                <w:noProof/>
                <w:color w:val="006100"/>
                <w:sz w:val="18"/>
                <w:szCs w:val="18"/>
                <w:lang w:val="en-GB" w:eastAsia="en-GB"/>
              </w:rPr>
            </w:pPr>
          </w:p>
        </w:tc>
        <w:tc>
          <w:tcPr>
            <w:tcW w:w="992" w:type="dxa"/>
            <w:shd w:val="clear" w:color="auto" w:fill="C6EFCE"/>
            <w:noWrap/>
          </w:tcPr>
          <w:p w14:paraId="2687C89C" w14:textId="77777777" w:rsidR="00645BC7" w:rsidRPr="00E02B5D" w:rsidRDefault="00645BC7" w:rsidP="007B4D63">
            <w:pPr>
              <w:rPr>
                <w:rFonts w:eastAsia="Times New Roman" w:cs="Calibri"/>
                <w:noProof/>
                <w:color w:val="006100"/>
                <w:sz w:val="18"/>
                <w:szCs w:val="18"/>
                <w:lang w:val="en-GB" w:eastAsia="en-GB"/>
              </w:rPr>
            </w:pPr>
          </w:p>
        </w:tc>
        <w:tc>
          <w:tcPr>
            <w:tcW w:w="709" w:type="dxa"/>
            <w:shd w:val="clear" w:color="auto" w:fill="C6EFCE"/>
            <w:noWrap/>
          </w:tcPr>
          <w:p w14:paraId="4227CB82" w14:textId="77777777" w:rsidR="00645BC7" w:rsidRPr="00E02B5D" w:rsidRDefault="00645BC7" w:rsidP="007B4D63">
            <w:pPr>
              <w:rPr>
                <w:rFonts w:eastAsia="Times New Roman" w:cs="Calibri"/>
                <w:noProof/>
                <w:color w:val="006100"/>
                <w:sz w:val="18"/>
                <w:szCs w:val="18"/>
                <w:lang w:val="en-GB" w:eastAsia="en-GB"/>
              </w:rPr>
            </w:pPr>
          </w:p>
        </w:tc>
        <w:tc>
          <w:tcPr>
            <w:tcW w:w="850" w:type="dxa"/>
            <w:shd w:val="clear" w:color="auto" w:fill="C6EFCE"/>
            <w:noWrap/>
          </w:tcPr>
          <w:p w14:paraId="0BB714F8" w14:textId="77777777" w:rsidR="00645BC7" w:rsidRPr="00E02B5D" w:rsidRDefault="00645BC7" w:rsidP="007B4D63">
            <w:pPr>
              <w:rPr>
                <w:rFonts w:eastAsia="Times New Roman" w:cs="Calibri"/>
                <w:noProof/>
                <w:color w:val="006100"/>
                <w:sz w:val="18"/>
                <w:szCs w:val="18"/>
              </w:rPr>
            </w:pPr>
            <w:r>
              <w:rPr>
                <w:noProof/>
                <w:color w:val="006100"/>
                <w:sz w:val="18"/>
              </w:rPr>
              <w:t>4. kv</w:t>
            </w:r>
          </w:p>
        </w:tc>
        <w:tc>
          <w:tcPr>
            <w:tcW w:w="851" w:type="dxa"/>
            <w:shd w:val="clear" w:color="auto" w:fill="C6EFCE"/>
            <w:noWrap/>
          </w:tcPr>
          <w:p w14:paraId="09AC204D" w14:textId="77777777" w:rsidR="00645BC7" w:rsidRPr="00E02B5D" w:rsidRDefault="00645BC7" w:rsidP="007B4D63">
            <w:pPr>
              <w:rPr>
                <w:rFonts w:eastAsia="Times New Roman" w:cs="Calibri"/>
                <w:noProof/>
                <w:color w:val="006100"/>
                <w:sz w:val="18"/>
                <w:szCs w:val="18"/>
              </w:rPr>
            </w:pPr>
            <w:r>
              <w:rPr>
                <w:noProof/>
                <w:color w:val="006100"/>
                <w:sz w:val="18"/>
              </w:rPr>
              <w:t>2025</w:t>
            </w:r>
          </w:p>
        </w:tc>
        <w:tc>
          <w:tcPr>
            <w:tcW w:w="5528" w:type="dxa"/>
            <w:shd w:val="clear" w:color="auto" w:fill="C6EFCE"/>
            <w:noWrap/>
          </w:tcPr>
          <w:p w14:paraId="2B5FD1E9" w14:textId="77777777" w:rsidR="00645BC7" w:rsidRPr="00E02B5D" w:rsidRDefault="00645BC7" w:rsidP="007B4D63">
            <w:pPr>
              <w:rPr>
                <w:rFonts w:eastAsia="Times New Roman" w:cs="Calibri"/>
                <w:noProof/>
                <w:color w:val="006100"/>
                <w:sz w:val="18"/>
                <w:szCs w:val="18"/>
              </w:rPr>
            </w:pPr>
            <w:r>
              <w:rPr>
                <w:noProof/>
                <w:color w:val="006100"/>
                <w:sz w:val="18"/>
              </w:rPr>
              <w:t>Järgmiste meetmete lõpuleviimine:</w:t>
            </w:r>
          </w:p>
          <w:p w14:paraId="1604AA5E" w14:textId="77777777" w:rsidR="00645BC7" w:rsidRPr="00E02B5D" w:rsidRDefault="00645BC7" w:rsidP="00DE1EE5">
            <w:pPr>
              <w:numPr>
                <w:ilvl w:val="0"/>
                <w:numId w:val="48"/>
              </w:numPr>
              <w:spacing w:before="120" w:line="259" w:lineRule="auto"/>
              <w:contextualSpacing/>
              <w:jc w:val="both"/>
              <w:rPr>
                <w:rFonts w:eastAsia="Times New Roman" w:cs="Calibri"/>
                <w:noProof/>
                <w:color w:val="006100"/>
                <w:sz w:val="18"/>
                <w:szCs w:val="18"/>
              </w:rPr>
            </w:pPr>
            <w:r>
              <w:rPr>
                <w:noProof/>
                <w:color w:val="006100"/>
                <w:sz w:val="18"/>
              </w:rPr>
              <w:t>Kreeka tuletõrjeteenistuse kasutatav GPSi seiresüsteem, samuti piirkondliku kodanikukaitse operatsioonide keskuse sõidukid (projektimasinad jne). Kreeka tuletõrjeteenistuse teabesüsteemi „kaasamine“ laiendamine;</w:t>
            </w:r>
          </w:p>
          <w:p w14:paraId="4C08A001" w14:textId="77777777" w:rsidR="00645BC7" w:rsidRPr="00E02B5D" w:rsidRDefault="00645BC7" w:rsidP="00DE1EE5">
            <w:pPr>
              <w:numPr>
                <w:ilvl w:val="0"/>
                <w:numId w:val="48"/>
              </w:numPr>
              <w:spacing w:before="120" w:line="259" w:lineRule="auto"/>
              <w:contextualSpacing/>
              <w:jc w:val="both"/>
              <w:rPr>
                <w:rFonts w:eastAsia="Times New Roman" w:cs="Calibri"/>
                <w:noProof/>
                <w:color w:val="006100"/>
                <w:sz w:val="18"/>
                <w:szCs w:val="18"/>
              </w:rPr>
            </w:pPr>
            <w:r>
              <w:rPr>
                <w:noProof/>
                <w:color w:val="006100"/>
                <w:sz w:val="18"/>
              </w:rPr>
              <w:t>Varajase hoiatamise süsteem;</w:t>
            </w:r>
          </w:p>
          <w:p w14:paraId="01EF27A0" w14:textId="77777777" w:rsidR="00645BC7" w:rsidRPr="00E02B5D" w:rsidRDefault="00645BC7" w:rsidP="00DE1EE5">
            <w:pPr>
              <w:numPr>
                <w:ilvl w:val="0"/>
                <w:numId w:val="48"/>
              </w:numPr>
              <w:spacing w:before="120" w:line="259" w:lineRule="auto"/>
              <w:contextualSpacing/>
              <w:jc w:val="both"/>
              <w:rPr>
                <w:rFonts w:eastAsia="Times New Roman" w:cs="Calibri"/>
                <w:noProof/>
                <w:color w:val="006100"/>
                <w:sz w:val="18"/>
                <w:szCs w:val="18"/>
              </w:rPr>
            </w:pPr>
            <w:r>
              <w:rPr>
                <w:noProof/>
                <w:color w:val="006100"/>
                <w:sz w:val="18"/>
              </w:rPr>
              <w:t>Tulekahju avastamis- ja tulekustutussüsteemid;</w:t>
            </w:r>
          </w:p>
          <w:p w14:paraId="4ECFCFC2" w14:textId="77777777" w:rsidR="00645BC7" w:rsidRPr="00E02B5D" w:rsidRDefault="00645BC7" w:rsidP="00DE1EE5">
            <w:pPr>
              <w:numPr>
                <w:ilvl w:val="0"/>
                <w:numId w:val="48"/>
              </w:numPr>
              <w:spacing w:before="120" w:line="259" w:lineRule="auto"/>
              <w:contextualSpacing/>
              <w:jc w:val="both"/>
              <w:rPr>
                <w:rFonts w:eastAsia="Times New Roman" w:cs="Calibri"/>
                <w:noProof/>
                <w:color w:val="006100"/>
                <w:sz w:val="18"/>
                <w:szCs w:val="18"/>
              </w:rPr>
            </w:pPr>
            <w:r>
              <w:rPr>
                <w:noProof/>
                <w:color w:val="006100"/>
                <w:sz w:val="18"/>
              </w:rPr>
              <w:t>Hädaolukorra sidejaamad ja huvipakkuvate piirkondade kliimaandmete edastamine; ning</w:t>
            </w:r>
          </w:p>
          <w:p w14:paraId="15622CE2" w14:textId="77777777" w:rsidR="00645BC7" w:rsidRPr="00E02B5D" w:rsidRDefault="00645BC7" w:rsidP="00DE1EE5">
            <w:pPr>
              <w:numPr>
                <w:ilvl w:val="0"/>
                <w:numId w:val="48"/>
              </w:numPr>
              <w:spacing w:before="120" w:line="259" w:lineRule="auto"/>
              <w:contextualSpacing/>
              <w:jc w:val="both"/>
              <w:rPr>
                <w:rFonts w:eastAsia="Times New Roman" w:cs="Calibri"/>
                <w:noProof/>
                <w:color w:val="006100"/>
                <w:sz w:val="18"/>
                <w:szCs w:val="18"/>
              </w:rPr>
            </w:pPr>
            <w:r>
              <w:rPr>
                <w:noProof/>
                <w:color w:val="006100"/>
                <w:sz w:val="18"/>
              </w:rPr>
              <w:t>Traadita sidevõrk.</w:t>
            </w:r>
          </w:p>
          <w:p w14:paraId="726097B1" w14:textId="77777777" w:rsidR="00645BC7" w:rsidRPr="00E02B5D" w:rsidRDefault="00645BC7" w:rsidP="007B4D63">
            <w:pPr>
              <w:rPr>
                <w:rFonts w:eastAsia="Times New Roman" w:cs="Calibri"/>
                <w:noProof/>
                <w:color w:val="006100"/>
                <w:sz w:val="18"/>
                <w:szCs w:val="18"/>
                <w:lang w:val="en-GB" w:eastAsia="en-GB"/>
              </w:rPr>
            </w:pPr>
          </w:p>
        </w:tc>
      </w:tr>
      <w:tr w:rsidR="007B4D63" w:rsidRPr="003B132A" w14:paraId="1BD751C1" w14:textId="77777777" w:rsidTr="00AF187E">
        <w:trPr>
          <w:trHeight w:val="309"/>
          <w:jc w:val="center"/>
        </w:trPr>
        <w:tc>
          <w:tcPr>
            <w:tcW w:w="1129" w:type="dxa"/>
            <w:shd w:val="clear" w:color="auto" w:fill="C6EFCE"/>
            <w:noWrap/>
          </w:tcPr>
          <w:p w14:paraId="18B7D165" w14:textId="77777777" w:rsidR="00645BC7" w:rsidRPr="00E02B5D" w:rsidRDefault="00645BC7" w:rsidP="007B4D63">
            <w:pPr>
              <w:rPr>
                <w:rFonts w:eastAsia="Times New Roman" w:cs="Calibri"/>
                <w:noProof/>
                <w:color w:val="006100"/>
                <w:sz w:val="18"/>
                <w:szCs w:val="18"/>
              </w:rPr>
            </w:pPr>
            <w:r>
              <w:rPr>
                <w:noProof/>
                <w:color w:val="006100"/>
                <w:sz w:val="18"/>
              </w:rPr>
              <w:t>82</w:t>
            </w:r>
          </w:p>
        </w:tc>
        <w:tc>
          <w:tcPr>
            <w:tcW w:w="1276" w:type="dxa"/>
            <w:shd w:val="clear" w:color="auto" w:fill="C6EFCE"/>
            <w:noWrap/>
          </w:tcPr>
          <w:p w14:paraId="5EE8CACF" w14:textId="77777777" w:rsidR="00645BC7" w:rsidRPr="00E02B5D" w:rsidRDefault="00645BC7" w:rsidP="007B4D63">
            <w:pPr>
              <w:rPr>
                <w:rFonts w:eastAsia="Times New Roman" w:cs="Calibri"/>
                <w:noProof/>
                <w:color w:val="006100"/>
                <w:sz w:val="18"/>
                <w:szCs w:val="18"/>
              </w:rPr>
            </w:pPr>
            <w:r>
              <w:rPr>
                <w:noProof/>
                <w:color w:val="006100"/>
                <w:sz w:val="18"/>
              </w:rPr>
              <w:t>4-1.4. Ressursside säästev kasutamine, kliimamuutustele vastupanu võime ja keskkonnakaitse – 16911_Lennuvahendid kriisiohje jaoks</w:t>
            </w:r>
          </w:p>
        </w:tc>
        <w:tc>
          <w:tcPr>
            <w:tcW w:w="993" w:type="dxa"/>
            <w:shd w:val="clear" w:color="auto" w:fill="C6EFCE"/>
            <w:noWrap/>
          </w:tcPr>
          <w:p w14:paraId="23B94D1B" w14:textId="77777777" w:rsidR="00645BC7" w:rsidRPr="00E02B5D" w:rsidRDefault="00645BC7" w:rsidP="007B4D63">
            <w:pPr>
              <w:rPr>
                <w:rFonts w:eastAsia="Times New Roman" w:cs="Calibri"/>
                <w:noProof/>
                <w:color w:val="006100"/>
                <w:sz w:val="18"/>
                <w:szCs w:val="18"/>
              </w:rPr>
            </w:pPr>
            <w:r>
              <w:rPr>
                <w:noProof/>
                <w:color w:val="006100"/>
                <w:sz w:val="18"/>
              </w:rPr>
              <w:t>Eesmärk</w:t>
            </w:r>
          </w:p>
        </w:tc>
        <w:tc>
          <w:tcPr>
            <w:tcW w:w="1134" w:type="dxa"/>
            <w:shd w:val="clear" w:color="auto" w:fill="C6EFCE"/>
            <w:noWrap/>
          </w:tcPr>
          <w:p w14:paraId="16CFB97C" w14:textId="77777777" w:rsidR="00645BC7" w:rsidRPr="00E02B5D" w:rsidRDefault="00645BC7" w:rsidP="007B4D63">
            <w:pPr>
              <w:rPr>
                <w:rFonts w:eastAsia="Times New Roman" w:cs="Calibri"/>
                <w:noProof/>
                <w:color w:val="006100"/>
                <w:sz w:val="18"/>
                <w:szCs w:val="18"/>
              </w:rPr>
            </w:pPr>
            <w:r>
              <w:rPr>
                <w:noProof/>
                <w:color w:val="006100"/>
                <w:sz w:val="18"/>
              </w:rPr>
              <w:t>Kriisiohje lennuvahendite projekti lõpuleviimine</w:t>
            </w:r>
          </w:p>
        </w:tc>
        <w:tc>
          <w:tcPr>
            <w:tcW w:w="1134" w:type="dxa"/>
            <w:shd w:val="clear" w:color="auto" w:fill="C6EFCE"/>
            <w:noWrap/>
          </w:tcPr>
          <w:p w14:paraId="3A0B981F" w14:textId="77777777" w:rsidR="00645BC7" w:rsidRPr="00E02B5D" w:rsidRDefault="00645BC7" w:rsidP="007B4D63">
            <w:pPr>
              <w:rPr>
                <w:rFonts w:eastAsia="Times New Roman" w:cs="Calibri"/>
                <w:noProof/>
                <w:color w:val="006100"/>
                <w:sz w:val="18"/>
                <w:szCs w:val="18"/>
              </w:rPr>
            </w:pPr>
            <w:r>
              <w:rPr>
                <w:noProof/>
                <w:color w:val="006100"/>
                <w:sz w:val="18"/>
              </w:rPr>
              <w:t>Täitmine on kinnitatud siseministeeriumi aruandega</w:t>
            </w:r>
          </w:p>
        </w:tc>
        <w:tc>
          <w:tcPr>
            <w:tcW w:w="992" w:type="dxa"/>
            <w:shd w:val="clear" w:color="auto" w:fill="C6EFCE"/>
            <w:noWrap/>
          </w:tcPr>
          <w:p w14:paraId="69D7C170" w14:textId="77777777" w:rsidR="00645BC7" w:rsidRPr="00E02B5D" w:rsidRDefault="00645BC7" w:rsidP="007B4D63">
            <w:pPr>
              <w:rPr>
                <w:rFonts w:eastAsia="Times New Roman" w:cs="Calibri"/>
                <w:noProof/>
                <w:color w:val="006100"/>
                <w:sz w:val="18"/>
                <w:szCs w:val="18"/>
                <w:lang w:val="en-GB" w:eastAsia="en-GB"/>
              </w:rPr>
            </w:pPr>
          </w:p>
        </w:tc>
        <w:tc>
          <w:tcPr>
            <w:tcW w:w="992" w:type="dxa"/>
            <w:shd w:val="clear" w:color="auto" w:fill="C6EFCE"/>
            <w:noWrap/>
          </w:tcPr>
          <w:p w14:paraId="1524E046" w14:textId="77777777" w:rsidR="00645BC7" w:rsidRPr="00E02B5D" w:rsidRDefault="00645BC7" w:rsidP="007B4D63">
            <w:pPr>
              <w:rPr>
                <w:rFonts w:eastAsia="Times New Roman" w:cs="Calibri"/>
                <w:noProof/>
                <w:color w:val="006100"/>
                <w:sz w:val="18"/>
                <w:szCs w:val="18"/>
                <w:lang w:val="en-GB" w:eastAsia="en-GB"/>
              </w:rPr>
            </w:pPr>
          </w:p>
        </w:tc>
        <w:tc>
          <w:tcPr>
            <w:tcW w:w="709" w:type="dxa"/>
            <w:shd w:val="clear" w:color="auto" w:fill="C6EFCE"/>
            <w:noWrap/>
          </w:tcPr>
          <w:p w14:paraId="42BC9733" w14:textId="77777777" w:rsidR="00645BC7" w:rsidRPr="00E02B5D" w:rsidRDefault="00645BC7" w:rsidP="007B4D63">
            <w:pPr>
              <w:rPr>
                <w:rFonts w:eastAsia="Times New Roman" w:cs="Calibri"/>
                <w:noProof/>
                <w:color w:val="006100"/>
                <w:sz w:val="18"/>
                <w:szCs w:val="18"/>
                <w:lang w:val="en-GB" w:eastAsia="en-GB"/>
              </w:rPr>
            </w:pPr>
          </w:p>
        </w:tc>
        <w:tc>
          <w:tcPr>
            <w:tcW w:w="850" w:type="dxa"/>
            <w:shd w:val="clear" w:color="auto" w:fill="C6EFCE"/>
            <w:noWrap/>
          </w:tcPr>
          <w:p w14:paraId="58015B17" w14:textId="77777777" w:rsidR="00645BC7" w:rsidRPr="00E02B5D" w:rsidRDefault="00645BC7" w:rsidP="007B4D63">
            <w:pPr>
              <w:rPr>
                <w:rFonts w:eastAsia="Times New Roman" w:cs="Calibri"/>
                <w:noProof/>
                <w:color w:val="006100"/>
                <w:sz w:val="18"/>
                <w:szCs w:val="18"/>
              </w:rPr>
            </w:pPr>
            <w:r>
              <w:rPr>
                <w:noProof/>
                <w:color w:val="006100"/>
                <w:sz w:val="18"/>
              </w:rPr>
              <w:t>4. kv</w:t>
            </w:r>
          </w:p>
        </w:tc>
        <w:tc>
          <w:tcPr>
            <w:tcW w:w="851" w:type="dxa"/>
            <w:shd w:val="clear" w:color="auto" w:fill="C6EFCE"/>
            <w:noWrap/>
          </w:tcPr>
          <w:p w14:paraId="471059D8" w14:textId="77777777" w:rsidR="00645BC7" w:rsidRPr="00E02B5D" w:rsidRDefault="00645BC7" w:rsidP="007B4D63">
            <w:pPr>
              <w:rPr>
                <w:rFonts w:eastAsia="Times New Roman" w:cs="Calibri"/>
                <w:noProof/>
                <w:color w:val="006100"/>
                <w:sz w:val="18"/>
                <w:szCs w:val="18"/>
              </w:rPr>
            </w:pPr>
            <w:r>
              <w:rPr>
                <w:noProof/>
                <w:color w:val="006100"/>
                <w:sz w:val="18"/>
              </w:rPr>
              <w:t>2025</w:t>
            </w:r>
          </w:p>
        </w:tc>
        <w:tc>
          <w:tcPr>
            <w:tcW w:w="5528" w:type="dxa"/>
            <w:shd w:val="clear" w:color="auto" w:fill="C6EFCE"/>
            <w:noWrap/>
          </w:tcPr>
          <w:p w14:paraId="5953A12A" w14:textId="77777777" w:rsidR="00645BC7" w:rsidRPr="00E02B5D" w:rsidRDefault="00645BC7" w:rsidP="007B4D63">
            <w:pPr>
              <w:rPr>
                <w:rFonts w:eastAsia="Times New Roman" w:cs="Calibri"/>
                <w:noProof/>
                <w:color w:val="006100"/>
                <w:sz w:val="18"/>
                <w:szCs w:val="18"/>
              </w:rPr>
            </w:pPr>
            <w:r>
              <w:rPr>
                <w:noProof/>
                <w:color w:val="006100"/>
                <w:sz w:val="18"/>
              </w:rPr>
              <w:t>Järgmiste meetmete lõpuleviimine:</w:t>
            </w:r>
          </w:p>
          <w:p w14:paraId="785A9F19" w14:textId="77777777" w:rsidR="00645BC7" w:rsidRPr="00E02B5D" w:rsidRDefault="00645BC7" w:rsidP="00DE1EE5">
            <w:pPr>
              <w:numPr>
                <w:ilvl w:val="0"/>
                <w:numId w:val="49"/>
              </w:numPr>
              <w:spacing w:before="120" w:line="259" w:lineRule="auto"/>
              <w:contextualSpacing/>
              <w:jc w:val="both"/>
              <w:rPr>
                <w:rFonts w:eastAsia="Times New Roman" w:cs="Calibri"/>
                <w:noProof/>
                <w:color w:val="006100"/>
                <w:sz w:val="18"/>
                <w:szCs w:val="18"/>
              </w:rPr>
            </w:pPr>
            <w:r>
              <w:rPr>
                <w:noProof/>
                <w:color w:val="006100"/>
                <w:sz w:val="18"/>
              </w:rPr>
              <w:t>Meditsiinis kasutatavate 2 keskmise suurusega tarbekopterite tarnimine;</w:t>
            </w:r>
          </w:p>
          <w:p w14:paraId="47966FED" w14:textId="77777777" w:rsidR="00645BC7" w:rsidRPr="00E02B5D" w:rsidRDefault="00645BC7" w:rsidP="00DE1EE5">
            <w:pPr>
              <w:numPr>
                <w:ilvl w:val="0"/>
                <w:numId w:val="49"/>
              </w:numPr>
              <w:spacing w:before="120" w:line="259" w:lineRule="auto"/>
              <w:contextualSpacing/>
              <w:jc w:val="both"/>
              <w:rPr>
                <w:rFonts w:eastAsia="Times New Roman" w:cs="Calibri"/>
                <w:noProof/>
                <w:color w:val="006100"/>
                <w:sz w:val="18"/>
                <w:szCs w:val="18"/>
              </w:rPr>
            </w:pPr>
            <w:r>
              <w:rPr>
                <w:noProof/>
                <w:color w:val="006100"/>
                <w:sz w:val="18"/>
              </w:rPr>
              <w:t>Mehitamata õhusõidukite tarnimine – mehitamata õhusõidukid (droonid) õhuseireks;</w:t>
            </w:r>
          </w:p>
          <w:p w14:paraId="7150BC06" w14:textId="77777777" w:rsidR="00645BC7" w:rsidRPr="00E02B5D" w:rsidRDefault="00645BC7" w:rsidP="00DE1EE5">
            <w:pPr>
              <w:numPr>
                <w:ilvl w:val="0"/>
                <w:numId w:val="49"/>
              </w:numPr>
              <w:spacing w:before="120" w:line="259" w:lineRule="auto"/>
              <w:contextualSpacing/>
              <w:jc w:val="both"/>
              <w:rPr>
                <w:rFonts w:eastAsia="Times New Roman" w:cs="Calibri"/>
                <w:noProof/>
                <w:color w:val="006100"/>
                <w:sz w:val="18"/>
                <w:szCs w:val="18"/>
              </w:rPr>
            </w:pPr>
            <w:r>
              <w:rPr>
                <w:noProof/>
                <w:color w:val="006100"/>
                <w:sz w:val="18"/>
              </w:rPr>
              <w:t>Ajakohastamine – 7 Canadair CL415 moderniseerimine;</w:t>
            </w:r>
          </w:p>
          <w:p w14:paraId="414A25B8" w14:textId="77777777" w:rsidR="00645BC7" w:rsidRPr="00E02B5D" w:rsidRDefault="0046037D" w:rsidP="00DE1EE5">
            <w:pPr>
              <w:numPr>
                <w:ilvl w:val="0"/>
                <w:numId w:val="49"/>
              </w:numPr>
              <w:spacing w:before="120" w:line="259" w:lineRule="auto"/>
              <w:contextualSpacing/>
              <w:jc w:val="both"/>
              <w:rPr>
                <w:rFonts w:eastAsia="Times New Roman" w:cs="Calibri"/>
                <w:noProof/>
                <w:color w:val="006100"/>
                <w:sz w:val="18"/>
                <w:szCs w:val="18"/>
              </w:rPr>
            </w:pPr>
            <w:r>
              <w:rPr>
                <w:noProof/>
                <w:color w:val="006100"/>
                <w:sz w:val="18"/>
              </w:rPr>
              <w:t>Kahe keskmise suurusega tuletõrjekopteri tarnimine;</w:t>
            </w:r>
          </w:p>
          <w:p w14:paraId="5495E147" w14:textId="77777777" w:rsidR="00645BC7" w:rsidRPr="00E02B5D" w:rsidRDefault="00645BC7" w:rsidP="00DE1EE5">
            <w:pPr>
              <w:numPr>
                <w:ilvl w:val="0"/>
                <w:numId w:val="49"/>
              </w:numPr>
              <w:spacing w:before="120" w:line="259" w:lineRule="auto"/>
              <w:contextualSpacing/>
              <w:jc w:val="both"/>
              <w:rPr>
                <w:rFonts w:eastAsia="Times New Roman" w:cs="Calibri"/>
                <w:noProof/>
                <w:color w:val="006100"/>
                <w:sz w:val="18"/>
                <w:szCs w:val="18"/>
              </w:rPr>
            </w:pPr>
            <w:r>
              <w:rPr>
                <w:noProof/>
                <w:color w:val="006100"/>
                <w:sz w:val="18"/>
              </w:rPr>
              <w:t>1 helikopteri tarnimine nõukogu peasekretariaadi intsidentide haldamise üksuse transpordiks;</w:t>
            </w:r>
          </w:p>
          <w:p w14:paraId="14F04E0B" w14:textId="77777777" w:rsidR="00645BC7" w:rsidRPr="00E02B5D" w:rsidRDefault="00645BC7" w:rsidP="00DE1EE5">
            <w:pPr>
              <w:numPr>
                <w:ilvl w:val="0"/>
                <w:numId w:val="49"/>
              </w:numPr>
              <w:spacing w:before="120" w:line="259" w:lineRule="auto"/>
              <w:contextualSpacing/>
              <w:jc w:val="both"/>
              <w:rPr>
                <w:rFonts w:eastAsia="Times New Roman" w:cs="Calibri"/>
                <w:noProof/>
                <w:color w:val="006100"/>
                <w:sz w:val="18"/>
                <w:szCs w:val="18"/>
              </w:rPr>
            </w:pPr>
            <w:r>
              <w:rPr>
                <w:noProof/>
                <w:color w:val="006100"/>
                <w:sz w:val="18"/>
              </w:rPr>
              <w:t>11 amfiibõhutraktoriga tuletõrjelennuki tarnimine saarekomplekside jaoks; ning</w:t>
            </w:r>
          </w:p>
          <w:p w14:paraId="61EEA907" w14:textId="77777777" w:rsidR="00645BC7" w:rsidRPr="00E02B5D" w:rsidRDefault="00645BC7" w:rsidP="00DE1EE5">
            <w:pPr>
              <w:numPr>
                <w:ilvl w:val="0"/>
                <w:numId w:val="49"/>
              </w:numPr>
              <w:spacing w:before="120" w:line="259" w:lineRule="auto"/>
              <w:contextualSpacing/>
              <w:jc w:val="both"/>
              <w:rPr>
                <w:rFonts w:eastAsia="Times New Roman" w:cs="Calibri"/>
                <w:noProof/>
                <w:color w:val="006100"/>
                <w:sz w:val="18"/>
                <w:szCs w:val="18"/>
              </w:rPr>
            </w:pPr>
            <w:r>
              <w:rPr>
                <w:noProof/>
                <w:color w:val="006100"/>
                <w:sz w:val="18"/>
              </w:rPr>
              <w:t>Ajakohastamine – kahe (2) Super Puma moderniseerimine.</w:t>
            </w:r>
          </w:p>
        </w:tc>
      </w:tr>
      <w:tr w:rsidR="007B4D63" w:rsidRPr="003B132A" w14:paraId="65A141A2" w14:textId="77777777" w:rsidTr="00AF187E">
        <w:trPr>
          <w:trHeight w:val="309"/>
          <w:jc w:val="center"/>
        </w:trPr>
        <w:tc>
          <w:tcPr>
            <w:tcW w:w="1129" w:type="dxa"/>
            <w:shd w:val="clear" w:color="auto" w:fill="C6EFCE"/>
            <w:noWrap/>
          </w:tcPr>
          <w:p w14:paraId="2E681548" w14:textId="77777777" w:rsidR="00645BC7" w:rsidRPr="00E02B5D" w:rsidRDefault="00645BC7" w:rsidP="007B4D63">
            <w:pPr>
              <w:rPr>
                <w:rFonts w:eastAsia="Times New Roman" w:cs="Calibri"/>
                <w:noProof/>
                <w:color w:val="006100"/>
                <w:sz w:val="18"/>
                <w:szCs w:val="18"/>
              </w:rPr>
            </w:pPr>
            <w:r>
              <w:rPr>
                <w:noProof/>
                <w:color w:val="006100"/>
                <w:sz w:val="18"/>
              </w:rPr>
              <w:t>83</w:t>
            </w:r>
          </w:p>
        </w:tc>
        <w:tc>
          <w:tcPr>
            <w:tcW w:w="1276" w:type="dxa"/>
            <w:shd w:val="clear" w:color="auto" w:fill="C6EFCE"/>
            <w:noWrap/>
          </w:tcPr>
          <w:p w14:paraId="6A053F86" w14:textId="77777777" w:rsidR="00645BC7" w:rsidRPr="00E02B5D" w:rsidRDefault="00645BC7" w:rsidP="007B4D63">
            <w:pPr>
              <w:rPr>
                <w:rFonts w:eastAsia="Times New Roman" w:cs="Calibri"/>
                <w:noProof/>
                <w:color w:val="006100"/>
                <w:sz w:val="18"/>
                <w:szCs w:val="18"/>
                <w:highlight w:val="magenta"/>
              </w:rPr>
            </w:pPr>
            <w:r>
              <w:rPr>
                <w:noProof/>
                <w:color w:val="006100"/>
                <w:sz w:val="18"/>
              </w:rPr>
              <w:t>4-1.4. Ressursside säästev kasutamine, kliimamuutustele vastupanu võime ja keskkonnakaitse – 16912_Metsatuletõrje-, ennetus- ja reageerimisseadmed</w:t>
            </w:r>
          </w:p>
        </w:tc>
        <w:tc>
          <w:tcPr>
            <w:tcW w:w="993" w:type="dxa"/>
            <w:shd w:val="clear" w:color="auto" w:fill="C6EFCE"/>
            <w:noWrap/>
          </w:tcPr>
          <w:p w14:paraId="6662E5BF" w14:textId="77777777" w:rsidR="00645BC7" w:rsidRPr="00E02B5D" w:rsidRDefault="00645BC7" w:rsidP="007B4D63">
            <w:pPr>
              <w:rPr>
                <w:rFonts w:eastAsia="Times New Roman" w:cs="Calibri"/>
                <w:noProof/>
                <w:color w:val="006100"/>
                <w:sz w:val="18"/>
                <w:szCs w:val="18"/>
              </w:rPr>
            </w:pPr>
            <w:r>
              <w:rPr>
                <w:noProof/>
                <w:color w:val="006100"/>
                <w:sz w:val="18"/>
              </w:rPr>
              <w:t>Eesmärk</w:t>
            </w:r>
          </w:p>
        </w:tc>
        <w:tc>
          <w:tcPr>
            <w:tcW w:w="1134" w:type="dxa"/>
            <w:shd w:val="clear" w:color="auto" w:fill="C6EFCE"/>
            <w:noWrap/>
          </w:tcPr>
          <w:p w14:paraId="7B14CA11" w14:textId="77777777" w:rsidR="00645BC7" w:rsidRPr="00E02B5D" w:rsidRDefault="00645BC7" w:rsidP="007B4D63">
            <w:pPr>
              <w:rPr>
                <w:rFonts w:eastAsia="Times New Roman" w:cs="Calibri"/>
                <w:noProof/>
                <w:color w:val="006100"/>
                <w:sz w:val="18"/>
                <w:szCs w:val="18"/>
              </w:rPr>
            </w:pPr>
            <w:r>
              <w:rPr>
                <w:noProof/>
                <w:color w:val="006100"/>
                <w:sz w:val="18"/>
              </w:rPr>
              <w:t>Metsavõitlusseadmete väljaehitamine</w:t>
            </w:r>
          </w:p>
        </w:tc>
        <w:tc>
          <w:tcPr>
            <w:tcW w:w="1134" w:type="dxa"/>
            <w:shd w:val="clear" w:color="auto" w:fill="C6EFCE"/>
            <w:noWrap/>
          </w:tcPr>
          <w:p w14:paraId="6798EDC7" w14:textId="77777777" w:rsidR="00645BC7" w:rsidRPr="00E02B5D" w:rsidRDefault="00645BC7" w:rsidP="007B4D63">
            <w:pPr>
              <w:rPr>
                <w:rFonts w:eastAsia="Times New Roman" w:cs="Calibri"/>
                <w:noProof/>
                <w:color w:val="006100"/>
                <w:sz w:val="18"/>
                <w:szCs w:val="18"/>
              </w:rPr>
            </w:pPr>
            <w:r>
              <w:rPr>
                <w:noProof/>
                <w:color w:val="006100"/>
                <w:sz w:val="18"/>
              </w:rPr>
              <w:t>Täitmine on kinnitatud siseministeeriumi aruandega</w:t>
            </w:r>
          </w:p>
        </w:tc>
        <w:tc>
          <w:tcPr>
            <w:tcW w:w="992" w:type="dxa"/>
            <w:shd w:val="clear" w:color="auto" w:fill="C6EFCE"/>
            <w:noWrap/>
          </w:tcPr>
          <w:p w14:paraId="70E6D204" w14:textId="77777777" w:rsidR="00645BC7" w:rsidRPr="00E02B5D" w:rsidRDefault="00645BC7" w:rsidP="007B4D63">
            <w:pPr>
              <w:rPr>
                <w:rFonts w:eastAsia="Times New Roman" w:cs="Calibri"/>
                <w:noProof/>
                <w:color w:val="006100"/>
                <w:sz w:val="18"/>
                <w:szCs w:val="18"/>
                <w:lang w:val="en-GB" w:eastAsia="en-GB"/>
              </w:rPr>
            </w:pPr>
          </w:p>
        </w:tc>
        <w:tc>
          <w:tcPr>
            <w:tcW w:w="992" w:type="dxa"/>
            <w:shd w:val="clear" w:color="auto" w:fill="C6EFCE"/>
            <w:noWrap/>
          </w:tcPr>
          <w:p w14:paraId="6213E4C7" w14:textId="77777777" w:rsidR="00645BC7" w:rsidRPr="00E02B5D" w:rsidRDefault="00645BC7" w:rsidP="007B4D63">
            <w:pPr>
              <w:rPr>
                <w:rFonts w:eastAsia="Times New Roman" w:cs="Calibri"/>
                <w:noProof/>
                <w:color w:val="006100"/>
                <w:sz w:val="18"/>
                <w:szCs w:val="18"/>
                <w:lang w:val="en-GB" w:eastAsia="en-GB"/>
              </w:rPr>
            </w:pPr>
          </w:p>
        </w:tc>
        <w:tc>
          <w:tcPr>
            <w:tcW w:w="709" w:type="dxa"/>
            <w:shd w:val="clear" w:color="auto" w:fill="C6EFCE"/>
            <w:noWrap/>
          </w:tcPr>
          <w:p w14:paraId="303C93EA" w14:textId="77777777" w:rsidR="00645BC7" w:rsidRPr="00E02B5D" w:rsidRDefault="00645BC7" w:rsidP="007B4D63">
            <w:pPr>
              <w:rPr>
                <w:rFonts w:eastAsia="Times New Roman" w:cs="Calibri"/>
                <w:noProof/>
                <w:color w:val="006100"/>
                <w:sz w:val="18"/>
                <w:szCs w:val="18"/>
                <w:lang w:val="en-GB" w:eastAsia="en-GB"/>
              </w:rPr>
            </w:pPr>
          </w:p>
        </w:tc>
        <w:tc>
          <w:tcPr>
            <w:tcW w:w="850" w:type="dxa"/>
            <w:shd w:val="clear" w:color="auto" w:fill="C6EFCE"/>
            <w:noWrap/>
          </w:tcPr>
          <w:p w14:paraId="1F0347E2" w14:textId="77777777" w:rsidR="00645BC7" w:rsidRPr="00E02B5D" w:rsidRDefault="00645BC7" w:rsidP="007B4D63">
            <w:pPr>
              <w:rPr>
                <w:rFonts w:eastAsia="Times New Roman" w:cs="Calibri"/>
                <w:noProof/>
                <w:color w:val="006100"/>
                <w:sz w:val="18"/>
                <w:szCs w:val="18"/>
              </w:rPr>
            </w:pPr>
            <w:r>
              <w:rPr>
                <w:noProof/>
                <w:color w:val="006100"/>
                <w:sz w:val="18"/>
              </w:rPr>
              <w:t>4. kv</w:t>
            </w:r>
          </w:p>
        </w:tc>
        <w:tc>
          <w:tcPr>
            <w:tcW w:w="851" w:type="dxa"/>
            <w:shd w:val="clear" w:color="auto" w:fill="C6EFCE"/>
            <w:noWrap/>
          </w:tcPr>
          <w:p w14:paraId="5BE974B4" w14:textId="77777777" w:rsidR="00645BC7" w:rsidRPr="00E02B5D" w:rsidRDefault="00645BC7" w:rsidP="007B4D63">
            <w:pPr>
              <w:rPr>
                <w:rFonts w:eastAsia="Times New Roman" w:cs="Calibri"/>
                <w:noProof/>
                <w:color w:val="006100"/>
                <w:sz w:val="18"/>
                <w:szCs w:val="18"/>
              </w:rPr>
            </w:pPr>
            <w:r>
              <w:rPr>
                <w:noProof/>
                <w:color w:val="006100"/>
                <w:sz w:val="18"/>
              </w:rPr>
              <w:t>2025</w:t>
            </w:r>
          </w:p>
        </w:tc>
        <w:tc>
          <w:tcPr>
            <w:tcW w:w="5528" w:type="dxa"/>
            <w:shd w:val="clear" w:color="auto" w:fill="C6EFCE"/>
            <w:noWrap/>
          </w:tcPr>
          <w:p w14:paraId="262F01CC" w14:textId="77777777" w:rsidR="00645BC7" w:rsidRPr="00E02B5D" w:rsidRDefault="00645BC7" w:rsidP="007B4D63">
            <w:pPr>
              <w:rPr>
                <w:rFonts w:eastAsia="Times New Roman" w:cs="Calibri"/>
                <w:noProof/>
                <w:color w:val="006100"/>
                <w:sz w:val="18"/>
                <w:szCs w:val="18"/>
              </w:rPr>
            </w:pPr>
            <w:r>
              <w:rPr>
                <w:noProof/>
                <w:color w:val="006100"/>
                <w:sz w:val="18"/>
              </w:rPr>
              <w:t>Järgmiste meetmete lõpuleviimine:</w:t>
            </w:r>
          </w:p>
          <w:p w14:paraId="7464B1DE" w14:textId="77777777" w:rsidR="00645BC7" w:rsidRPr="00E02B5D" w:rsidRDefault="00645BC7" w:rsidP="00DE1EE5">
            <w:pPr>
              <w:numPr>
                <w:ilvl w:val="0"/>
                <w:numId w:val="50"/>
              </w:numPr>
              <w:spacing w:before="120" w:line="259" w:lineRule="auto"/>
              <w:contextualSpacing/>
              <w:jc w:val="both"/>
              <w:rPr>
                <w:rFonts w:eastAsia="Times New Roman" w:cs="Calibri"/>
                <w:noProof/>
                <w:color w:val="006100"/>
                <w:sz w:val="18"/>
                <w:szCs w:val="18"/>
              </w:rPr>
            </w:pPr>
            <w:r>
              <w:rPr>
                <w:noProof/>
                <w:color w:val="006100"/>
                <w:sz w:val="18"/>
              </w:rPr>
              <w:t>Tuletõrjemasinate ja muude reageerimisvahendite tarnimine;</w:t>
            </w:r>
          </w:p>
          <w:p w14:paraId="56088BC8" w14:textId="77777777" w:rsidR="00645BC7" w:rsidRPr="00E02B5D" w:rsidRDefault="00645BC7" w:rsidP="00DE1EE5">
            <w:pPr>
              <w:numPr>
                <w:ilvl w:val="0"/>
                <w:numId w:val="50"/>
              </w:numPr>
              <w:spacing w:before="120" w:line="259" w:lineRule="auto"/>
              <w:contextualSpacing/>
              <w:jc w:val="both"/>
              <w:rPr>
                <w:rFonts w:eastAsia="Times New Roman" w:cs="Calibri"/>
                <w:noProof/>
                <w:color w:val="006100"/>
                <w:sz w:val="18"/>
                <w:szCs w:val="18"/>
              </w:rPr>
            </w:pPr>
            <w:r>
              <w:rPr>
                <w:noProof/>
                <w:color w:val="006100"/>
                <w:sz w:val="18"/>
              </w:rPr>
              <w:t>Sõidukite tarnimine nõukogu peasekretariaadile, piirkondlikele/kohalikele kodanikukaitse operatsioonide keskustele ja vabatahtlike organisatsioonidele; ning</w:t>
            </w:r>
          </w:p>
          <w:p w14:paraId="20E7547F" w14:textId="77777777" w:rsidR="00645BC7" w:rsidRPr="00E02B5D" w:rsidRDefault="00645BC7" w:rsidP="00DE1EE5">
            <w:pPr>
              <w:numPr>
                <w:ilvl w:val="0"/>
                <w:numId w:val="50"/>
              </w:numPr>
              <w:spacing w:before="120" w:line="259" w:lineRule="auto"/>
              <w:contextualSpacing/>
              <w:jc w:val="both"/>
              <w:rPr>
                <w:rFonts w:eastAsia="Times New Roman" w:cs="Calibri"/>
                <w:noProof/>
                <w:color w:val="006100"/>
                <w:sz w:val="18"/>
                <w:szCs w:val="18"/>
              </w:rPr>
            </w:pPr>
            <w:r>
              <w:rPr>
                <w:noProof/>
                <w:color w:val="006100"/>
                <w:sz w:val="18"/>
              </w:rPr>
              <w:t xml:space="preserve">Kokkupressitavate transporditavate sildade tarnimine. </w:t>
            </w:r>
          </w:p>
        </w:tc>
      </w:tr>
      <w:tr w:rsidR="007B4D63" w:rsidRPr="003B132A" w14:paraId="799FA2AA" w14:textId="77777777" w:rsidTr="00015F96">
        <w:trPr>
          <w:trHeight w:val="309"/>
          <w:jc w:val="center"/>
        </w:trPr>
        <w:tc>
          <w:tcPr>
            <w:tcW w:w="1129" w:type="dxa"/>
            <w:shd w:val="clear" w:color="auto" w:fill="C6EFCE"/>
            <w:noWrap/>
          </w:tcPr>
          <w:p w14:paraId="765FD836" w14:textId="77777777" w:rsidR="00645BC7" w:rsidRPr="00E02B5D" w:rsidRDefault="00645BC7" w:rsidP="007B4D63">
            <w:pPr>
              <w:rPr>
                <w:rFonts w:eastAsia="Times New Roman" w:cs="Calibri"/>
                <w:noProof/>
                <w:color w:val="006100"/>
                <w:sz w:val="18"/>
                <w:szCs w:val="18"/>
              </w:rPr>
            </w:pPr>
            <w:r>
              <w:rPr>
                <w:noProof/>
                <w:color w:val="006100"/>
                <w:sz w:val="18"/>
              </w:rPr>
              <w:t>84</w:t>
            </w:r>
          </w:p>
        </w:tc>
        <w:tc>
          <w:tcPr>
            <w:tcW w:w="1276" w:type="dxa"/>
            <w:tcBorders>
              <w:bottom w:val="single" w:sz="4" w:space="0" w:color="auto"/>
            </w:tcBorders>
            <w:shd w:val="clear" w:color="auto" w:fill="C6EFCE"/>
            <w:noWrap/>
          </w:tcPr>
          <w:p w14:paraId="55F69331" w14:textId="77777777" w:rsidR="00645BC7" w:rsidRPr="00E02B5D" w:rsidRDefault="00645BC7" w:rsidP="007B4D63">
            <w:pPr>
              <w:rPr>
                <w:rFonts w:eastAsia="Times New Roman" w:cs="Calibri"/>
                <w:noProof/>
                <w:color w:val="006100"/>
                <w:sz w:val="18"/>
                <w:szCs w:val="18"/>
              </w:rPr>
            </w:pPr>
            <w:r>
              <w:rPr>
                <w:noProof/>
                <w:color w:val="006100"/>
                <w:sz w:val="18"/>
              </w:rPr>
              <w:t>4-1.4. Ressursside säästev kasutamine, kliimamuutustele vastupanu võime ja keskkonnakaitse – 16909_Infrastruktuur – Riikliku katastroofiohu strateegilise juhtimise loomine</w:t>
            </w:r>
          </w:p>
        </w:tc>
        <w:tc>
          <w:tcPr>
            <w:tcW w:w="993" w:type="dxa"/>
            <w:tcBorders>
              <w:bottom w:val="single" w:sz="4" w:space="0" w:color="auto"/>
            </w:tcBorders>
            <w:shd w:val="clear" w:color="auto" w:fill="C6EFCE"/>
            <w:noWrap/>
          </w:tcPr>
          <w:p w14:paraId="6F799723" w14:textId="77777777" w:rsidR="00645BC7" w:rsidRPr="00E02B5D" w:rsidRDefault="00645BC7" w:rsidP="007B4D63">
            <w:pPr>
              <w:rPr>
                <w:rFonts w:eastAsia="Times New Roman" w:cs="Calibri"/>
                <w:noProof/>
                <w:color w:val="006100"/>
                <w:sz w:val="18"/>
                <w:szCs w:val="18"/>
              </w:rPr>
            </w:pPr>
            <w:r>
              <w:rPr>
                <w:noProof/>
                <w:color w:val="006100"/>
                <w:sz w:val="18"/>
              </w:rPr>
              <w:t>Eesmärk</w:t>
            </w:r>
          </w:p>
        </w:tc>
        <w:tc>
          <w:tcPr>
            <w:tcW w:w="1134" w:type="dxa"/>
            <w:tcBorders>
              <w:bottom w:val="single" w:sz="4" w:space="0" w:color="auto"/>
            </w:tcBorders>
            <w:shd w:val="clear" w:color="auto" w:fill="C6EFCE"/>
            <w:noWrap/>
          </w:tcPr>
          <w:p w14:paraId="26A81FD7" w14:textId="77777777" w:rsidR="00645BC7" w:rsidRPr="00E02B5D" w:rsidRDefault="00645BC7" w:rsidP="007B4D63">
            <w:pPr>
              <w:rPr>
                <w:rFonts w:eastAsia="Times New Roman" w:cs="Calibri"/>
                <w:noProof/>
                <w:color w:val="006100"/>
                <w:sz w:val="18"/>
                <w:szCs w:val="18"/>
              </w:rPr>
            </w:pPr>
            <w:r>
              <w:rPr>
                <w:noProof/>
                <w:color w:val="006100"/>
                <w:sz w:val="18"/>
              </w:rPr>
              <w:t>Riikliku katastroofiohu juhtimise lõpuleviimine</w:t>
            </w:r>
          </w:p>
        </w:tc>
        <w:tc>
          <w:tcPr>
            <w:tcW w:w="1134" w:type="dxa"/>
            <w:tcBorders>
              <w:bottom w:val="single" w:sz="4" w:space="0" w:color="auto"/>
            </w:tcBorders>
            <w:shd w:val="clear" w:color="auto" w:fill="C6EFCE"/>
            <w:noWrap/>
          </w:tcPr>
          <w:p w14:paraId="1ADA33FB" w14:textId="77777777" w:rsidR="00645BC7" w:rsidRPr="00E02B5D" w:rsidRDefault="00645BC7" w:rsidP="007B4D63">
            <w:pPr>
              <w:rPr>
                <w:rFonts w:eastAsia="Times New Roman" w:cs="Calibri"/>
                <w:noProof/>
                <w:color w:val="006100"/>
                <w:sz w:val="18"/>
                <w:szCs w:val="18"/>
              </w:rPr>
            </w:pPr>
            <w:r>
              <w:rPr>
                <w:noProof/>
                <w:color w:val="006100"/>
                <w:sz w:val="18"/>
              </w:rPr>
              <w:t xml:space="preserve">Täitmine on kinnitatud siseministeeriumi aruandega </w:t>
            </w:r>
          </w:p>
        </w:tc>
        <w:tc>
          <w:tcPr>
            <w:tcW w:w="992" w:type="dxa"/>
            <w:shd w:val="clear" w:color="auto" w:fill="C6EFCE"/>
            <w:noWrap/>
          </w:tcPr>
          <w:p w14:paraId="4008D27D" w14:textId="77777777" w:rsidR="00645BC7" w:rsidRPr="00E02B5D" w:rsidRDefault="00645BC7" w:rsidP="007B4D63">
            <w:pPr>
              <w:rPr>
                <w:rFonts w:eastAsia="Times New Roman" w:cs="Calibri"/>
                <w:noProof/>
                <w:color w:val="006100"/>
                <w:sz w:val="18"/>
                <w:szCs w:val="18"/>
                <w:lang w:val="en-GB" w:eastAsia="en-GB"/>
              </w:rPr>
            </w:pPr>
          </w:p>
        </w:tc>
        <w:tc>
          <w:tcPr>
            <w:tcW w:w="992" w:type="dxa"/>
            <w:shd w:val="clear" w:color="auto" w:fill="C6EFCE"/>
            <w:noWrap/>
          </w:tcPr>
          <w:p w14:paraId="2D7FE8FE" w14:textId="77777777" w:rsidR="00645BC7" w:rsidRPr="00E02B5D" w:rsidRDefault="00645BC7" w:rsidP="007B4D63">
            <w:pPr>
              <w:rPr>
                <w:rFonts w:eastAsia="Times New Roman" w:cs="Calibri"/>
                <w:noProof/>
                <w:color w:val="006100"/>
                <w:sz w:val="18"/>
                <w:szCs w:val="18"/>
                <w:lang w:val="en-GB" w:eastAsia="en-GB"/>
              </w:rPr>
            </w:pPr>
          </w:p>
        </w:tc>
        <w:tc>
          <w:tcPr>
            <w:tcW w:w="709" w:type="dxa"/>
            <w:shd w:val="clear" w:color="auto" w:fill="C6EFCE"/>
            <w:noWrap/>
          </w:tcPr>
          <w:p w14:paraId="1F1A1B1D" w14:textId="77777777" w:rsidR="00645BC7" w:rsidRPr="00E02B5D" w:rsidRDefault="00645BC7" w:rsidP="007B4D63">
            <w:pPr>
              <w:rPr>
                <w:rFonts w:eastAsia="Times New Roman" w:cs="Calibri"/>
                <w:noProof/>
                <w:color w:val="006100"/>
                <w:sz w:val="18"/>
                <w:szCs w:val="18"/>
                <w:lang w:val="en-GB" w:eastAsia="en-GB"/>
              </w:rPr>
            </w:pPr>
          </w:p>
        </w:tc>
        <w:tc>
          <w:tcPr>
            <w:tcW w:w="850" w:type="dxa"/>
            <w:shd w:val="clear" w:color="auto" w:fill="C6EFCE"/>
            <w:noWrap/>
          </w:tcPr>
          <w:p w14:paraId="478EDBE9" w14:textId="77777777" w:rsidR="00645BC7" w:rsidRPr="00E02B5D" w:rsidRDefault="00645BC7" w:rsidP="007B4D63">
            <w:pPr>
              <w:rPr>
                <w:rFonts w:eastAsia="Times New Roman" w:cs="Calibri"/>
                <w:noProof/>
                <w:color w:val="006100"/>
                <w:sz w:val="18"/>
                <w:szCs w:val="18"/>
              </w:rPr>
            </w:pPr>
            <w:r>
              <w:rPr>
                <w:noProof/>
                <w:color w:val="006100"/>
                <w:sz w:val="18"/>
              </w:rPr>
              <w:t>4. kv</w:t>
            </w:r>
          </w:p>
        </w:tc>
        <w:tc>
          <w:tcPr>
            <w:tcW w:w="851" w:type="dxa"/>
            <w:shd w:val="clear" w:color="auto" w:fill="C6EFCE"/>
            <w:noWrap/>
          </w:tcPr>
          <w:p w14:paraId="4E975236" w14:textId="77777777" w:rsidR="00645BC7" w:rsidRPr="00E02B5D" w:rsidRDefault="00645BC7" w:rsidP="007B4D63">
            <w:pPr>
              <w:rPr>
                <w:rFonts w:eastAsia="Times New Roman" w:cs="Calibri"/>
                <w:noProof/>
                <w:color w:val="006100"/>
                <w:sz w:val="18"/>
                <w:szCs w:val="18"/>
              </w:rPr>
            </w:pPr>
            <w:r>
              <w:rPr>
                <w:noProof/>
                <w:color w:val="006100"/>
                <w:sz w:val="18"/>
              </w:rPr>
              <w:t>2025</w:t>
            </w:r>
          </w:p>
        </w:tc>
        <w:tc>
          <w:tcPr>
            <w:tcW w:w="5528" w:type="dxa"/>
            <w:shd w:val="clear" w:color="auto" w:fill="C6EFCE"/>
            <w:noWrap/>
          </w:tcPr>
          <w:p w14:paraId="1E39AFEB" w14:textId="77777777" w:rsidR="00645BC7" w:rsidRPr="00E02B5D" w:rsidRDefault="00645BC7" w:rsidP="007B4D63">
            <w:pPr>
              <w:rPr>
                <w:rFonts w:eastAsia="Times New Roman" w:cs="Calibri"/>
                <w:noProof/>
                <w:color w:val="006100"/>
                <w:sz w:val="18"/>
                <w:szCs w:val="18"/>
              </w:rPr>
            </w:pPr>
            <w:r>
              <w:rPr>
                <w:noProof/>
                <w:color w:val="006100"/>
                <w:sz w:val="18"/>
              </w:rPr>
              <w:t>Järgmiste meetmete lõpuleviimine:</w:t>
            </w:r>
          </w:p>
          <w:p w14:paraId="261E9D18" w14:textId="77777777" w:rsidR="00645BC7" w:rsidRPr="00E02B5D" w:rsidRDefault="00645BC7" w:rsidP="00DE1EE5">
            <w:pPr>
              <w:numPr>
                <w:ilvl w:val="0"/>
                <w:numId w:val="51"/>
              </w:numPr>
              <w:spacing w:before="120" w:line="259" w:lineRule="auto"/>
              <w:contextualSpacing/>
              <w:jc w:val="both"/>
              <w:rPr>
                <w:rFonts w:eastAsia="Times New Roman" w:cs="Calibri"/>
                <w:noProof/>
                <w:color w:val="006100"/>
                <w:sz w:val="18"/>
                <w:szCs w:val="18"/>
              </w:rPr>
            </w:pPr>
            <w:r>
              <w:rPr>
                <w:noProof/>
                <w:color w:val="006100"/>
                <w:sz w:val="18"/>
              </w:rPr>
              <w:t>Riikliku strateegilise katastroofiohu juhtimise keskuse loomine Atlantas ja Faros hoonetes.</w:t>
            </w:r>
          </w:p>
          <w:p w14:paraId="7F7D6992" w14:textId="77777777" w:rsidR="00645BC7" w:rsidRPr="00E02B5D" w:rsidRDefault="00645BC7" w:rsidP="00DE1EE5">
            <w:pPr>
              <w:numPr>
                <w:ilvl w:val="0"/>
                <w:numId w:val="52"/>
              </w:numPr>
              <w:spacing w:before="120" w:line="259" w:lineRule="auto"/>
              <w:contextualSpacing/>
              <w:jc w:val="both"/>
              <w:rPr>
                <w:rFonts w:eastAsia="Times New Roman" w:cs="Calibri"/>
                <w:noProof/>
                <w:color w:val="006100"/>
                <w:sz w:val="18"/>
                <w:szCs w:val="18"/>
              </w:rPr>
            </w:pPr>
            <w:r>
              <w:rPr>
                <w:noProof/>
                <w:color w:val="006100"/>
                <w:sz w:val="18"/>
              </w:rPr>
              <w:t>Telekommunikatsiooniseadmete tarnimine 13 piirkondlikule kodanikukaitse operatsioonide keskusele.</w:t>
            </w:r>
          </w:p>
          <w:p w14:paraId="09480DAA" w14:textId="77777777" w:rsidR="00645BC7" w:rsidRPr="00E02B5D" w:rsidRDefault="00645BC7" w:rsidP="00DE1EE5">
            <w:pPr>
              <w:numPr>
                <w:ilvl w:val="0"/>
                <w:numId w:val="52"/>
              </w:numPr>
              <w:spacing w:before="120" w:line="259" w:lineRule="auto"/>
              <w:contextualSpacing/>
              <w:jc w:val="both"/>
              <w:rPr>
                <w:rFonts w:eastAsia="Times New Roman" w:cs="Calibri"/>
                <w:noProof/>
                <w:color w:val="006100"/>
                <w:sz w:val="18"/>
                <w:szCs w:val="18"/>
              </w:rPr>
            </w:pPr>
            <w:r>
              <w:rPr>
                <w:noProof/>
                <w:color w:val="006100"/>
                <w:sz w:val="18"/>
              </w:rPr>
              <w:t>Kodanikukaitse ja tuletõrjekoolide uute hoonete ja kontoriseadmete ehitamine.</w:t>
            </w:r>
          </w:p>
          <w:p w14:paraId="2C40DD8B" w14:textId="77777777" w:rsidR="00645BC7" w:rsidRPr="00E02B5D" w:rsidRDefault="00645BC7" w:rsidP="00DE1EE5">
            <w:pPr>
              <w:numPr>
                <w:ilvl w:val="0"/>
                <w:numId w:val="52"/>
              </w:numPr>
              <w:spacing w:before="120" w:line="259" w:lineRule="auto"/>
              <w:contextualSpacing/>
              <w:jc w:val="both"/>
              <w:rPr>
                <w:rFonts w:eastAsia="Times New Roman" w:cs="Calibri"/>
                <w:noProof/>
                <w:color w:val="006100"/>
                <w:sz w:val="18"/>
                <w:szCs w:val="18"/>
              </w:rPr>
            </w:pPr>
            <w:r>
              <w:rPr>
                <w:noProof/>
                <w:color w:val="006100"/>
                <w:sz w:val="18"/>
              </w:rPr>
              <w:t>Õhuseire juhtimis- ja juhtimiskeskuse ehitamine.</w:t>
            </w:r>
          </w:p>
          <w:p w14:paraId="4F7FEC78" w14:textId="77777777" w:rsidR="00645BC7" w:rsidRPr="00E02B5D" w:rsidRDefault="00645BC7" w:rsidP="00DE1EE5">
            <w:pPr>
              <w:numPr>
                <w:ilvl w:val="0"/>
                <w:numId w:val="52"/>
              </w:numPr>
              <w:spacing w:before="120" w:line="259" w:lineRule="auto"/>
              <w:contextualSpacing/>
              <w:jc w:val="both"/>
              <w:rPr>
                <w:rFonts w:eastAsia="Times New Roman" w:cs="Calibri"/>
                <w:noProof/>
                <w:color w:val="006100"/>
                <w:sz w:val="18"/>
                <w:szCs w:val="18"/>
              </w:rPr>
            </w:pPr>
            <w:r>
              <w:rPr>
                <w:noProof/>
                <w:color w:val="006100"/>
                <w:sz w:val="18"/>
              </w:rPr>
              <w:t>Mobiilsete haldus- ja kohapealsete juhtimiskeskuste pakkumine 13 piirkonnas.</w:t>
            </w:r>
          </w:p>
        </w:tc>
      </w:tr>
      <w:tr w:rsidR="00A42AC3" w:rsidRPr="003B132A" w14:paraId="792E2060" w14:textId="77777777" w:rsidTr="00015F96">
        <w:trPr>
          <w:trHeight w:val="309"/>
          <w:jc w:val="center"/>
        </w:trPr>
        <w:tc>
          <w:tcPr>
            <w:tcW w:w="1129" w:type="dxa"/>
            <w:shd w:val="clear" w:color="auto" w:fill="C6EFCE"/>
            <w:noWrap/>
          </w:tcPr>
          <w:p w14:paraId="7C30433F" w14:textId="77777777" w:rsidR="00A42AC3" w:rsidRPr="00E02B5D" w:rsidRDefault="00BF5AEB" w:rsidP="00D00694">
            <w:pPr>
              <w:rPr>
                <w:rFonts w:eastAsia="Times New Roman" w:cs="Calibri"/>
                <w:noProof/>
                <w:color w:val="006100"/>
                <w:sz w:val="18"/>
                <w:szCs w:val="18"/>
              </w:rPr>
            </w:pPr>
            <w:r>
              <w:rPr>
                <w:noProof/>
                <w:color w:val="006100"/>
                <w:sz w:val="18"/>
              </w:rPr>
              <w:t>332</w:t>
            </w:r>
          </w:p>
        </w:tc>
        <w:tc>
          <w:tcPr>
            <w:tcW w:w="1276" w:type="dxa"/>
            <w:tcBorders>
              <w:bottom w:val="single" w:sz="4" w:space="0" w:color="auto"/>
            </w:tcBorders>
            <w:shd w:val="clear" w:color="auto" w:fill="C6EFCE"/>
            <w:noWrap/>
          </w:tcPr>
          <w:p w14:paraId="6290D2E0" w14:textId="77777777" w:rsidR="00A42AC3" w:rsidRPr="00E02B5D" w:rsidRDefault="34E0A6AB" w:rsidP="00197923">
            <w:pPr>
              <w:rPr>
                <w:rFonts w:eastAsia="Times New Roman" w:cs="Calibri"/>
                <w:noProof/>
                <w:color w:val="006100"/>
                <w:sz w:val="18"/>
                <w:szCs w:val="18"/>
              </w:rPr>
            </w:pPr>
            <w:r>
              <w:rPr>
                <w:noProof/>
                <w:color w:val="006100"/>
                <w:sz w:val="18"/>
              </w:rPr>
              <w:t>4-1.4. Ressursside säästev kasutamine, vastupanuvõime kliimamuutustele ja keskkonnakaitse – 16983_Hoonete seismilisuse esialgne ülevaatus</w:t>
            </w:r>
          </w:p>
        </w:tc>
        <w:tc>
          <w:tcPr>
            <w:tcW w:w="993" w:type="dxa"/>
            <w:tcBorders>
              <w:bottom w:val="single" w:sz="4" w:space="0" w:color="auto"/>
            </w:tcBorders>
            <w:shd w:val="clear" w:color="auto" w:fill="C6EFCE"/>
            <w:noWrap/>
          </w:tcPr>
          <w:p w14:paraId="68F6D97A" w14:textId="77777777" w:rsidR="00A42AC3" w:rsidRPr="00E02B5D" w:rsidRDefault="2144F669" w:rsidP="00D00694">
            <w:pPr>
              <w:rPr>
                <w:rFonts w:eastAsia="Times New Roman" w:cs="Calibri"/>
                <w:noProof/>
                <w:color w:val="006100"/>
                <w:sz w:val="18"/>
                <w:szCs w:val="18"/>
              </w:rPr>
            </w:pPr>
            <w:r>
              <w:rPr>
                <w:noProof/>
                <w:color w:val="006100"/>
                <w:sz w:val="18"/>
              </w:rPr>
              <w:t>Eesmärk</w:t>
            </w:r>
          </w:p>
        </w:tc>
        <w:tc>
          <w:tcPr>
            <w:tcW w:w="1134" w:type="dxa"/>
            <w:tcBorders>
              <w:bottom w:val="single" w:sz="4" w:space="0" w:color="auto"/>
            </w:tcBorders>
            <w:shd w:val="clear" w:color="auto" w:fill="C6EFCE"/>
            <w:noWrap/>
          </w:tcPr>
          <w:p w14:paraId="6102120F" w14:textId="77777777" w:rsidR="00A42AC3" w:rsidRPr="00E02B5D" w:rsidRDefault="34E0A6AB" w:rsidP="00D00694">
            <w:pPr>
              <w:rPr>
                <w:rFonts w:eastAsia="Times New Roman" w:cs="Calibri"/>
                <w:noProof/>
                <w:color w:val="006100"/>
                <w:sz w:val="18"/>
                <w:szCs w:val="18"/>
              </w:rPr>
            </w:pPr>
            <w:r>
              <w:rPr>
                <w:noProof/>
                <w:color w:val="006100"/>
                <w:sz w:val="18"/>
              </w:rPr>
              <w:t>Esialgsete seismiliste kontrollide lõpuleviimine</w:t>
            </w:r>
          </w:p>
        </w:tc>
        <w:tc>
          <w:tcPr>
            <w:tcW w:w="1134" w:type="dxa"/>
            <w:tcBorders>
              <w:bottom w:val="single" w:sz="4" w:space="0" w:color="auto"/>
            </w:tcBorders>
            <w:shd w:val="clear" w:color="auto" w:fill="C6EFCE"/>
            <w:noWrap/>
          </w:tcPr>
          <w:p w14:paraId="277BA324" w14:textId="77777777" w:rsidR="00A42AC3" w:rsidRPr="00E02B5D" w:rsidRDefault="4FC7D7F2" w:rsidP="00D00694">
            <w:pPr>
              <w:rPr>
                <w:rFonts w:eastAsia="Times New Roman" w:cs="Calibri"/>
                <w:noProof/>
                <w:color w:val="006100"/>
                <w:sz w:val="18"/>
                <w:szCs w:val="18"/>
              </w:rPr>
            </w:pPr>
            <w:r>
              <w:rPr>
                <w:noProof/>
                <w:color w:val="006100"/>
                <w:sz w:val="18"/>
              </w:rPr>
              <w:t>Täitmist kinnitab kliimakriisi ja kodanikukaitse ministeeriumi aruanne</w:t>
            </w:r>
          </w:p>
        </w:tc>
        <w:tc>
          <w:tcPr>
            <w:tcW w:w="992" w:type="dxa"/>
            <w:shd w:val="clear" w:color="auto" w:fill="C6EFCE"/>
            <w:noWrap/>
          </w:tcPr>
          <w:p w14:paraId="4D2E5FD0" w14:textId="77777777" w:rsidR="00A42AC3" w:rsidRPr="00AD4052" w:rsidRDefault="00A42AC3" w:rsidP="00D00694">
            <w:pPr>
              <w:rPr>
                <w:rFonts w:eastAsia="Times New Roman" w:cs="Calibri"/>
                <w:noProof/>
                <w:color w:val="006100"/>
                <w:sz w:val="18"/>
                <w:szCs w:val="18"/>
                <w:lang w:eastAsia="en-GB"/>
              </w:rPr>
            </w:pPr>
          </w:p>
        </w:tc>
        <w:tc>
          <w:tcPr>
            <w:tcW w:w="992" w:type="dxa"/>
            <w:shd w:val="clear" w:color="auto" w:fill="C6EFCE"/>
            <w:noWrap/>
          </w:tcPr>
          <w:p w14:paraId="071E9033" w14:textId="77777777" w:rsidR="00A42AC3" w:rsidRPr="00AD4052" w:rsidRDefault="00A42AC3" w:rsidP="00D00694">
            <w:pPr>
              <w:rPr>
                <w:rFonts w:eastAsia="Times New Roman" w:cs="Calibri"/>
                <w:noProof/>
                <w:color w:val="006100"/>
                <w:sz w:val="18"/>
                <w:szCs w:val="18"/>
                <w:lang w:eastAsia="en-GB"/>
              </w:rPr>
            </w:pPr>
          </w:p>
        </w:tc>
        <w:tc>
          <w:tcPr>
            <w:tcW w:w="709" w:type="dxa"/>
            <w:shd w:val="clear" w:color="auto" w:fill="C6EFCE"/>
            <w:noWrap/>
          </w:tcPr>
          <w:p w14:paraId="3A8E9BA4" w14:textId="77777777" w:rsidR="00A42AC3" w:rsidRPr="00AD4052" w:rsidRDefault="00A42AC3" w:rsidP="00D00694">
            <w:pPr>
              <w:rPr>
                <w:rFonts w:eastAsia="Times New Roman" w:cs="Calibri"/>
                <w:noProof/>
                <w:color w:val="006100"/>
                <w:sz w:val="18"/>
                <w:szCs w:val="18"/>
                <w:lang w:eastAsia="en-GB"/>
              </w:rPr>
            </w:pPr>
          </w:p>
        </w:tc>
        <w:tc>
          <w:tcPr>
            <w:tcW w:w="850" w:type="dxa"/>
            <w:shd w:val="clear" w:color="auto" w:fill="C6EFCE"/>
            <w:noWrap/>
          </w:tcPr>
          <w:p w14:paraId="0BF5B561" w14:textId="77777777" w:rsidR="00A42AC3" w:rsidRPr="00E02B5D" w:rsidRDefault="00435EC3" w:rsidP="00D00694">
            <w:pPr>
              <w:rPr>
                <w:rFonts w:eastAsia="Times New Roman" w:cs="Calibri"/>
                <w:noProof/>
                <w:color w:val="006100"/>
                <w:sz w:val="18"/>
                <w:szCs w:val="18"/>
              </w:rPr>
            </w:pPr>
            <w:r>
              <w:rPr>
                <w:noProof/>
                <w:color w:val="006100"/>
                <w:sz w:val="18"/>
              </w:rPr>
              <w:t>1. kv</w:t>
            </w:r>
          </w:p>
        </w:tc>
        <w:tc>
          <w:tcPr>
            <w:tcW w:w="851" w:type="dxa"/>
            <w:shd w:val="clear" w:color="auto" w:fill="C6EFCE"/>
            <w:noWrap/>
          </w:tcPr>
          <w:p w14:paraId="6C3BF2B2" w14:textId="77777777" w:rsidR="00A42AC3" w:rsidRPr="00E02B5D" w:rsidRDefault="00435EC3" w:rsidP="00D00694">
            <w:pPr>
              <w:rPr>
                <w:rFonts w:eastAsia="Times New Roman" w:cs="Calibri"/>
                <w:noProof/>
                <w:color w:val="006100"/>
                <w:sz w:val="18"/>
                <w:szCs w:val="18"/>
              </w:rPr>
            </w:pPr>
            <w:r>
              <w:rPr>
                <w:noProof/>
                <w:color w:val="006100"/>
                <w:sz w:val="18"/>
              </w:rPr>
              <w:t>2025</w:t>
            </w:r>
          </w:p>
        </w:tc>
        <w:tc>
          <w:tcPr>
            <w:tcW w:w="5528" w:type="dxa"/>
            <w:shd w:val="clear" w:color="auto" w:fill="C6EFCE"/>
            <w:noWrap/>
          </w:tcPr>
          <w:p w14:paraId="52DA9A2A" w14:textId="77777777" w:rsidR="00A42AC3" w:rsidRPr="00E02B5D" w:rsidRDefault="564483FC" w:rsidP="2CAD4B75">
            <w:pPr>
              <w:rPr>
                <w:rFonts w:eastAsia="Times New Roman" w:cs="Calibri"/>
                <w:noProof/>
                <w:color w:val="006100"/>
                <w:sz w:val="18"/>
                <w:szCs w:val="18"/>
              </w:rPr>
            </w:pPr>
            <w:r>
              <w:rPr>
                <w:noProof/>
                <w:color w:val="006100"/>
                <w:sz w:val="18"/>
              </w:rPr>
              <w:t>Järgmiste meetmete lõpuleviimine:</w:t>
            </w:r>
          </w:p>
          <w:p w14:paraId="27590EB5" w14:textId="77777777" w:rsidR="00A42AC3" w:rsidRPr="00E02B5D" w:rsidRDefault="0BA16C55" w:rsidP="00D6270B">
            <w:pPr>
              <w:pStyle w:val="ListParagraph"/>
              <w:numPr>
                <w:ilvl w:val="0"/>
                <w:numId w:val="1"/>
              </w:numPr>
              <w:spacing w:after="0" w:line="240" w:lineRule="auto"/>
              <w:rPr>
                <w:rFonts w:eastAsia="Times New Roman" w:cs="Calibri"/>
                <w:noProof/>
                <w:color w:val="006100"/>
                <w:sz w:val="18"/>
                <w:szCs w:val="18"/>
              </w:rPr>
            </w:pPr>
            <w:r>
              <w:rPr>
                <w:noProof/>
                <w:color w:val="006100"/>
                <w:sz w:val="18"/>
              </w:rPr>
              <w:t>Töötada välja veebipõhine süsteem hoone põhiandmete registreerimiseks maavärinaeelse RVI pilvandmehoidlasse;</w:t>
            </w:r>
          </w:p>
          <w:p w14:paraId="1E95FA3E" w14:textId="7DC7E91E" w:rsidR="00A42AC3" w:rsidRPr="00E02B5D" w:rsidRDefault="564483FC" w:rsidP="00D6270B">
            <w:pPr>
              <w:pStyle w:val="ListParagraph"/>
              <w:numPr>
                <w:ilvl w:val="0"/>
                <w:numId w:val="1"/>
              </w:numPr>
              <w:spacing w:after="0" w:line="240" w:lineRule="auto"/>
              <w:rPr>
                <w:noProof/>
                <w:color w:val="006100"/>
                <w:sz w:val="18"/>
                <w:szCs w:val="18"/>
              </w:rPr>
            </w:pPr>
            <w:r>
              <w:rPr>
                <w:noProof/>
                <w:color w:val="006100"/>
                <w:sz w:val="18"/>
              </w:rPr>
              <w:t>2 500 tsiviilinseneri audiitori koolitus</w:t>
            </w:r>
          </w:p>
          <w:p w14:paraId="7AADD0BF" w14:textId="3AD0594B" w:rsidR="00A42AC3" w:rsidRPr="00E02B5D" w:rsidRDefault="3A66DF45" w:rsidP="5A398E85">
            <w:pPr>
              <w:pStyle w:val="ListParagraph"/>
              <w:numPr>
                <w:ilvl w:val="0"/>
                <w:numId w:val="1"/>
              </w:numPr>
              <w:spacing w:after="0" w:line="240" w:lineRule="auto"/>
              <w:rPr>
                <w:noProof/>
                <w:color w:val="006100"/>
                <w:sz w:val="18"/>
                <w:szCs w:val="18"/>
              </w:rPr>
            </w:pPr>
            <w:r>
              <w:rPr>
                <w:noProof/>
                <w:color w:val="006100"/>
                <w:sz w:val="18"/>
              </w:rPr>
              <w:t>21 970 hoone esialgne kiire visuaalne ülevaatus (RVI).</w:t>
            </w:r>
          </w:p>
        </w:tc>
      </w:tr>
    </w:tbl>
    <w:p w14:paraId="799CFFC7" w14:textId="77777777" w:rsidR="00645BC7" w:rsidRPr="00E02B5D" w:rsidRDefault="00645BC7" w:rsidP="00645BC7">
      <w:pPr>
        <w:spacing w:before="120" w:after="120" w:line="240" w:lineRule="auto"/>
        <w:rPr>
          <w:rFonts w:ascii="Times New Roman" w:hAnsi="Times New Roman" w:cs="Times New Roman"/>
          <w:noProof/>
          <w:sz w:val="24"/>
        </w:rPr>
        <w:sectPr w:rsidR="00645BC7" w:rsidRPr="00E02B5D" w:rsidSect="00271D33">
          <w:headerReference w:type="even" r:id="rId110"/>
          <w:headerReference w:type="default" r:id="rId111"/>
          <w:footerReference w:type="even" r:id="rId112"/>
          <w:footerReference w:type="default" r:id="rId113"/>
          <w:headerReference w:type="first" r:id="rId114"/>
          <w:footerReference w:type="first" r:id="rId115"/>
          <w:pgSz w:w="16839" w:h="11907" w:orient="landscape"/>
          <w:pgMar w:top="720" w:right="720" w:bottom="720" w:left="720" w:header="709" w:footer="709" w:gutter="0"/>
          <w:cols w:space="720"/>
          <w:docGrid w:linePitch="360"/>
        </w:sectPr>
      </w:pPr>
      <w:r>
        <w:rPr>
          <w:noProof/>
        </w:rPr>
        <w:tab/>
      </w:r>
      <w:r>
        <w:rPr>
          <w:rFonts w:ascii="Times New Roman" w:hAnsi="Times New Roman"/>
          <w:noProof/>
          <w:sz w:val="24"/>
        </w:rPr>
        <w:t xml:space="preserve"> </w:t>
      </w:r>
      <w:r>
        <w:rPr>
          <w:noProof/>
        </w:rPr>
        <w:tab/>
      </w:r>
      <w:r>
        <w:rPr>
          <w:rFonts w:ascii="Times New Roman" w:hAnsi="Times New Roman"/>
          <w:noProof/>
          <w:sz w:val="24"/>
        </w:rPr>
        <w:t xml:space="preserve"> </w:t>
      </w:r>
      <w:r>
        <w:rPr>
          <w:noProof/>
        </w:rPr>
        <w:tab/>
      </w:r>
      <w:r>
        <w:rPr>
          <w:rFonts w:ascii="Times New Roman" w:hAnsi="Times New Roman"/>
          <w:noProof/>
          <w:sz w:val="24"/>
        </w:rPr>
        <w:t xml:space="preserve"> </w:t>
      </w:r>
      <w:r>
        <w:rPr>
          <w:noProof/>
        </w:rPr>
        <w:tab/>
      </w:r>
      <w:r>
        <w:rPr>
          <w:rFonts w:ascii="Times New Roman" w:hAnsi="Times New Roman"/>
          <w:noProof/>
          <w:sz w:val="24"/>
        </w:rPr>
        <w:t xml:space="preserve"> </w:t>
      </w:r>
      <w:r>
        <w:rPr>
          <w:noProof/>
        </w:rPr>
        <w:tab/>
      </w:r>
      <w:r>
        <w:rPr>
          <w:rFonts w:ascii="Times New Roman" w:hAnsi="Times New Roman"/>
          <w:noProof/>
          <w:sz w:val="24"/>
        </w:rPr>
        <w:t xml:space="preserve"> </w:t>
      </w:r>
      <w:r>
        <w:rPr>
          <w:noProof/>
        </w:rPr>
        <w:tab/>
      </w:r>
      <w:r>
        <w:rPr>
          <w:rFonts w:ascii="Times New Roman" w:hAnsi="Times New Roman"/>
          <w:noProof/>
          <w:sz w:val="24"/>
        </w:rPr>
        <w:t xml:space="preserve"> </w:t>
      </w:r>
      <w:r>
        <w:rPr>
          <w:noProof/>
        </w:rPr>
        <w:tab/>
      </w:r>
      <w:r>
        <w:rPr>
          <w:rFonts w:ascii="Times New Roman" w:hAnsi="Times New Roman"/>
          <w:noProof/>
          <w:sz w:val="24"/>
        </w:rPr>
        <w:t xml:space="preserve"> </w:t>
      </w:r>
      <w:r>
        <w:rPr>
          <w:noProof/>
        </w:rPr>
        <w:tab/>
      </w:r>
      <w:r>
        <w:rPr>
          <w:rFonts w:ascii="Times New Roman" w:hAnsi="Times New Roman"/>
          <w:noProof/>
          <w:sz w:val="24"/>
        </w:rPr>
        <w:t xml:space="preserve"> </w:t>
      </w:r>
      <w:r>
        <w:rPr>
          <w:noProof/>
        </w:rPr>
        <w:tab/>
      </w:r>
      <w:r>
        <w:rPr>
          <w:rFonts w:ascii="Times New Roman" w:hAnsi="Times New Roman"/>
          <w:noProof/>
          <w:sz w:val="24"/>
        </w:rPr>
        <w:t xml:space="preserve"> </w:t>
      </w:r>
      <w:r>
        <w:rPr>
          <w:noProof/>
        </w:rPr>
        <w:tab/>
      </w:r>
    </w:p>
    <w:p w14:paraId="170D6DB5" w14:textId="77777777" w:rsidR="00AD3F7A" w:rsidRPr="00E02B5D" w:rsidRDefault="00AD3F7A" w:rsidP="00DE1EE5">
      <w:pPr>
        <w:pStyle w:val="ListParagraph"/>
        <w:numPr>
          <w:ilvl w:val="0"/>
          <w:numId w:val="91"/>
        </w:numPr>
        <w:spacing w:before="120" w:after="120" w:line="240" w:lineRule="auto"/>
        <w:jc w:val="both"/>
        <w:outlineLvl w:val="3"/>
        <w:rPr>
          <w:rFonts w:ascii="Times New Roman" w:hAnsi="Times New Roman" w:cs="Times New Roman"/>
          <w:b/>
          <w:bCs/>
          <w:noProof/>
          <w:sz w:val="24"/>
        </w:rPr>
      </w:pPr>
      <w:r>
        <w:rPr>
          <w:rFonts w:ascii="Times New Roman" w:hAnsi="Times New Roman"/>
          <w:b/>
          <w:noProof/>
          <w:sz w:val="24"/>
        </w:rPr>
        <w:t>KOMPONENT 2.1. ÜHENDUMINE</w:t>
      </w:r>
    </w:p>
    <w:p w14:paraId="79366855"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see komponent sisaldab meetmeid, mille eesmärk on edendada ja hõlbustada väga suure läbilaskevõimega võrkude, sealhulgas 5G- ja kiudoptiliste võrkude laialdast kasutuselevõttu kooskõlas ELi 2025. aasta 5G- ja gigabitiühenduvuse eesmärkidega ning väikeste satelliitide kogumi arendamist. Selle komponendi alla kuuluvad investeeringud on seotud kiudoptilise taristu paigaldamisega hoonetesse ning kosmosetehnoloogia ja -rakenduste kasutamisega, arendades väikesatelliitide kogumit, mis toetab turvalisi ühenduvusteenuseid koos mitmeotstarbeliste Maa seire rakendustega. Selle komponendiga hõlmatud reformidega luuakse raamistik, et hõlbustada üleminekut kiirele lairibaühendusele ja üleminekut 5G tehnoloogiale.</w:t>
      </w:r>
    </w:p>
    <w:p w14:paraId="374D6BD5" w14:textId="77777777" w:rsidR="00AD3F7A" w:rsidRPr="00E02B5D" w:rsidRDefault="00AD3F7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Kõigi kavandatud investeeringute ja reformidega lahendatakse probleemid, mis tulenevad suurenevast vajadusest ühenduvuse ning Maa jälgimise ja seire järele. Meetmetega toetatakse riigipõhist soovitust avaliku ja erasektori investeeringute kohta (riigipõhine soovitus nr 3, 2020), milles kutsutakse Kreekat üles keskenduma investeeringute tegemisel digiüleminekule ja eelkõige suure läbilaskevõimega digitaristule. Samuti reageerivad nad tulemuslikult digiüleminekule ja/või sellest tulenevatele väljakutsetele, kuna eeldatakse, et need aitavad märkimisväärselt kaasa ülikiire ühenduvuse parandamisele Kreekas.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302E9409" w14:textId="77777777" w:rsidR="00AD3F7A" w:rsidRPr="00E02B5D" w:rsidRDefault="00AD3F7A" w:rsidP="00645BC7">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E.1. </w:t>
      </w:r>
      <w:r>
        <w:rPr>
          <w:noProof/>
        </w:rPr>
        <w:tab/>
      </w:r>
      <w:r>
        <w:rPr>
          <w:rFonts w:ascii="Times New Roman" w:hAnsi="Times New Roman"/>
          <w:b/>
          <w:noProof/>
          <w:sz w:val="24"/>
          <w:u w:val="single"/>
        </w:rPr>
        <w:t>Tagastamatu rahalise toetusega seotud reformide ja investeeringute kirjeldus</w:t>
      </w:r>
    </w:p>
    <w:p w14:paraId="05F1E5F4"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Väikesatelliidid (meetme ID: 16855)</w:t>
      </w:r>
    </w:p>
    <w:p w14:paraId="2C0F7C76"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Investeeringud on seotud väikeste satelliitide kogumi arendamisega, mis toetab ühenduvusteenuseid ning Maa seire rakendusi kaardistamise, laevanduse, täppispõllumajanduse, ruumilise planeerimise jm valdkondades. Investeeringu rakendamine viiakse lõpule 31. detsembriks 2025.</w:t>
      </w:r>
    </w:p>
    <w:p w14:paraId="692684E5" w14:textId="77777777" w:rsidR="00AD3F7A" w:rsidRPr="00E02B5D" w:rsidRDefault="00AD3F7A" w:rsidP="00D16F13">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Reform:</w:t>
      </w:r>
      <w:r>
        <w:rPr>
          <w:rFonts w:ascii="Times New Roman" w:hAnsi="Times New Roman"/>
          <w:noProof/>
          <w:sz w:val="24"/>
        </w:rPr>
        <w:t xml:space="preserve"> Üleminek 5G-tehnoloogiale, hõlbustades uuenduslike kaugteenuste arendamist (meetme ID: 16844)</w:t>
      </w:r>
    </w:p>
    <w:p w14:paraId="05C530B8"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Reformiga luuakse alus üleminekuks 5G-tehnoloogiale. Reformi esimeses etapis keskendutakse reguleeriva ja õigusraamistiku rakendamisele, eelkõige kasutades 25 % mitmest sagedusalast koosneva 5G enampakkumise tulust selleks, et toetada innovatiivset Phaistose fondi, mis investeerib 5G-tooteid ja teenuseid pakkuvatesse ettevõtetesse ja projektidesse. Teine etapp hõlmab 5G-võrkude arendamise edasiste võimaluste ja riskide kindlakstegemist, menetluste ühtlustamist ning konkreetsete majanduslike rakenduste (nt transport) nõuete ja riskide hindamist. Reformi rakendamine viiakse lõpule 30. september 2024.</w:t>
      </w:r>
    </w:p>
    <w:p w14:paraId="78EAA90E" w14:textId="77777777" w:rsidR="006D2BA8" w:rsidRPr="00E02B5D" w:rsidRDefault="006D2BA8" w:rsidP="006D2BA8">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Reform: </w:t>
      </w:r>
      <w:r>
        <w:rPr>
          <w:rFonts w:ascii="Times New Roman" w:hAnsi="Times New Roman"/>
          <w:noProof/>
          <w:sz w:val="24"/>
        </w:rPr>
        <w:t>Üleminek gigabitiühendustele – üleminek gigabiti lairibaühendustele ja gigabiti lairibaühenduse nõudluse suurendamine (meetme ID: 16857)</w:t>
      </w:r>
    </w:p>
    <w:p w14:paraId="5D64705A" w14:textId="77777777" w:rsidR="006D2BA8" w:rsidRPr="00E02B5D" w:rsidRDefault="006D2BA8" w:rsidP="006D2BA8">
      <w:pPr>
        <w:spacing w:before="120" w:after="120" w:line="240" w:lineRule="auto"/>
        <w:jc w:val="both"/>
        <w:rPr>
          <w:rFonts w:ascii="Times New Roman" w:hAnsi="Times New Roman" w:cs="Times New Roman"/>
          <w:noProof/>
          <w:sz w:val="24"/>
        </w:rPr>
      </w:pPr>
      <w:r>
        <w:rPr>
          <w:rFonts w:ascii="Times New Roman" w:hAnsi="Times New Roman"/>
          <w:noProof/>
          <w:sz w:val="24"/>
        </w:rPr>
        <w:t>See reform hõlmab õigusraamistiku jõustumist väga suure läbilaskevõimega võrguühendustele üleminekuks kiudoptika ja kaasnevate seadmete paigaldamisega hoonetesse ning merekaablite paigaldamisega Kreeka saarte puhul, võimaldades gigabiti lairibaühenduste suuremat katvust. Õigusraamistikus määratakse kindlaks tehnilised kirjeldused ning asjakohased eeskirjad ja menetlused sellise hoonesisese lairibataristu kasutuselevõtuks, mis suudab pakkuda gigabitiühenduvust lõppkasutajatele. Reformi rakendamine viiakse lõpule 30. juuni 2024.</w:t>
      </w:r>
    </w:p>
    <w:p w14:paraId="528E3FEB" w14:textId="77777777" w:rsidR="00015F96" w:rsidRDefault="00015F96" w:rsidP="00CA32D4">
      <w:pPr>
        <w:spacing w:before="120" w:after="120" w:line="240" w:lineRule="auto"/>
        <w:jc w:val="both"/>
        <w:rPr>
          <w:rFonts w:ascii="Times New Roman" w:hAnsi="Times New Roman"/>
          <w:b/>
          <w:noProof/>
          <w:sz w:val="24"/>
          <w:lang w:val="en-GB"/>
        </w:rPr>
        <w:sectPr w:rsidR="00015F96" w:rsidSect="00271D33">
          <w:headerReference w:type="even" r:id="rId116"/>
          <w:headerReference w:type="default" r:id="rId117"/>
          <w:footerReference w:type="even" r:id="rId118"/>
          <w:footerReference w:type="default" r:id="rId119"/>
          <w:headerReference w:type="first" r:id="rId120"/>
          <w:footerReference w:type="first" r:id="rId121"/>
          <w:pgSz w:w="11907" w:h="16839"/>
          <w:pgMar w:top="1134" w:right="1418" w:bottom="1134" w:left="1418" w:header="709" w:footer="185" w:gutter="0"/>
          <w:cols w:space="720"/>
          <w:docGrid w:linePitch="360"/>
        </w:sectPr>
      </w:pPr>
    </w:p>
    <w:p w14:paraId="3636EFB7" w14:textId="77777777" w:rsidR="00CA32D4" w:rsidRPr="00E02B5D" w:rsidRDefault="00CA32D4" w:rsidP="00CA32D4">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Kiudoptiline taristu hoonetes (meetme ID: 16818)</w:t>
      </w:r>
    </w:p>
    <w:p w14:paraId="7497150C" w14:textId="77777777" w:rsidR="00CA32D4" w:rsidRPr="00E02B5D" w:rsidRDefault="00CA32D4" w:rsidP="00CA32D4">
      <w:pPr>
        <w:spacing w:before="120" w:after="120" w:line="240" w:lineRule="auto"/>
        <w:jc w:val="both"/>
        <w:rPr>
          <w:rFonts w:ascii="Times New Roman" w:hAnsi="Times New Roman" w:cs="Times New Roman"/>
          <w:noProof/>
          <w:sz w:val="24"/>
        </w:rPr>
      </w:pPr>
      <w:r>
        <w:rPr>
          <w:rFonts w:ascii="Times New Roman" w:hAnsi="Times New Roman"/>
          <w:noProof/>
          <w:sz w:val="24"/>
        </w:rPr>
        <w:t>Investeeringuga edendatakse kiudoptilise taristu paigaldamist elu- ja ärihoonetesse ning lõppkasutajate ühendamist väga suure läbilaskevõimega võrkudega (VHCN) nõudluse subsideerimise (vautšer) kava alusel, millega subsideeritakse a) sisekaablite kulusid ja b) liitumistasusid (lairibateenuste ühekordne püsiühenduse tasu). Investeeringu rakendamine viiakse lõpule 31. detsembriks 2025.</w:t>
      </w:r>
    </w:p>
    <w:p w14:paraId="630F57D5" w14:textId="77777777" w:rsidR="006A50E7" w:rsidRPr="00AD4052" w:rsidRDefault="006A50E7" w:rsidP="006D2BA8">
      <w:pPr>
        <w:spacing w:before="120" w:after="120" w:line="240" w:lineRule="auto"/>
        <w:jc w:val="both"/>
        <w:rPr>
          <w:rFonts w:ascii="Times New Roman" w:hAnsi="Times New Roman" w:cs="Times New Roman"/>
          <w:b/>
          <w:noProof/>
          <w:sz w:val="24"/>
        </w:rPr>
      </w:pPr>
    </w:p>
    <w:p w14:paraId="5EA96490" w14:textId="77777777" w:rsidR="00AD3F7A" w:rsidRPr="00AD4052" w:rsidRDefault="00AD3F7A" w:rsidP="00645BC7">
      <w:pPr>
        <w:spacing w:before="120" w:after="120" w:line="240" w:lineRule="auto"/>
        <w:ind w:left="709"/>
        <w:jc w:val="both"/>
        <w:rPr>
          <w:rFonts w:ascii="Times New Roman" w:hAnsi="Times New Roman" w:cs="Times New Roman"/>
          <w:noProof/>
          <w:sz w:val="24"/>
        </w:rPr>
      </w:pPr>
    </w:p>
    <w:p w14:paraId="2383CE84" w14:textId="77777777" w:rsidR="00AD3F7A" w:rsidRPr="00AD4052" w:rsidRDefault="00AD3F7A" w:rsidP="00645BC7">
      <w:pPr>
        <w:spacing w:before="120" w:after="120" w:line="240" w:lineRule="auto"/>
        <w:ind w:left="709"/>
        <w:jc w:val="both"/>
        <w:rPr>
          <w:rFonts w:ascii="Times New Roman" w:hAnsi="Times New Roman" w:cs="Times New Roman"/>
          <w:noProof/>
          <w:sz w:val="24"/>
        </w:rPr>
        <w:sectPr w:rsidR="00AD3F7A" w:rsidRPr="00AD4052" w:rsidSect="00271D33">
          <w:headerReference w:type="even" r:id="rId122"/>
          <w:headerReference w:type="default" r:id="rId123"/>
          <w:footerReference w:type="even" r:id="rId124"/>
          <w:footerReference w:type="default" r:id="rId125"/>
          <w:headerReference w:type="first" r:id="rId126"/>
          <w:footerReference w:type="first" r:id="rId127"/>
          <w:pgSz w:w="11907" w:h="16839"/>
          <w:pgMar w:top="1134" w:right="1418" w:bottom="1134" w:left="1418" w:header="709" w:footer="709" w:gutter="0"/>
          <w:cols w:space="720"/>
          <w:docGrid w:linePitch="360"/>
        </w:sectPr>
      </w:pPr>
    </w:p>
    <w:p w14:paraId="12966E81" w14:textId="77777777" w:rsidR="00AD3F7A" w:rsidRPr="00E02B5D" w:rsidRDefault="00AD3F7A" w:rsidP="00645BC7">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E.2. </w:t>
      </w:r>
      <w:r>
        <w:rPr>
          <w:noProof/>
        </w:rPr>
        <w:tab/>
      </w:r>
      <w:r>
        <w:rPr>
          <w:rFonts w:ascii="Times New Roman" w:hAnsi="Times New Roman"/>
          <w:b/>
          <w:noProof/>
          <w:sz w:val="24"/>
          <w:u w:val="single"/>
        </w:rPr>
        <w:t>Tagastamatu rahalise toetuse eesmärgid, sihid, näitajad ning seire ja rakendamise ajakava</w:t>
      </w:r>
    </w:p>
    <w:p w14:paraId="301A0875" w14:textId="77777777" w:rsidR="00AD3F7A" w:rsidRPr="00AD4052" w:rsidRDefault="00AD3F7A" w:rsidP="00645BC7">
      <w:pPr>
        <w:keepNext/>
        <w:keepLines/>
        <w:spacing w:before="40" w:after="0" w:line="240" w:lineRule="auto"/>
        <w:ind w:firstLine="709"/>
        <w:jc w:val="both"/>
        <w:outlineLvl w:val="4"/>
        <w:rPr>
          <w:rFonts w:ascii="Cambria" w:eastAsia="Times New Roman" w:hAnsi="Cambria"/>
          <w:noProof/>
          <w:color w:val="365F91"/>
          <w:sz w:val="24"/>
        </w:rPr>
      </w:pPr>
    </w:p>
    <w:p w14:paraId="71C32FD1" w14:textId="77777777" w:rsidR="00AD3F7A" w:rsidRPr="00E02B5D" w:rsidRDefault="00AD3F7A" w:rsidP="00645BC7">
      <w:pPr>
        <w:keepNext/>
        <w:keepLines/>
        <w:spacing w:before="40" w:after="0" w:line="240" w:lineRule="auto"/>
        <w:ind w:firstLine="709"/>
        <w:jc w:val="both"/>
        <w:outlineLvl w:val="4"/>
        <w:rPr>
          <w:rFonts w:ascii="Cambria" w:eastAsia="Times New Roman" w:hAnsi="Cambria"/>
          <w:noProof/>
          <w:color w:val="365F91"/>
          <w:sz w:val="24"/>
        </w:rPr>
      </w:pPr>
      <w:r>
        <w:rPr>
          <w:rFonts w:ascii="Cambria" w:hAnsi="Cambria"/>
          <w:noProof/>
          <w:color w:val="365F91"/>
          <w:sz w:val="24"/>
        </w:rPr>
        <w:t>Grupp 8: ühendatus</w:t>
      </w:r>
    </w:p>
    <w:p w14:paraId="680E516B" w14:textId="77777777" w:rsidR="00AD3F7A" w:rsidRPr="00E02B5D" w:rsidRDefault="00AD3F7A" w:rsidP="00645BC7">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Sellesse rühma kuuluvad järgmised meetmed:</w:t>
      </w:r>
    </w:p>
    <w:p w14:paraId="085676AD" w14:textId="77777777" w:rsidR="00AD3F7A" w:rsidRPr="00E02B5D" w:rsidRDefault="00AD3F7A" w:rsidP="00645BC7">
      <w:pPr>
        <w:spacing w:before="120" w:after="120" w:line="240" w:lineRule="auto"/>
        <w:ind w:left="709"/>
        <w:jc w:val="both"/>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Üleminek 5G-tehnoloogiale, mis hõlbustab uuenduslike kaugteenuste arendamist. (ID: (ID: 16844)</w:t>
      </w:r>
    </w:p>
    <w:p w14:paraId="78138789" w14:textId="77777777" w:rsidR="00AD3F7A" w:rsidRPr="00E02B5D" w:rsidRDefault="00AD3F7A" w:rsidP="00C95E90">
      <w:pPr>
        <w:spacing w:before="120" w:after="120" w:line="240" w:lineRule="auto"/>
        <w:ind w:left="709"/>
        <w:jc w:val="both"/>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Üleminek gigabitiühendustele – üleminek gigabiti lairibaühendustele ja gigabiti lairibaühenduse nõudluse suurendamine (ID: 16857)</w:t>
      </w:r>
    </w:p>
    <w:p w14:paraId="204397EB" w14:textId="77777777" w:rsidR="00AD3F7A" w:rsidRPr="00E02B5D" w:rsidRDefault="00AD3F7A" w:rsidP="00645BC7">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Kiudoptiline taristu hoonetes (ID: 16818)</w:t>
      </w:r>
    </w:p>
    <w:p w14:paraId="5C27E3AB" w14:textId="2A3D9C08" w:rsidR="00AD3F7A" w:rsidRPr="00E02B5D" w:rsidRDefault="00AD3F7A" w:rsidP="00685365">
      <w:pPr>
        <w:spacing w:before="120" w:after="120" w:line="240" w:lineRule="auto"/>
        <w:ind w:left="1418" w:hanging="709"/>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Väikesatelliidid (ID: 16855)</w:t>
      </w:r>
      <w:r>
        <w:rPr>
          <w:noProof/>
        </w:rPr>
        <w:tab/>
      </w:r>
    </w:p>
    <w:tbl>
      <w:tblPr>
        <w:tblW w:w="15446" w:type="dxa"/>
        <w:jc w:val="center"/>
        <w:tblLayout w:type="fixed"/>
        <w:tblLook w:val="04A0" w:firstRow="1" w:lastRow="0" w:firstColumn="1" w:lastColumn="0" w:noHBand="0" w:noVBand="1"/>
      </w:tblPr>
      <w:tblGrid>
        <w:gridCol w:w="704"/>
        <w:gridCol w:w="1276"/>
        <w:gridCol w:w="992"/>
        <w:gridCol w:w="1152"/>
        <w:gridCol w:w="1400"/>
        <w:gridCol w:w="1134"/>
        <w:gridCol w:w="584"/>
        <w:gridCol w:w="833"/>
        <w:gridCol w:w="868"/>
        <w:gridCol w:w="1276"/>
        <w:gridCol w:w="5227"/>
      </w:tblGrid>
      <w:tr w:rsidR="00AD3F7A" w:rsidRPr="003B132A" w14:paraId="03EE8968" w14:textId="77777777" w:rsidTr="00E82BDD">
        <w:trPr>
          <w:trHeight w:val="585"/>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55F409"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97FB9BC"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405518B"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152" w:type="dxa"/>
            <w:vMerge w:val="restart"/>
            <w:tcBorders>
              <w:top w:val="single" w:sz="4" w:space="0" w:color="auto"/>
              <w:left w:val="nil"/>
              <w:bottom w:val="single" w:sz="4" w:space="0" w:color="auto"/>
              <w:right w:val="single" w:sz="4" w:space="0" w:color="auto"/>
            </w:tcBorders>
            <w:shd w:val="clear" w:color="auto" w:fill="BDD7EE"/>
            <w:vAlign w:val="center"/>
            <w:hideMark/>
          </w:tcPr>
          <w:p w14:paraId="2B16042F"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AB4BE1"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551" w:type="dxa"/>
            <w:gridSpan w:val="3"/>
            <w:tcBorders>
              <w:top w:val="single" w:sz="4" w:space="0" w:color="auto"/>
              <w:left w:val="nil"/>
              <w:bottom w:val="single" w:sz="4" w:space="0" w:color="auto"/>
              <w:right w:val="single" w:sz="4" w:space="0" w:color="auto"/>
            </w:tcBorders>
            <w:shd w:val="clear" w:color="auto" w:fill="BDD7EE"/>
            <w:vAlign w:val="center"/>
            <w:hideMark/>
          </w:tcPr>
          <w:p w14:paraId="748AB12E"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2144" w:type="dxa"/>
            <w:gridSpan w:val="2"/>
            <w:tcBorders>
              <w:top w:val="single" w:sz="4" w:space="0" w:color="auto"/>
              <w:left w:val="nil"/>
              <w:bottom w:val="single" w:sz="4" w:space="0" w:color="auto"/>
              <w:right w:val="single" w:sz="4" w:space="0" w:color="auto"/>
            </w:tcBorders>
            <w:shd w:val="clear" w:color="auto" w:fill="BDD7EE"/>
            <w:vAlign w:val="center"/>
            <w:hideMark/>
          </w:tcPr>
          <w:p w14:paraId="07BC25A1"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52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7FC44F6"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AD3F7A" w:rsidRPr="00E02B5D" w14:paraId="54F9E674" w14:textId="77777777" w:rsidTr="00E82BDD">
        <w:trPr>
          <w:trHeight w:val="372"/>
          <w:tblHeader/>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11A0DCE"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908C6D"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767FD5A"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152" w:type="dxa"/>
            <w:vMerge/>
            <w:tcBorders>
              <w:top w:val="single" w:sz="4" w:space="0" w:color="auto"/>
              <w:left w:val="nil"/>
              <w:bottom w:val="single" w:sz="4" w:space="0" w:color="000000"/>
              <w:right w:val="single" w:sz="4" w:space="0" w:color="auto"/>
            </w:tcBorders>
            <w:vAlign w:val="center"/>
            <w:hideMark/>
          </w:tcPr>
          <w:p w14:paraId="2B6F31AD"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3D1745D"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BDD7EE"/>
            <w:vAlign w:val="center"/>
            <w:hideMark/>
          </w:tcPr>
          <w:p w14:paraId="756A0EAA"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584" w:type="dxa"/>
            <w:tcBorders>
              <w:top w:val="single" w:sz="4" w:space="0" w:color="auto"/>
              <w:left w:val="nil"/>
              <w:bottom w:val="single" w:sz="4" w:space="0" w:color="auto"/>
              <w:right w:val="single" w:sz="4" w:space="0" w:color="auto"/>
            </w:tcBorders>
            <w:shd w:val="clear" w:color="auto" w:fill="BDD7EE"/>
            <w:vAlign w:val="center"/>
            <w:hideMark/>
          </w:tcPr>
          <w:p w14:paraId="00C18BC5"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833" w:type="dxa"/>
            <w:tcBorders>
              <w:top w:val="single" w:sz="4" w:space="0" w:color="auto"/>
              <w:left w:val="nil"/>
              <w:bottom w:val="single" w:sz="4" w:space="0" w:color="auto"/>
              <w:right w:val="single" w:sz="4" w:space="0" w:color="auto"/>
            </w:tcBorders>
            <w:shd w:val="clear" w:color="auto" w:fill="BDD7EE"/>
            <w:vAlign w:val="center"/>
            <w:hideMark/>
          </w:tcPr>
          <w:p w14:paraId="1C1BA95C"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68" w:type="dxa"/>
            <w:tcBorders>
              <w:top w:val="single" w:sz="4" w:space="0" w:color="auto"/>
              <w:left w:val="nil"/>
              <w:bottom w:val="single" w:sz="4" w:space="0" w:color="auto"/>
              <w:right w:val="single" w:sz="4" w:space="0" w:color="auto"/>
            </w:tcBorders>
            <w:shd w:val="clear" w:color="auto" w:fill="BDD7EE"/>
            <w:vAlign w:val="center"/>
            <w:hideMark/>
          </w:tcPr>
          <w:p w14:paraId="6C3CE904"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1276" w:type="dxa"/>
            <w:tcBorders>
              <w:top w:val="single" w:sz="4" w:space="0" w:color="auto"/>
              <w:left w:val="nil"/>
              <w:bottom w:val="single" w:sz="4" w:space="0" w:color="auto"/>
              <w:right w:val="single" w:sz="4" w:space="0" w:color="auto"/>
            </w:tcBorders>
            <w:shd w:val="clear" w:color="auto" w:fill="BDD7EE"/>
            <w:vAlign w:val="center"/>
            <w:hideMark/>
          </w:tcPr>
          <w:p w14:paraId="77C42570"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5227" w:type="dxa"/>
            <w:vMerge/>
            <w:tcBorders>
              <w:top w:val="single" w:sz="4" w:space="0" w:color="auto"/>
              <w:left w:val="single" w:sz="4" w:space="0" w:color="auto"/>
              <w:bottom w:val="single" w:sz="4" w:space="0" w:color="auto"/>
              <w:right w:val="single" w:sz="4" w:space="0" w:color="auto"/>
            </w:tcBorders>
            <w:vAlign w:val="center"/>
            <w:hideMark/>
          </w:tcPr>
          <w:p w14:paraId="3ADD4056" w14:textId="77777777" w:rsidR="00AD3F7A" w:rsidRPr="00E02B5D" w:rsidRDefault="00AD3F7A" w:rsidP="00D16F13">
            <w:pPr>
              <w:spacing w:after="0" w:line="240" w:lineRule="auto"/>
              <w:rPr>
                <w:rFonts w:ascii="Times New Roman" w:eastAsia="Times New Roman" w:hAnsi="Times New Roman" w:cs="Times New Roman"/>
                <w:b/>
                <w:bCs/>
                <w:noProof/>
                <w:sz w:val="18"/>
                <w:szCs w:val="18"/>
                <w:lang w:val="en-GB" w:eastAsia="en-GB"/>
              </w:rPr>
            </w:pPr>
          </w:p>
        </w:tc>
      </w:tr>
      <w:tr w:rsidR="00AD3F7A" w:rsidRPr="003B132A" w14:paraId="219CADF9" w14:textId="77777777" w:rsidTr="00E82BDD">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tcPr>
          <w:p w14:paraId="120AC75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85</w:t>
            </w:r>
          </w:p>
        </w:tc>
        <w:tc>
          <w:tcPr>
            <w:tcW w:w="1276" w:type="dxa"/>
            <w:tcBorders>
              <w:top w:val="nil"/>
              <w:left w:val="nil"/>
              <w:bottom w:val="single" w:sz="4" w:space="0" w:color="auto"/>
              <w:right w:val="single" w:sz="4" w:space="0" w:color="auto"/>
            </w:tcBorders>
            <w:shd w:val="clear" w:color="auto" w:fill="C6EFCE"/>
            <w:noWrap/>
          </w:tcPr>
          <w:p w14:paraId="428ED86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5-2.1. Ühendamine – 16818_Kiudoptiliste kaablite infrastruktuur ehitistes</w:t>
            </w:r>
          </w:p>
        </w:tc>
        <w:tc>
          <w:tcPr>
            <w:tcW w:w="992" w:type="dxa"/>
            <w:tcBorders>
              <w:top w:val="nil"/>
              <w:left w:val="nil"/>
              <w:bottom w:val="single" w:sz="4" w:space="0" w:color="auto"/>
              <w:right w:val="single" w:sz="4" w:space="0" w:color="auto"/>
            </w:tcBorders>
            <w:shd w:val="clear" w:color="auto" w:fill="C6EFCE"/>
            <w:noWrap/>
          </w:tcPr>
          <w:p w14:paraId="7D0FF7C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152" w:type="dxa"/>
            <w:tcBorders>
              <w:top w:val="nil"/>
              <w:left w:val="nil"/>
              <w:bottom w:val="single" w:sz="4" w:space="0" w:color="auto"/>
              <w:right w:val="single" w:sz="4" w:space="0" w:color="auto"/>
            </w:tcBorders>
            <w:shd w:val="clear" w:color="auto" w:fill="C6EFCE"/>
            <w:noWrap/>
          </w:tcPr>
          <w:p w14:paraId="68A14E6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„hoonete kiudoptiline infrastruktuur“ lepingu(te) sõlmimine</w:t>
            </w:r>
          </w:p>
        </w:tc>
        <w:tc>
          <w:tcPr>
            <w:tcW w:w="1400" w:type="dxa"/>
            <w:tcBorders>
              <w:top w:val="nil"/>
              <w:left w:val="nil"/>
              <w:bottom w:val="single" w:sz="4" w:space="0" w:color="auto"/>
              <w:right w:val="single" w:sz="4" w:space="0" w:color="auto"/>
            </w:tcBorders>
            <w:shd w:val="clear" w:color="auto" w:fill="C6EFCE"/>
            <w:noWrap/>
          </w:tcPr>
          <w:p w14:paraId="0F49BFC7" w14:textId="77777777" w:rsidR="00AD3F7A" w:rsidRPr="00E02B5D" w:rsidRDefault="00AD3F7A" w:rsidP="00D16F13">
            <w:pPr>
              <w:spacing w:after="0" w:line="240" w:lineRule="auto"/>
              <w:rPr>
                <w:rFonts w:eastAsia="Times New Roman" w:cs="Calibri"/>
                <w:strike/>
                <w:noProof/>
                <w:color w:val="006100"/>
                <w:sz w:val="18"/>
                <w:szCs w:val="18"/>
              </w:rPr>
            </w:pPr>
            <w:r>
              <w:rPr>
                <w:noProof/>
                <w:color w:val="006100"/>
                <w:sz w:val="18"/>
              </w:rPr>
              <w:t xml:space="preserve">Lepingu(te) sõlmimisest teatamine </w:t>
            </w:r>
          </w:p>
        </w:tc>
        <w:tc>
          <w:tcPr>
            <w:tcW w:w="1134" w:type="dxa"/>
            <w:tcBorders>
              <w:top w:val="nil"/>
              <w:left w:val="nil"/>
              <w:bottom w:val="single" w:sz="4" w:space="0" w:color="auto"/>
              <w:right w:val="single" w:sz="4" w:space="0" w:color="auto"/>
            </w:tcBorders>
            <w:shd w:val="clear" w:color="auto" w:fill="C6EFCE"/>
            <w:noWrap/>
          </w:tcPr>
          <w:p w14:paraId="1B4F0086"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584" w:type="dxa"/>
            <w:tcBorders>
              <w:top w:val="nil"/>
              <w:left w:val="nil"/>
              <w:bottom w:val="single" w:sz="4" w:space="0" w:color="auto"/>
              <w:right w:val="single" w:sz="4" w:space="0" w:color="auto"/>
            </w:tcBorders>
            <w:shd w:val="clear" w:color="auto" w:fill="C6EFCE"/>
            <w:noWrap/>
          </w:tcPr>
          <w:p w14:paraId="40D3D63E"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833" w:type="dxa"/>
            <w:tcBorders>
              <w:top w:val="nil"/>
              <w:left w:val="nil"/>
              <w:bottom w:val="single" w:sz="4" w:space="0" w:color="auto"/>
              <w:right w:val="single" w:sz="4" w:space="0" w:color="auto"/>
            </w:tcBorders>
            <w:shd w:val="clear" w:color="auto" w:fill="C6EFCE"/>
            <w:noWrap/>
          </w:tcPr>
          <w:p w14:paraId="19CEDFE4"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868" w:type="dxa"/>
            <w:tcBorders>
              <w:top w:val="nil"/>
              <w:left w:val="nil"/>
              <w:bottom w:val="single" w:sz="4" w:space="0" w:color="auto"/>
              <w:right w:val="single" w:sz="4" w:space="0" w:color="auto"/>
            </w:tcBorders>
            <w:shd w:val="clear" w:color="auto" w:fill="C6EFCE"/>
            <w:noWrap/>
          </w:tcPr>
          <w:p w14:paraId="306FFFB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3. kv</w:t>
            </w:r>
          </w:p>
        </w:tc>
        <w:tc>
          <w:tcPr>
            <w:tcW w:w="1276" w:type="dxa"/>
            <w:tcBorders>
              <w:top w:val="nil"/>
              <w:left w:val="nil"/>
              <w:bottom w:val="single" w:sz="4" w:space="0" w:color="auto"/>
              <w:right w:val="single" w:sz="4" w:space="0" w:color="auto"/>
            </w:tcBorders>
            <w:shd w:val="clear" w:color="auto" w:fill="C6EFCE"/>
            <w:noWrap/>
          </w:tcPr>
          <w:p w14:paraId="53B24A8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5227" w:type="dxa"/>
            <w:tcBorders>
              <w:top w:val="nil"/>
              <w:left w:val="nil"/>
              <w:bottom w:val="single" w:sz="4" w:space="0" w:color="auto"/>
              <w:right w:val="single" w:sz="4" w:space="0" w:color="auto"/>
            </w:tcBorders>
            <w:shd w:val="clear" w:color="auto" w:fill="C6EFCE"/>
            <w:noWrap/>
          </w:tcPr>
          <w:p w14:paraId="79E0F8B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Hankelepingu(te) sõlmimine pärast projekti „hoonete kiudoptiline infrastruktuur“ hankemenetluse edukat lõpuleviimist.</w:t>
            </w:r>
          </w:p>
          <w:p w14:paraId="46B2C472" w14:textId="77777777" w:rsidR="00AD3F7A" w:rsidRPr="00AD4052" w:rsidRDefault="00AD3F7A" w:rsidP="00D16F13">
            <w:pPr>
              <w:spacing w:after="0" w:line="240" w:lineRule="auto"/>
              <w:rPr>
                <w:rFonts w:eastAsia="Times New Roman" w:cs="Calibri"/>
                <w:noProof/>
                <w:color w:val="006100"/>
                <w:sz w:val="18"/>
                <w:szCs w:val="18"/>
                <w:lang w:eastAsia="en-GB"/>
              </w:rPr>
            </w:pPr>
          </w:p>
          <w:p w14:paraId="5327315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Infoühiskonna järelevalveasutus/digitaalse juhtimise ministeerium tagab, et kõik esitatud taotlused vaadatakse läbi, et teha kindlaks, kas taotlused vastavad nõuetekohaselt konkursikutse nõuetele. Asjaomase töövõtja valimisel jätkab infoühiskonna standardasutus/digitaalse juhtimise ministeerium lepingu sõlmimist, milles määratakse kindlaks lepinguosaliste kohustused, rollid ja vastutus.</w:t>
            </w:r>
          </w:p>
        </w:tc>
      </w:tr>
      <w:tr w:rsidR="00AD3F7A" w:rsidRPr="003B132A" w14:paraId="46234CFD" w14:textId="77777777" w:rsidTr="00E82BDD">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tcPr>
          <w:p w14:paraId="12CAFB5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87</w:t>
            </w:r>
          </w:p>
        </w:tc>
        <w:tc>
          <w:tcPr>
            <w:tcW w:w="1276" w:type="dxa"/>
            <w:tcBorders>
              <w:top w:val="nil"/>
              <w:left w:val="nil"/>
              <w:bottom w:val="single" w:sz="4" w:space="0" w:color="auto"/>
              <w:right w:val="single" w:sz="4" w:space="0" w:color="auto"/>
            </w:tcBorders>
            <w:shd w:val="clear" w:color="auto" w:fill="C6EFCE"/>
            <w:noWrap/>
          </w:tcPr>
          <w:p w14:paraId="101999F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5-2.1. Ühendamine – 16855_Väikesatelliidid</w:t>
            </w:r>
          </w:p>
          <w:p w14:paraId="41356723"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92" w:type="dxa"/>
            <w:tcBorders>
              <w:top w:val="nil"/>
              <w:left w:val="nil"/>
              <w:bottom w:val="single" w:sz="4" w:space="0" w:color="auto"/>
              <w:right w:val="single" w:sz="4" w:space="0" w:color="auto"/>
            </w:tcBorders>
            <w:shd w:val="clear" w:color="auto" w:fill="C6EFCE"/>
            <w:noWrap/>
          </w:tcPr>
          <w:p w14:paraId="38C2769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152" w:type="dxa"/>
            <w:tcBorders>
              <w:top w:val="nil"/>
              <w:left w:val="nil"/>
              <w:bottom w:val="single" w:sz="4" w:space="0" w:color="auto"/>
              <w:right w:val="single" w:sz="4" w:space="0" w:color="auto"/>
            </w:tcBorders>
            <w:shd w:val="clear" w:color="auto" w:fill="C6EFCE"/>
            <w:noWrap/>
          </w:tcPr>
          <w:p w14:paraId="174C66A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„Väikesatelliidid“ lepingu(te) sõlmimine</w:t>
            </w:r>
          </w:p>
        </w:tc>
        <w:tc>
          <w:tcPr>
            <w:tcW w:w="1400" w:type="dxa"/>
            <w:tcBorders>
              <w:top w:val="nil"/>
              <w:left w:val="nil"/>
              <w:bottom w:val="single" w:sz="4" w:space="0" w:color="auto"/>
              <w:right w:val="single" w:sz="4" w:space="0" w:color="auto"/>
            </w:tcBorders>
            <w:shd w:val="clear" w:color="auto" w:fill="C6EFCE"/>
            <w:noWrap/>
          </w:tcPr>
          <w:p w14:paraId="690A1E4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Lepingu(te) sõlmimisest teatamine </w:t>
            </w:r>
          </w:p>
        </w:tc>
        <w:tc>
          <w:tcPr>
            <w:tcW w:w="1134" w:type="dxa"/>
            <w:tcBorders>
              <w:top w:val="nil"/>
              <w:left w:val="nil"/>
              <w:bottom w:val="single" w:sz="4" w:space="0" w:color="auto"/>
              <w:right w:val="single" w:sz="4" w:space="0" w:color="auto"/>
            </w:tcBorders>
            <w:shd w:val="clear" w:color="auto" w:fill="C6EFCE"/>
            <w:noWrap/>
          </w:tcPr>
          <w:p w14:paraId="44388A4C"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584" w:type="dxa"/>
            <w:tcBorders>
              <w:top w:val="nil"/>
              <w:left w:val="nil"/>
              <w:bottom w:val="single" w:sz="4" w:space="0" w:color="auto"/>
              <w:right w:val="single" w:sz="4" w:space="0" w:color="auto"/>
            </w:tcBorders>
            <w:shd w:val="clear" w:color="auto" w:fill="C6EFCE"/>
            <w:noWrap/>
          </w:tcPr>
          <w:p w14:paraId="481E4CCB"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833" w:type="dxa"/>
            <w:tcBorders>
              <w:top w:val="nil"/>
              <w:left w:val="nil"/>
              <w:bottom w:val="single" w:sz="4" w:space="0" w:color="auto"/>
              <w:right w:val="single" w:sz="4" w:space="0" w:color="auto"/>
            </w:tcBorders>
            <w:shd w:val="clear" w:color="auto" w:fill="C6EFCE"/>
            <w:noWrap/>
          </w:tcPr>
          <w:p w14:paraId="4D74D0A7"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868" w:type="dxa"/>
            <w:tcBorders>
              <w:top w:val="nil"/>
              <w:left w:val="nil"/>
              <w:bottom w:val="single" w:sz="4" w:space="0" w:color="auto"/>
              <w:right w:val="single" w:sz="4" w:space="0" w:color="auto"/>
            </w:tcBorders>
            <w:shd w:val="clear" w:color="auto" w:fill="C6EFCE"/>
            <w:noWrap/>
          </w:tcPr>
          <w:p w14:paraId="1575666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kv</w:t>
            </w:r>
          </w:p>
        </w:tc>
        <w:tc>
          <w:tcPr>
            <w:tcW w:w="1276" w:type="dxa"/>
            <w:tcBorders>
              <w:top w:val="nil"/>
              <w:left w:val="nil"/>
              <w:bottom w:val="single" w:sz="4" w:space="0" w:color="auto"/>
              <w:right w:val="single" w:sz="4" w:space="0" w:color="auto"/>
            </w:tcBorders>
            <w:shd w:val="clear" w:color="auto" w:fill="C6EFCE"/>
            <w:noWrap/>
          </w:tcPr>
          <w:p w14:paraId="53E5EE5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2023</w:t>
            </w:r>
          </w:p>
        </w:tc>
        <w:tc>
          <w:tcPr>
            <w:tcW w:w="5227" w:type="dxa"/>
            <w:tcBorders>
              <w:top w:val="nil"/>
              <w:left w:val="nil"/>
              <w:bottom w:val="single" w:sz="4" w:space="0" w:color="auto"/>
              <w:right w:val="single" w:sz="4" w:space="0" w:color="auto"/>
            </w:tcBorders>
            <w:shd w:val="clear" w:color="auto" w:fill="C6EFCE"/>
            <w:noWrap/>
          </w:tcPr>
          <w:p w14:paraId="36F605B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Lepingu(te) sõlmimine pärast projekti „Väikesatelliidid“ hankemenetluse edukat lõpuleviimist.</w:t>
            </w:r>
          </w:p>
          <w:p w14:paraId="1745B2C5" w14:textId="77777777" w:rsidR="00AD3F7A" w:rsidRPr="00AD4052" w:rsidRDefault="00AD3F7A" w:rsidP="00D16F13">
            <w:pPr>
              <w:spacing w:after="0" w:line="240" w:lineRule="auto"/>
              <w:rPr>
                <w:rFonts w:eastAsia="Times New Roman" w:cs="Calibri"/>
                <w:noProof/>
                <w:color w:val="006100"/>
                <w:sz w:val="18"/>
                <w:szCs w:val="18"/>
                <w:lang w:eastAsia="en-GB"/>
              </w:rPr>
            </w:pPr>
          </w:p>
          <w:p w14:paraId="67E7E404" w14:textId="77777777" w:rsidR="00AD3F7A" w:rsidRPr="00AD4052" w:rsidRDefault="00AD3F7A" w:rsidP="00D16F13">
            <w:pPr>
              <w:spacing w:after="0" w:line="240" w:lineRule="auto"/>
              <w:rPr>
                <w:rFonts w:eastAsia="Times New Roman" w:cs="Calibri"/>
                <w:noProof/>
                <w:color w:val="006100"/>
                <w:sz w:val="18"/>
                <w:szCs w:val="18"/>
              </w:rPr>
            </w:pPr>
          </w:p>
        </w:tc>
      </w:tr>
      <w:tr w:rsidR="00AD3F7A" w:rsidRPr="003B132A" w14:paraId="37B196FF" w14:textId="77777777" w:rsidTr="00E82BDD">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tcPr>
          <w:p w14:paraId="534D501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90</w:t>
            </w:r>
          </w:p>
        </w:tc>
        <w:tc>
          <w:tcPr>
            <w:tcW w:w="1276" w:type="dxa"/>
            <w:tcBorders>
              <w:top w:val="nil"/>
              <w:left w:val="nil"/>
              <w:bottom w:val="single" w:sz="4" w:space="0" w:color="auto"/>
              <w:right w:val="single" w:sz="4" w:space="0" w:color="auto"/>
            </w:tcBorders>
            <w:shd w:val="clear" w:color="auto" w:fill="C6EFCE"/>
            <w:noWrap/>
          </w:tcPr>
          <w:p w14:paraId="5806557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5-2.1. Ühendamine – 16818_Kiudoptiliste kaablite infrastruktuur ehitistes</w:t>
            </w:r>
          </w:p>
        </w:tc>
        <w:tc>
          <w:tcPr>
            <w:tcW w:w="992" w:type="dxa"/>
            <w:tcBorders>
              <w:top w:val="nil"/>
              <w:left w:val="nil"/>
              <w:bottom w:val="single" w:sz="4" w:space="0" w:color="auto"/>
              <w:right w:val="single" w:sz="4" w:space="0" w:color="auto"/>
            </w:tcBorders>
            <w:shd w:val="clear" w:color="auto" w:fill="C6EFCE"/>
            <w:noWrap/>
          </w:tcPr>
          <w:p w14:paraId="0609077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Siht</w:t>
            </w:r>
          </w:p>
        </w:tc>
        <w:tc>
          <w:tcPr>
            <w:tcW w:w="1152" w:type="dxa"/>
            <w:tcBorders>
              <w:top w:val="nil"/>
              <w:left w:val="nil"/>
              <w:bottom w:val="single" w:sz="4" w:space="0" w:color="auto"/>
              <w:right w:val="single" w:sz="4" w:space="0" w:color="auto"/>
            </w:tcBorders>
            <w:shd w:val="clear" w:color="auto" w:fill="C6EFCE"/>
            <w:noWrap/>
          </w:tcPr>
          <w:p w14:paraId="23709FF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„Kiudoptiliste kaablite infrastruktuur ehitistes“ lõpuleviimine</w:t>
            </w:r>
          </w:p>
        </w:tc>
        <w:tc>
          <w:tcPr>
            <w:tcW w:w="1400" w:type="dxa"/>
            <w:tcBorders>
              <w:top w:val="nil"/>
              <w:left w:val="nil"/>
              <w:bottom w:val="single" w:sz="4" w:space="0" w:color="auto"/>
              <w:right w:val="single" w:sz="4" w:space="0" w:color="auto"/>
            </w:tcBorders>
            <w:shd w:val="clear" w:color="auto" w:fill="C6EFCE"/>
            <w:noWrap/>
          </w:tcPr>
          <w:p w14:paraId="32B5E654" w14:textId="77777777" w:rsidR="00AD3F7A" w:rsidRPr="00AD4052" w:rsidRDefault="00AD3F7A" w:rsidP="00D16F13">
            <w:pPr>
              <w:spacing w:after="0" w:line="240" w:lineRule="auto"/>
              <w:rPr>
                <w:rFonts w:eastAsia="Times New Roman" w:cs="Calibri"/>
                <w:noProof/>
                <w:color w:val="006100"/>
                <w:sz w:val="18"/>
                <w:szCs w:val="18"/>
                <w:lang w:val="fr-BE" w:eastAsia="en-GB"/>
              </w:rPr>
            </w:pPr>
          </w:p>
        </w:tc>
        <w:tc>
          <w:tcPr>
            <w:tcW w:w="1134" w:type="dxa"/>
            <w:tcBorders>
              <w:top w:val="nil"/>
              <w:left w:val="nil"/>
              <w:bottom w:val="single" w:sz="4" w:space="0" w:color="auto"/>
              <w:right w:val="single" w:sz="4" w:space="0" w:color="auto"/>
            </w:tcBorders>
            <w:shd w:val="clear" w:color="auto" w:fill="C6EFCE"/>
            <w:noWrap/>
          </w:tcPr>
          <w:p w14:paraId="0751FA5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Fiber To-The Home (FTTH) kiudoptilise taristuga täielikult ühendatud erahoonete arv</w:t>
            </w:r>
          </w:p>
        </w:tc>
        <w:tc>
          <w:tcPr>
            <w:tcW w:w="584" w:type="dxa"/>
            <w:tcBorders>
              <w:top w:val="nil"/>
              <w:left w:val="nil"/>
              <w:bottom w:val="single" w:sz="4" w:space="0" w:color="auto"/>
              <w:right w:val="single" w:sz="4" w:space="0" w:color="auto"/>
            </w:tcBorders>
            <w:shd w:val="clear" w:color="auto" w:fill="C6EFCE"/>
            <w:noWrap/>
          </w:tcPr>
          <w:p w14:paraId="6EFC81B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0</w:t>
            </w:r>
          </w:p>
        </w:tc>
        <w:tc>
          <w:tcPr>
            <w:tcW w:w="833" w:type="dxa"/>
            <w:tcBorders>
              <w:top w:val="nil"/>
              <w:left w:val="nil"/>
              <w:bottom w:val="single" w:sz="4" w:space="0" w:color="auto"/>
              <w:right w:val="single" w:sz="4" w:space="0" w:color="auto"/>
            </w:tcBorders>
            <w:shd w:val="clear" w:color="auto" w:fill="C6EFCE"/>
            <w:noWrap/>
          </w:tcPr>
          <w:p w14:paraId="68091B3A" w14:textId="3A8A5D88" w:rsidR="00AD3F7A" w:rsidRPr="00E02B5D" w:rsidRDefault="00AD3F7A" w:rsidP="00D16F13">
            <w:pPr>
              <w:spacing w:after="0" w:line="240" w:lineRule="auto"/>
              <w:rPr>
                <w:rFonts w:eastAsia="Times New Roman" w:cs="Calibri"/>
                <w:noProof/>
                <w:color w:val="006100"/>
                <w:sz w:val="18"/>
                <w:szCs w:val="18"/>
              </w:rPr>
            </w:pPr>
            <w:r>
              <w:rPr>
                <w:noProof/>
                <w:color w:val="006100"/>
                <w:sz w:val="18"/>
              </w:rPr>
              <w:t>120 000</w:t>
            </w:r>
          </w:p>
        </w:tc>
        <w:tc>
          <w:tcPr>
            <w:tcW w:w="868" w:type="dxa"/>
            <w:tcBorders>
              <w:top w:val="nil"/>
              <w:left w:val="nil"/>
              <w:bottom w:val="single" w:sz="4" w:space="0" w:color="auto"/>
              <w:right w:val="single" w:sz="4" w:space="0" w:color="auto"/>
            </w:tcBorders>
            <w:shd w:val="clear" w:color="auto" w:fill="C6EFCE"/>
            <w:noWrap/>
          </w:tcPr>
          <w:p w14:paraId="4066608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1276" w:type="dxa"/>
            <w:tcBorders>
              <w:top w:val="nil"/>
              <w:left w:val="nil"/>
              <w:bottom w:val="single" w:sz="4" w:space="0" w:color="auto"/>
              <w:right w:val="single" w:sz="4" w:space="0" w:color="auto"/>
            </w:tcBorders>
            <w:shd w:val="clear" w:color="auto" w:fill="C6EFCE"/>
            <w:noWrap/>
          </w:tcPr>
          <w:p w14:paraId="329105F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5227" w:type="dxa"/>
            <w:tcBorders>
              <w:top w:val="nil"/>
              <w:left w:val="nil"/>
              <w:bottom w:val="single" w:sz="4" w:space="0" w:color="auto"/>
              <w:right w:val="single" w:sz="4" w:space="0" w:color="auto"/>
            </w:tcBorders>
            <w:shd w:val="clear" w:color="auto" w:fill="C6EFCE"/>
            <w:noWrap/>
          </w:tcPr>
          <w:p w14:paraId="009D9033" w14:textId="43885E9E" w:rsidR="00AD3F7A" w:rsidRPr="00E02B5D" w:rsidRDefault="00AD3F7A" w:rsidP="00D16F13">
            <w:pPr>
              <w:spacing w:after="0" w:line="240" w:lineRule="auto"/>
              <w:rPr>
                <w:rFonts w:eastAsia="Times New Roman" w:cs="Calibri"/>
                <w:noProof/>
                <w:color w:val="006100"/>
                <w:sz w:val="18"/>
                <w:szCs w:val="18"/>
              </w:rPr>
            </w:pPr>
            <w:r>
              <w:rPr>
                <w:noProof/>
                <w:color w:val="006100"/>
                <w:sz w:val="18"/>
              </w:rPr>
              <w:t>120 000 erahoonet, mis on täielikult ühendatud FTTH kiudoptilise taristuga.</w:t>
            </w:r>
          </w:p>
        </w:tc>
      </w:tr>
      <w:tr w:rsidR="00AD3F7A" w:rsidRPr="003B132A" w14:paraId="5ABD5FC6" w14:textId="77777777" w:rsidTr="00E82BDD">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14:paraId="32FA7D6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92</w:t>
            </w:r>
          </w:p>
        </w:tc>
        <w:tc>
          <w:tcPr>
            <w:tcW w:w="1276" w:type="dxa"/>
            <w:tcBorders>
              <w:top w:val="single" w:sz="4" w:space="0" w:color="auto"/>
              <w:left w:val="nil"/>
              <w:bottom w:val="single" w:sz="4" w:space="0" w:color="auto"/>
              <w:right w:val="single" w:sz="4" w:space="0" w:color="auto"/>
            </w:tcBorders>
            <w:shd w:val="clear" w:color="auto" w:fill="C6EFCE"/>
            <w:noWrap/>
          </w:tcPr>
          <w:p w14:paraId="4EA958F1" w14:textId="03F0AF79" w:rsidR="00AD3F7A" w:rsidRPr="00E02B5D" w:rsidRDefault="00AD3F7A" w:rsidP="00D16F13">
            <w:pPr>
              <w:spacing w:after="0" w:line="240" w:lineRule="auto"/>
              <w:rPr>
                <w:rFonts w:eastAsia="Times New Roman" w:cs="Calibri"/>
                <w:noProof/>
                <w:color w:val="006100"/>
                <w:sz w:val="18"/>
                <w:szCs w:val="18"/>
              </w:rPr>
            </w:pPr>
            <w:r>
              <w:rPr>
                <w:noProof/>
                <w:color w:val="006100"/>
                <w:sz w:val="18"/>
              </w:rPr>
              <w:t>Ühendamine – 16855_Väikesatelliidid</w:t>
            </w:r>
          </w:p>
        </w:tc>
        <w:tc>
          <w:tcPr>
            <w:tcW w:w="992" w:type="dxa"/>
            <w:tcBorders>
              <w:top w:val="single" w:sz="4" w:space="0" w:color="auto"/>
              <w:left w:val="nil"/>
              <w:bottom w:val="single" w:sz="4" w:space="0" w:color="auto"/>
              <w:right w:val="single" w:sz="4" w:space="0" w:color="auto"/>
            </w:tcBorders>
            <w:shd w:val="clear" w:color="auto" w:fill="C6EFCE"/>
            <w:noWrap/>
          </w:tcPr>
          <w:p w14:paraId="51C5F9C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152" w:type="dxa"/>
            <w:tcBorders>
              <w:top w:val="single" w:sz="4" w:space="0" w:color="auto"/>
              <w:left w:val="nil"/>
              <w:bottom w:val="single" w:sz="4" w:space="0" w:color="auto"/>
              <w:right w:val="single" w:sz="4" w:space="0" w:color="auto"/>
            </w:tcBorders>
            <w:shd w:val="clear" w:color="auto" w:fill="C6EFCE"/>
            <w:noWrap/>
          </w:tcPr>
          <w:p w14:paraId="330D2F0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Väikeste satelliitide projekti lõpuleviimine </w:t>
            </w:r>
          </w:p>
        </w:tc>
        <w:tc>
          <w:tcPr>
            <w:tcW w:w="1400" w:type="dxa"/>
            <w:tcBorders>
              <w:top w:val="single" w:sz="4" w:space="0" w:color="auto"/>
              <w:left w:val="nil"/>
              <w:bottom w:val="single" w:sz="4" w:space="0" w:color="auto"/>
              <w:right w:val="single" w:sz="4" w:space="0" w:color="auto"/>
            </w:tcBorders>
            <w:shd w:val="clear" w:color="auto" w:fill="C6EFCE"/>
            <w:noWrap/>
          </w:tcPr>
          <w:p w14:paraId="1BD1D53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Orbiidil toimuvad komisjoni aruanded pärast väikeste satelliitide orbiidile saatmist </w:t>
            </w:r>
          </w:p>
        </w:tc>
        <w:tc>
          <w:tcPr>
            <w:tcW w:w="1134" w:type="dxa"/>
            <w:tcBorders>
              <w:top w:val="single" w:sz="4" w:space="0" w:color="auto"/>
              <w:left w:val="nil"/>
              <w:bottom w:val="single" w:sz="4" w:space="0" w:color="auto"/>
              <w:right w:val="single" w:sz="4" w:space="0" w:color="auto"/>
            </w:tcBorders>
            <w:shd w:val="clear" w:color="auto" w:fill="C6EFCE"/>
            <w:noWrap/>
          </w:tcPr>
          <w:p w14:paraId="5BEC94BD"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584" w:type="dxa"/>
            <w:tcBorders>
              <w:top w:val="single" w:sz="4" w:space="0" w:color="auto"/>
              <w:left w:val="nil"/>
              <w:bottom w:val="single" w:sz="4" w:space="0" w:color="auto"/>
              <w:right w:val="single" w:sz="4" w:space="0" w:color="auto"/>
            </w:tcBorders>
            <w:shd w:val="clear" w:color="auto" w:fill="C6EFCE"/>
            <w:noWrap/>
          </w:tcPr>
          <w:p w14:paraId="1E12EBA2"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33" w:type="dxa"/>
            <w:tcBorders>
              <w:top w:val="single" w:sz="4" w:space="0" w:color="auto"/>
              <w:left w:val="nil"/>
              <w:bottom w:val="single" w:sz="4" w:space="0" w:color="auto"/>
              <w:right w:val="single" w:sz="4" w:space="0" w:color="auto"/>
            </w:tcBorders>
            <w:shd w:val="clear" w:color="auto" w:fill="C6EFCE"/>
            <w:noWrap/>
          </w:tcPr>
          <w:p w14:paraId="56E65894"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68" w:type="dxa"/>
            <w:tcBorders>
              <w:top w:val="single" w:sz="4" w:space="0" w:color="auto"/>
              <w:left w:val="nil"/>
              <w:bottom w:val="single" w:sz="4" w:space="0" w:color="auto"/>
              <w:right w:val="single" w:sz="4" w:space="0" w:color="auto"/>
            </w:tcBorders>
            <w:shd w:val="clear" w:color="auto" w:fill="C6EFCE"/>
            <w:noWrap/>
          </w:tcPr>
          <w:p w14:paraId="5DE0FE7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1276" w:type="dxa"/>
            <w:tcBorders>
              <w:top w:val="single" w:sz="4" w:space="0" w:color="auto"/>
              <w:left w:val="nil"/>
              <w:bottom w:val="single" w:sz="4" w:space="0" w:color="auto"/>
              <w:right w:val="single" w:sz="4" w:space="0" w:color="auto"/>
            </w:tcBorders>
            <w:shd w:val="clear" w:color="auto" w:fill="C6EFCE"/>
            <w:noWrap/>
          </w:tcPr>
          <w:p w14:paraId="1B8F90E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5227" w:type="dxa"/>
            <w:tcBorders>
              <w:top w:val="single" w:sz="4" w:space="0" w:color="auto"/>
              <w:left w:val="nil"/>
              <w:bottom w:val="single" w:sz="4" w:space="0" w:color="auto"/>
              <w:right w:val="single" w:sz="4" w:space="0" w:color="auto"/>
            </w:tcBorders>
            <w:shd w:val="clear" w:color="auto" w:fill="C6EFCE"/>
            <w:noWrap/>
          </w:tcPr>
          <w:p w14:paraId="6DB7783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Katseprojektiga alustatakse rutiinset tegevust ning käivitatakse ja pannakse orbiidile väikeste satelliitide süsteem.</w:t>
            </w:r>
          </w:p>
          <w:p w14:paraId="328B9E96" w14:textId="77777777" w:rsidR="00AD3F7A" w:rsidRPr="00AD4052" w:rsidRDefault="00AD3F7A" w:rsidP="00D16F13">
            <w:pPr>
              <w:spacing w:after="0" w:line="240" w:lineRule="auto"/>
              <w:rPr>
                <w:rFonts w:eastAsia="Times New Roman" w:cs="Calibri"/>
                <w:noProof/>
                <w:color w:val="006100"/>
                <w:sz w:val="18"/>
                <w:szCs w:val="18"/>
                <w:lang w:eastAsia="en-GB"/>
              </w:rPr>
            </w:pPr>
          </w:p>
          <w:p w14:paraId="314FBAC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elluviimist hinnatakse selle tulemuslikkuse alusel (kas väikesed satelliidid toetavad turvalisi telekommunikatsiooniteenuseid koos Maa seire rakendustega kaardistamise, laevanduse, täppispõllumajanduse, ruumilise planeerimise ja muude majandussektorite valdkonnas).</w:t>
            </w:r>
          </w:p>
        </w:tc>
      </w:tr>
      <w:tr w:rsidR="00AD3F7A" w:rsidRPr="003B132A" w14:paraId="42490ED1" w14:textId="77777777" w:rsidTr="00E82BDD">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14:paraId="2E1015F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333</w:t>
            </w:r>
          </w:p>
        </w:tc>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3A27287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5-2.1. Ühendamine – 16844_ üleminek 5G-tehnoloogiale, mis hõlbustab uuenduslike kaugteenuste arendamist</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0B48AD4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152" w:type="dxa"/>
            <w:tcBorders>
              <w:top w:val="single" w:sz="4" w:space="0" w:color="auto"/>
              <w:left w:val="single" w:sz="4" w:space="0" w:color="auto"/>
              <w:bottom w:val="single" w:sz="4" w:space="0" w:color="auto"/>
              <w:right w:val="single" w:sz="4" w:space="0" w:color="auto"/>
            </w:tcBorders>
            <w:shd w:val="clear" w:color="auto" w:fill="C6EFCE"/>
            <w:noWrap/>
          </w:tcPr>
          <w:p w14:paraId="7E2D732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5G tehnoloogiareformi jõustumine</w:t>
            </w:r>
          </w:p>
        </w:tc>
        <w:tc>
          <w:tcPr>
            <w:tcW w:w="1400" w:type="dxa"/>
            <w:tcBorders>
              <w:top w:val="single" w:sz="4" w:space="0" w:color="auto"/>
              <w:left w:val="single" w:sz="4" w:space="0" w:color="auto"/>
              <w:bottom w:val="single" w:sz="4" w:space="0" w:color="auto"/>
              <w:right w:val="single" w:sz="4" w:space="0" w:color="auto"/>
            </w:tcBorders>
            <w:shd w:val="clear" w:color="auto" w:fill="C6EFCE"/>
            <w:noWrap/>
          </w:tcPr>
          <w:p w14:paraId="30A6CB7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Reguleeriva ja õigusraamistiku jõustumine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09D8BEFF"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584" w:type="dxa"/>
            <w:tcBorders>
              <w:top w:val="single" w:sz="4" w:space="0" w:color="auto"/>
              <w:left w:val="single" w:sz="4" w:space="0" w:color="auto"/>
              <w:bottom w:val="single" w:sz="4" w:space="0" w:color="auto"/>
              <w:right w:val="single" w:sz="4" w:space="0" w:color="auto"/>
            </w:tcBorders>
            <w:shd w:val="clear" w:color="auto" w:fill="C6EFCE"/>
            <w:noWrap/>
          </w:tcPr>
          <w:p w14:paraId="5B23EE8A"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833" w:type="dxa"/>
            <w:tcBorders>
              <w:top w:val="single" w:sz="4" w:space="0" w:color="auto"/>
              <w:left w:val="single" w:sz="4" w:space="0" w:color="auto"/>
              <w:bottom w:val="single" w:sz="4" w:space="0" w:color="auto"/>
              <w:right w:val="single" w:sz="4" w:space="0" w:color="auto"/>
            </w:tcBorders>
            <w:shd w:val="clear" w:color="auto" w:fill="C6EFCE"/>
            <w:noWrap/>
          </w:tcPr>
          <w:p w14:paraId="0C82FCED"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C6EFCE"/>
            <w:noWrap/>
          </w:tcPr>
          <w:p w14:paraId="182DCCF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3. kv</w:t>
            </w:r>
          </w:p>
        </w:tc>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301BFFE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2024</w:t>
            </w:r>
          </w:p>
        </w:tc>
        <w:tc>
          <w:tcPr>
            <w:tcW w:w="5227" w:type="dxa"/>
            <w:tcBorders>
              <w:top w:val="single" w:sz="4" w:space="0" w:color="auto"/>
              <w:left w:val="single" w:sz="4" w:space="0" w:color="auto"/>
              <w:bottom w:val="single" w:sz="4" w:space="0" w:color="auto"/>
              <w:right w:val="single" w:sz="4" w:space="0" w:color="auto"/>
            </w:tcBorders>
            <w:shd w:val="clear" w:color="auto" w:fill="C6EFCE"/>
            <w:noWrap/>
          </w:tcPr>
          <w:p w14:paraId="3D3556A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Ametlikus väljaandes nr 4727/2020 avaldatud seadusemuudatusel põhinevate teiseste õigusaktide jõustumine, artiklid 92 ja 107 (punktid 61, 62 ja 63), milles määratakse kindlaks 5G spektri eraldamise protsess katseprojektideks Phaistose fondi või/või ülikoolide üksuste kaudu, sealhulgas 5G-võrkude arendamise täiendavate võimaluste ja riskide kindlakstegemise protsess, menetluste ühtlustamine ning konkreetsete majanduslike rakendustega seotud nõuete ja riskide hindamine.</w:t>
            </w:r>
          </w:p>
        </w:tc>
      </w:tr>
      <w:tr w:rsidR="00AD3F7A" w:rsidRPr="003B132A" w14:paraId="22282A31" w14:textId="77777777" w:rsidTr="00E82BDD">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14:paraId="07CA47D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334</w:t>
            </w:r>
          </w:p>
        </w:tc>
        <w:tc>
          <w:tcPr>
            <w:tcW w:w="1276" w:type="dxa"/>
            <w:tcBorders>
              <w:top w:val="single" w:sz="4" w:space="0" w:color="auto"/>
              <w:left w:val="nil"/>
              <w:bottom w:val="single" w:sz="4" w:space="0" w:color="auto"/>
              <w:right w:val="single" w:sz="4" w:space="0" w:color="auto"/>
            </w:tcBorders>
            <w:shd w:val="clear" w:color="auto" w:fill="C6EFCE"/>
            <w:noWrap/>
          </w:tcPr>
          <w:p w14:paraId="7632A36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16857_Gigabiti lairibaühenduse vahetamine – üleminek gigabiti lairibaühendusele ja gigabiti lairibaühenduse nõudluse suurendamine</w:t>
            </w:r>
          </w:p>
        </w:tc>
        <w:tc>
          <w:tcPr>
            <w:tcW w:w="992" w:type="dxa"/>
            <w:tcBorders>
              <w:top w:val="single" w:sz="4" w:space="0" w:color="auto"/>
              <w:left w:val="nil"/>
              <w:bottom w:val="single" w:sz="4" w:space="0" w:color="auto"/>
              <w:right w:val="single" w:sz="4" w:space="0" w:color="auto"/>
            </w:tcBorders>
            <w:shd w:val="clear" w:color="auto" w:fill="C6EFCE"/>
            <w:noWrap/>
          </w:tcPr>
          <w:p w14:paraId="0FB364E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152" w:type="dxa"/>
            <w:tcBorders>
              <w:top w:val="single" w:sz="4" w:space="0" w:color="auto"/>
              <w:left w:val="nil"/>
              <w:bottom w:val="single" w:sz="4" w:space="0" w:color="auto"/>
              <w:right w:val="single" w:sz="4" w:space="0" w:color="auto"/>
            </w:tcBorders>
            <w:shd w:val="clear" w:color="auto" w:fill="C6EFCE"/>
            <w:noWrap/>
          </w:tcPr>
          <w:p w14:paraId="7033050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Switchi ja gigabiti lairibaühenduse reformi jõustumine</w:t>
            </w:r>
          </w:p>
        </w:tc>
        <w:tc>
          <w:tcPr>
            <w:tcW w:w="1400" w:type="dxa"/>
            <w:tcBorders>
              <w:top w:val="single" w:sz="4" w:space="0" w:color="auto"/>
              <w:left w:val="nil"/>
              <w:bottom w:val="single" w:sz="4" w:space="0" w:color="auto"/>
              <w:right w:val="single" w:sz="4" w:space="0" w:color="auto"/>
            </w:tcBorders>
            <w:shd w:val="clear" w:color="auto" w:fill="C6EFCE"/>
            <w:noWrap/>
          </w:tcPr>
          <w:p w14:paraId="7053C05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Õigusraamistiku jõustumine</w:t>
            </w:r>
          </w:p>
        </w:tc>
        <w:tc>
          <w:tcPr>
            <w:tcW w:w="1134" w:type="dxa"/>
            <w:tcBorders>
              <w:top w:val="single" w:sz="4" w:space="0" w:color="auto"/>
              <w:left w:val="nil"/>
              <w:bottom w:val="single" w:sz="4" w:space="0" w:color="auto"/>
              <w:right w:val="single" w:sz="4" w:space="0" w:color="auto"/>
            </w:tcBorders>
            <w:shd w:val="clear" w:color="auto" w:fill="C6EFCE"/>
            <w:noWrap/>
          </w:tcPr>
          <w:p w14:paraId="5806C6CF"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584" w:type="dxa"/>
            <w:tcBorders>
              <w:top w:val="single" w:sz="4" w:space="0" w:color="auto"/>
              <w:left w:val="nil"/>
              <w:bottom w:val="single" w:sz="4" w:space="0" w:color="auto"/>
              <w:right w:val="single" w:sz="4" w:space="0" w:color="auto"/>
            </w:tcBorders>
            <w:shd w:val="clear" w:color="auto" w:fill="C6EFCE"/>
            <w:noWrap/>
          </w:tcPr>
          <w:p w14:paraId="1705E11F"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833" w:type="dxa"/>
            <w:tcBorders>
              <w:top w:val="single" w:sz="4" w:space="0" w:color="auto"/>
              <w:left w:val="nil"/>
              <w:bottom w:val="single" w:sz="4" w:space="0" w:color="auto"/>
              <w:right w:val="single" w:sz="4" w:space="0" w:color="auto"/>
            </w:tcBorders>
            <w:shd w:val="clear" w:color="auto" w:fill="C6EFCE"/>
            <w:noWrap/>
          </w:tcPr>
          <w:p w14:paraId="579A27A5"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868" w:type="dxa"/>
            <w:tcBorders>
              <w:top w:val="single" w:sz="4" w:space="0" w:color="auto"/>
              <w:left w:val="nil"/>
              <w:bottom w:val="single" w:sz="4" w:space="0" w:color="auto"/>
              <w:right w:val="single" w:sz="4" w:space="0" w:color="auto"/>
            </w:tcBorders>
            <w:shd w:val="clear" w:color="auto" w:fill="C6EFCE"/>
            <w:noWrap/>
          </w:tcPr>
          <w:p w14:paraId="4FEFC66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kv</w:t>
            </w:r>
          </w:p>
        </w:tc>
        <w:tc>
          <w:tcPr>
            <w:tcW w:w="1276" w:type="dxa"/>
            <w:tcBorders>
              <w:top w:val="single" w:sz="4" w:space="0" w:color="auto"/>
              <w:left w:val="nil"/>
              <w:bottom w:val="single" w:sz="4" w:space="0" w:color="auto"/>
              <w:right w:val="single" w:sz="4" w:space="0" w:color="auto"/>
            </w:tcBorders>
            <w:shd w:val="clear" w:color="auto" w:fill="C6EFCE"/>
            <w:noWrap/>
          </w:tcPr>
          <w:p w14:paraId="3C9C032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2024</w:t>
            </w:r>
          </w:p>
        </w:tc>
        <w:tc>
          <w:tcPr>
            <w:tcW w:w="5227" w:type="dxa"/>
            <w:tcBorders>
              <w:top w:val="single" w:sz="4" w:space="0" w:color="auto"/>
              <w:left w:val="nil"/>
              <w:bottom w:val="single" w:sz="4" w:space="0" w:color="auto"/>
              <w:right w:val="single" w:sz="4" w:space="0" w:color="auto"/>
            </w:tcBorders>
            <w:shd w:val="clear" w:color="auto" w:fill="C6EFCE"/>
            <w:noWrap/>
          </w:tcPr>
          <w:p w14:paraId="483130C1" w14:textId="77777777" w:rsidR="00AD3F7A" w:rsidRPr="00E02B5D" w:rsidRDefault="00AD3F7A" w:rsidP="00D16F13">
            <w:pPr>
              <w:pStyle w:val="xmsonormal"/>
              <w:rPr>
                <w:rFonts w:eastAsia="Times New Roman" w:cs="Calibri"/>
                <w:noProof/>
                <w:color w:val="006100"/>
                <w:sz w:val="18"/>
                <w:szCs w:val="18"/>
              </w:rPr>
            </w:pPr>
            <w:r>
              <w:rPr>
                <w:rFonts w:ascii="Calibri" w:hAnsi="Calibri"/>
                <w:noProof/>
                <w:color w:val="006100"/>
                <w:sz w:val="18"/>
              </w:rPr>
              <w:t xml:space="preserve">Jõustub õigusraamistik, milles määratakse kindlaks tehnilised kirjeldused ning asjakohased eeskirjad ja menetlused sellise hoonesisese lairibataristu kasutuselevõtuks, mis suudab pakkuda gigabitiühenduvust lõppkasutajatele. </w:t>
            </w:r>
          </w:p>
        </w:tc>
      </w:tr>
    </w:tbl>
    <w:p w14:paraId="1CCB4232" w14:textId="77777777" w:rsidR="00AD3F7A" w:rsidRPr="00AD4052" w:rsidRDefault="00AD3F7A" w:rsidP="00645BC7">
      <w:pPr>
        <w:spacing w:before="120" w:after="120" w:line="240" w:lineRule="auto"/>
        <w:ind w:left="709"/>
        <w:jc w:val="both"/>
        <w:rPr>
          <w:rFonts w:ascii="Times New Roman" w:hAnsi="Times New Roman" w:cs="Times New Roman"/>
          <w:noProof/>
          <w:sz w:val="24"/>
          <w:szCs w:val="24"/>
        </w:rPr>
        <w:sectPr w:rsidR="00AD3F7A" w:rsidRPr="00AD4052" w:rsidSect="00271D33">
          <w:headerReference w:type="even" r:id="rId128"/>
          <w:headerReference w:type="default" r:id="rId129"/>
          <w:footerReference w:type="even" r:id="rId130"/>
          <w:footerReference w:type="default" r:id="rId131"/>
          <w:headerReference w:type="first" r:id="rId132"/>
          <w:footerReference w:type="first" r:id="rId133"/>
          <w:pgSz w:w="16839" w:h="11907" w:orient="landscape"/>
          <w:pgMar w:top="1417" w:right="1134" w:bottom="1417" w:left="1134" w:header="709" w:footer="359" w:gutter="0"/>
          <w:cols w:space="720"/>
          <w:docGrid w:linePitch="360"/>
        </w:sectPr>
      </w:pPr>
    </w:p>
    <w:p w14:paraId="3CB741AB" w14:textId="77777777" w:rsidR="00AD3F7A" w:rsidRPr="00E02B5D" w:rsidRDefault="00AD3F7A"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F. KOMPONENT 2.2. MODERNISEERIMINE</w:t>
      </w:r>
    </w:p>
    <w:p w14:paraId="5D5F1E3A"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komponendi „Moderniseerimine“ eesmärk on ajakohastada avalikku haldust, parandades selle tegevusmudelit ning tagades kodanikele ja ettevõtjatele kvaliteetsed teenused. Avaliku halduse digitaalse tulemuslikkuse parandamiseks tehtavate jõupingutuste kiirendamine kiirendab selle eesmärgi saavutamist. Reformid ja investeeringute eesmärk: a) avaliku sektori organisatsioonide digiüleminek, sealhulgas arhiivide digiteerimine ja täiustatud digiteenused; b) äriprotsesside parandamine, millele järgneb nüüdisaegsete IT-süsteemide kaasamine; c) süsteemide ja andmete suurem koostalitlusvõime; d) laiaulatuslikud küberjulgeoleku ja andmehalduse strateegiad ja poliitika; ning e) kõrgtasemel tehnoloogiate, nagu pilvandmetöötlus, tehisintellekt ja suurandmed, laialdasem kasutamine.</w:t>
      </w:r>
    </w:p>
    <w:p w14:paraId="2517807F"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Komponendi eesmärk on tegeleda avaliku halduse ajakohastamise ja digitaliseerimise probleemiga, ühtlustades ja lihtsustades samal ajal ka selle peamisi protsesse ja menetlusi. See toetab avaliku ja erasektori investeeringuid käsitleva riigipõhise soovituse (riigipõhised soovitused 3/2020 ja 2/2019) elluviimist, parandades avaliku halduse tõhusust ja digiteerimist.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11A9516B" w14:textId="77777777" w:rsidR="00AD3F7A" w:rsidRPr="00E02B5D" w:rsidRDefault="00AD3F7A" w:rsidP="00645BC7">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F.1. </w:t>
      </w:r>
      <w:r>
        <w:rPr>
          <w:noProof/>
        </w:rPr>
        <w:tab/>
      </w:r>
      <w:r>
        <w:rPr>
          <w:rFonts w:ascii="Times New Roman" w:hAnsi="Times New Roman"/>
          <w:b/>
          <w:noProof/>
          <w:sz w:val="24"/>
          <w:u w:val="single"/>
        </w:rPr>
        <w:t>Tagastamatu rahalise toetusega seotud reformide ja investeeringute kirjeldus</w:t>
      </w:r>
    </w:p>
    <w:p w14:paraId="27A54213"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Avaliku halduse kliendikesksete teenuste suunas protsesside lihtsustamise ja parandamise, süsteemide täiustamise ning Euroopa strateegiate ja poliitika järgimise kaudu (meetme ID 16929)</w:t>
      </w:r>
    </w:p>
    <w:p w14:paraId="09E4A254"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pakkuda Kreeka kodanikele ja ettevõtjatele kasutajakeskseid teenuseid ning parandada Kreeka avaliku halduse sisemist toimimist. Reform hõlmab halduskoormuse vähendamise keskpika perioodi strateegia rakendamist ja kliendikesksete teenuste loomist avalikus halduses ning riikliku protsessi lihtsustamise programmi rakendamist, sealhulgas riikliku menetlusregistri loomist ning reguleerimise mõju jälgimise vaatluskeskuse ja riikliku menetlusregistri (Mitos) täielikku loomist. Reform hõlmab järgmiste meetmete lihtsustamist/digiteerimist: mõju hindamise protsessid, kodakondsuse taotlemine, füüsilisest isikust ettevõtjate asutamine, kodanike elusündmustega, sealhulgas sünni, surma ja lahutusega seotud menetluste lihtsustamine, juristidega seotud kohtumenetluste lihtsustamine, kohtuotsused, digitaalallkirjad, kohtute väljastatud tunnistused, juhiloa uuendamine ja myfoto.gov.gr toimimine ning dokumentide elektrooniline ringlus avalikus halduses. Peamised reformiprioriteedid hõlmavad ka riigihankemenetlusi, igat liiki ettevõtete asutamise nõudeid ja registreerimisjärgseid protsesse, sotsiaalkindlustus- ja maksutaotlusi ning muud tööhõivega seotud menetlusi, finantsjuhtimise planeerimis-, makse- ja järelevalveprotsesse. Reformi rakendamine viiakse lõpule 31. detsembriks 2025.</w:t>
      </w:r>
    </w:p>
    <w:p w14:paraId="233438AC"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Arhiivide ja nendega seotud teenuste digiteerimine (meetme ID 16778)</w:t>
      </w:r>
    </w:p>
    <w:p w14:paraId="67EDD2C1" w14:textId="77777777" w:rsidR="00486DC4" w:rsidRDefault="00AD3F7A" w:rsidP="00645BC7">
      <w:pPr>
        <w:spacing w:before="120" w:after="120" w:line="240" w:lineRule="auto"/>
        <w:jc w:val="both"/>
        <w:rPr>
          <w:rFonts w:ascii="Times New Roman" w:hAnsi="Times New Roman"/>
          <w:noProof/>
          <w:sz w:val="24"/>
        </w:rPr>
      </w:pPr>
      <w:r>
        <w:rPr>
          <w:rFonts w:ascii="Times New Roman" w:hAnsi="Times New Roman"/>
          <w:noProof/>
          <w:sz w:val="24"/>
        </w:rPr>
        <w:t xml:space="preserve">Investeering seisneb eri sektorite (õigus, tervishoid, riigi üldarhiivid, linnaplaneerimine, sundvõõrandamine, kataster, sisserände- ja varjupaigaküsimused, merendusküsimused) peamiste arhiivide digiteerimises ja asjaomastesse IT-süsteemidesse integreerimises ning avaliku sektori ja laiema avaliku sektori arhiivide turvalise säilitamise katselises rakendamises (kokku üheksa allprojekti). </w:t>
      </w:r>
    </w:p>
    <w:p w14:paraId="0ACF9941" w14:textId="77777777" w:rsidR="00486DC4" w:rsidRDefault="00486DC4">
      <w:pPr>
        <w:rPr>
          <w:rFonts w:ascii="Times New Roman" w:hAnsi="Times New Roman"/>
          <w:noProof/>
          <w:sz w:val="24"/>
        </w:rPr>
      </w:pPr>
      <w:r>
        <w:rPr>
          <w:noProof/>
        </w:rPr>
        <w:br w:type="page"/>
      </w:r>
    </w:p>
    <w:p w14:paraId="256EF541" w14:textId="29BB203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Kõnealused allprojektid hõlmavad eelkõige digiteerimist ja muid vajalikke meetmeid seoses järgmiste arhiividega: 1) kohtusüsteemi 300 000 000 füüsilist lehekülge, 2) 190 000 000 füüsilist lehekülge riikliku tervishoiusüsteemi tervisekaardi ja piltuuringuid, 3) riigi üldarhiivi 55 000 000 lehekülge kesk- ja kohalike asutuste jaoks, 4) 61 500 000 füüsilist lehekülge sisserände- ja varjupaigasüsteemist, 5) 4 300 000 füüsilist lehekülge ja sundvõõrandamise plaane, 6) 43 000 000 füüsilist lehekülge ehituslubadest ja plaanidest ning metaandmete ja geokodeerimise loomist linnaplaneerimisasutuste 170 000 000 toimiku jaoks; 7a) 600 000 000 materiaalset lehekülge kinnisvaranimetustest ja vastavatest dokumentidest katastri hüpoteegibüroodes ning 7 b) Cadastre’i täiustatud teenuste rakendamine 8) 7 000 000 füüsilist merendust käsitlevat lehekülge ja 9) katseline rakendamine 1 440 000 failikastides, mis sisaldavad füüsilisi faile muudes avaliku sektori arhiivides. See on oluline investeering tõhusamasse avalikku haldusse. Selle eesmärk on vähendada avaliku halduse poolt üldsusele teenuste osutamise ajakulu, samal ajal kui arhiividele parema juurdepääsu eesmärk on ka märkimisväärne kulude kokkuhoid ja ressursside vabanemine. Investeeringu rakendamine viiakse lõpule 31. detsembriks 2025.</w:t>
      </w:r>
    </w:p>
    <w:p w14:paraId="2CC37F21"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Kliendihaldustarkvara (kliendisuhete haldus) – valitsemissektor (meetme ID 16810)</w:t>
      </w:r>
    </w:p>
    <w:p w14:paraId="62F0D786"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Investeeringud on seotud integreeritud süsteemi kavandamise, arendamise, rakendamise ja toimimisega, et hallata kogu avaliku halduse suhet kodanike ja ettevõtjatega. Projektiga suurendatakse avaliku halduse olemasolevat suutlikkust jälgida selle koostoimet ja tehinguid kodanike ja ettevõtjatega. Süsteem kasutab kodanike ja ettevõtjate kogutud teavet, et muuta lähenemisviis personaalseks ja edendada teenuste kõrgemat taset. Investeering hõlmab a) integratsiooni- ja koostalitlusvõime teenuseid kaasaegse tarkvara kavandamise ja arendamise metoodikate vastuvõtmise kaudu, b) juurdepääsu teenuseid toetavale mehhanismile, mis on vahend madalkoodiga tehnoloogial põhinevate uute rakenduste väljatöötamiseks; c) kliendisuhete haldamise (CRM) platvorm, mis kogub ja haldab kõiki teenindatavate kodanike andmeid ning korraldab äriprotsesside läbiviimist, olenemata algatamise teenusest d) kodanike konsensuse haldamise süsteemist elektroonilistele teenustele juurdepääsuks) kontaktkeskuse teenused; kodanike ja ettevõtjate teenuse osutamisel kasutatakse traditsioonilisi kanaleid, näiteks kõnekeskusi, aga ka tänapäevaseid kanaleid, nagu veebivormid, sotsiaalmeedia, sõnumirakendused, telekonverentsirakendused, e) teadmiste vahetamise platvormi digiplatvormi täiustamine ja selle ühendamine kodanike ühtse kohtuasjade haldamise süsteemiga, kõnekeskus ja gov.gr f) „klientide“ füüsilise kohalolekuga seotud protsesside ja teenuste lihtsustamine ja täiustamine olemasoleva MyKEPlive taristu laiendamise ja selle integreerimisega füüsilise kohalviibimise aegade kavandamise süsteemiga. Investeeringu rakendamine viiakse lõpule 31. detsembriks 2024.</w:t>
      </w:r>
    </w:p>
    <w:p w14:paraId="4C8914E8"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Avaliku halduse one-stop-shop-süsteemide edasine ajakohastamine (meetme ID 16780)</w:t>
      </w:r>
    </w:p>
    <w:p w14:paraId="41F3F155" w14:textId="0A5045D8"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seisneb kodanike teeninduskeskuste (KEP) edasises ajakohastamises nende taristu ja välisseadmete ajakohastamise kaudu ning uute telekonverentsiseadmete ja uute rakenduste paigaldamises, mis ühilduvad kaasaegse digitaalse töökohaga (hindamissüsteemid, mobiilirakendused, piletiautomaadid, järjekorrahaldus ja arukad teavitussüsteemid). Investeering hõlmab järgmist: a) olemasolevate tehnoloogiliste seadmete ajakohastamine, b)</w:t>
      </w:r>
      <w:r w:rsidR="00311B3A">
        <w:rPr>
          <w:rFonts w:ascii="Times New Roman" w:hAnsi="Times New Roman"/>
          <w:noProof/>
          <w:sz w:val="24"/>
        </w:rPr>
        <w:t> </w:t>
      </w:r>
      <w:r>
        <w:rPr>
          <w:rFonts w:ascii="Times New Roman" w:hAnsi="Times New Roman"/>
          <w:noProof/>
          <w:sz w:val="24"/>
        </w:rPr>
        <w:t>modernne järjekorrahaldus ja arukad teavitussüsteemid, c) kliendi (kodaniku) hindamise süsteemid. Investeeringu rakendamine viiakse lõpule 31. detsembriks 2024.</w:t>
      </w:r>
    </w:p>
    <w:p w14:paraId="2D17275E" w14:textId="77777777" w:rsidR="00486DC4" w:rsidRDefault="00486DC4">
      <w:pPr>
        <w:rPr>
          <w:rFonts w:ascii="Times New Roman" w:hAnsi="Times New Roman"/>
          <w:b/>
          <w:noProof/>
          <w:sz w:val="24"/>
        </w:rPr>
      </w:pPr>
      <w:r>
        <w:rPr>
          <w:noProof/>
        </w:rPr>
        <w:br w:type="page"/>
      </w:r>
    </w:p>
    <w:p w14:paraId="467E16AE" w14:textId="5936F9BA"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Uus riigihangete süsteem (meetme ID 16736)</w:t>
      </w:r>
    </w:p>
    <w:p w14:paraId="6E38F204" w14:textId="224312C1"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Investeeringud on seotud uue riigihangete IT-süsteemi ümberkujundamise ja rakendamisega. Investeering seisneb kogu riigihangete äri- ja funktsionaalse olelusringi digiteerimises ja integreerimises, koostalitlusvõime teenuste ajakohastamises, täiustatud riigihankemeetodite ja -vahendite integreerimises digitaalteenustena (e-kauplused ja e-turud) ning IKT-toes riiklikule kesksele tervishoiuhangete ametile (EKAPY). Investeering hõlmab järgmist: a) portaali www.eprocurement.gov.gr ümberkujundamine ja rikastamine; b) hangetes kasutatavad ulatuslikud täiendused ja kohandamised; c) riigihangete elektroonilise keskregistri (KIMDIS) reformimine, ümberkorraldamine ja rikastamine, statistiliste andmete väljavõtmise süsteemide ajakohastamine ja laiendamine ning nende edasine statistiline töötlemine; d) elektroonilise riigihankesüsteemi (ESIDIS) laienduste konfigureerimine ja rakendamine, et toetada uusi strateegiaid ja äriprotsesse riigihangete valdkonnas elektrooniliste vahendite abil; e) juba rakendatud koostalitlusvõime alaste teenuste tõhustamine ja andmevahetust käsitlevate uute teenuste rakendamine;  f) elektroonilise koostalitlusvõime teenused koos gov.gr-i, pädevate asutuste ja pangandusorganisatsioonidega, et integreerida süsteemi abil elektrooniliste dokumentide ja muude andmete digitaalse allkirjastamise võimalused ning tagada non-repudation-põhimõtte järgimine; süsteemi andmebaasides säilitatavate andmete krüpteerimise mehhanismi rakendamine, et vältida Euroopa hoiuste tagamise skeemi ja G-Cloud-teenuste administraatorite pahatahtlikke tegusid;  h) uus turvauuring ja süsteemi täiendamine ja/või muutmine, et suurendada süsteemi turvalisust, sertifitseerimist ja sekkumist süsteemi turvalisuse suurendamiseks, et seda sertifitseerida sõltumatu julgeolekuhinnanguga; i)</w:t>
      </w:r>
      <w:r w:rsidR="0054400C">
        <w:rPr>
          <w:rFonts w:ascii="Times New Roman" w:hAnsi="Times New Roman"/>
          <w:noProof/>
          <w:sz w:val="24"/>
        </w:rPr>
        <w:t> </w:t>
      </w:r>
      <w:r>
        <w:rPr>
          <w:rFonts w:ascii="Times New Roman" w:hAnsi="Times New Roman"/>
          <w:noProof/>
          <w:sz w:val="24"/>
        </w:rPr>
        <w:t>riigihangete kavandamise süsteemi parandamine ja taaskäivitamine riigihangete ja tsentraliseeritud hankemenetluste laiemaks toetamiseks elektrooniliste kataloogide abil; j)</w:t>
      </w:r>
      <w:r w:rsidR="0054400C">
        <w:rPr>
          <w:rFonts w:ascii="Times New Roman" w:hAnsi="Times New Roman"/>
          <w:noProof/>
          <w:sz w:val="24"/>
        </w:rPr>
        <w:t> </w:t>
      </w:r>
      <w:r>
        <w:rPr>
          <w:rFonts w:ascii="Times New Roman" w:hAnsi="Times New Roman"/>
          <w:noProof/>
          <w:sz w:val="24"/>
        </w:rPr>
        <w:t>ettevõtjate toetustaotluste lisamine: pakkumuste otsingutaotluste, hankeprotsessides osalemist käsitlevate ajalooliste ja statistiliste andmete, tarnijate ja avaliku sektori hankijate teabe- ja sideallsüsteemide rikastamise, küsimuste esitamise ja probleemidest teatamise piletisüsteemi, vaidluste lahendamise või kasutajatoe vahendi rikastamine; k) virtuaalsete assistentide suutlikkuse suurendamine, et igaüks, kes on huvitatud, saaks esitada küsimusi loomulikus keeles; l) elektroonilise failide arhiveerimissüsteemi (ESIDIS – KIMDIS) lisamine, mis vastab elektroonilisi faile käsitleva õigusraamistiku sätetele; m) koolitusmaterjalide koostamine ja reklaamimeetmed; n) tehnilise abi ja projektide järelevalveteenused; o) uuring, milles hinnatakse olemasolevate e-riigihangete vahendite võimalusi ja tõhusust ning nende valikut või ajakohastamist või asendamist uute ja tõhusamate vahenditega; p) ehitusteabe modelleerimine (BIM); q) info- ja kommunikatsioonitehnoloogia toetus riiklikule kesksele tervishoiuhangete ametile (EKAPY). Investeeringu rakendamine viiakse lõpule 31.</w:t>
      </w:r>
      <w:r w:rsidR="0054400C">
        <w:rPr>
          <w:rFonts w:ascii="Times New Roman" w:hAnsi="Times New Roman"/>
          <w:noProof/>
          <w:sz w:val="24"/>
        </w:rPr>
        <w:t> </w:t>
      </w:r>
      <w:r>
        <w:rPr>
          <w:rFonts w:ascii="Times New Roman" w:hAnsi="Times New Roman"/>
          <w:noProof/>
          <w:sz w:val="24"/>
        </w:rPr>
        <w:t>detsembriks 2025.</w:t>
      </w:r>
    </w:p>
    <w:p w14:paraId="19A9775F"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Välisministeeriumi digiüleminek (meetme ID 16742)</w:t>
      </w:r>
    </w:p>
    <w:p w14:paraId="09C7A099" w14:textId="023341DF" w:rsidR="00486DC4" w:rsidRPr="0054400C" w:rsidRDefault="00AD3F7A" w:rsidP="0054400C">
      <w:pPr>
        <w:spacing w:before="120" w:after="120" w:line="240" w:lineRule="auto"/>
        <w:jc w:val="both"/>
        <w:rPr>
          <w:rFonts w:ascii="Times New Roman" w:hAnsi="Times New Roman" w:cs="Times New Roman"/>
          <w:noProof/>
          <w:sz w:val="24"/>
        </w:rPr>
      </w:pPr>
      <w:r>
        <w:rPr>
          <w:rFonts w:ascii="Times New Roman" w:hAnsi="Times New Roman"/>
          <w:noProof/>
          <w:sz w:val="24"/>
        </w:rPr>
        <w:t>Investeeringu eesmärk on ajakohastada välisministeeriumi, laiendades selle tegevuse ja IT-taristu digiteerimist. Investeering koosneb järgmisest: a) makromajandusliku finantsabi protsesside standardimine, mis tagab strateegilise ja operatiivse planeerimise elujõulisuse ja seega selle edukuse; b) aidata kaasa makromajandusliku finantsabi tööulatuse laiemale edendamisele ja selle vahendite parimale võimalikule kasutamisele, viies need kooskõlla selle eesmärkidega c) tagada võimalikult kiiresti otsene juurdepääs teabele, kasutades tipptasemel tehisintellekti vahenditel põhinevat semantilist otsingutuge; d) luua juurdepääsetav ja oluline arhiiviandmebaas ja teabekeskus tõhusate haldusülesannete täitmiseks ning katta välisministeeriumi vajadused, et võimaldada tal tõhusamalt rakendada avalikku ja majandusdiplomaatiat; e) ajakohastada välisministeeriumi krüpto-, IT- ja telekommunikatsiooni turvalisuse infrastruktuuri selle digiülemineku raames. Investeeringu rakendamine viiakse lõpule 30. juuniks 2025.</w:t>
      </w:r>
      <w:r w:rsidR="00486DC4">
        <w:rPr>
          <w:noProof/>
        </w:rPr>
        <w:br w:type="page"/>
      </w:r>
    </w:p>
    <w:p w14:paraId="7F5EFD94" w14:textId="6C4E0FF8"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Digioskuste täiendamise programmid ajateenijatele (meetme ID 16826)</w:t>
      </w:r>
    </w:p>
    <w:p w14:paraId="7A331684"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Investeeringuga integreeritakse digitaaloskuste koolitusprogramm ja sertifitseerimine kohustuslikku sõjaväeteenistusse. Eesmärk on kasutada ära ajateenijate tööaega, et anda tänapäeva relvajõududes ja tööturul vajalikke digitaaloskusi. Selle investeeringu rakendamine toimub kodanike digiakadeemia platvormi ajakohastamise ja laiendamise kaudu ning hõlmab järgmist: a) ajateenijate personaalne juurdepääs koolitusportaalile, millel on tugevad küberturvalisuse mehhanismid ja küberrünnakute tõkestamine, ning tõhustatud isikuandmete kaitse arhitektuur b) ajateenija elektroonilise portfelli (e-portfelli) konfigureerimine, milles kajastub tema haridusprofiil koos tema olemasolevate kvalifikatsioonidega c) digioskuste koolitusprogrammide arendamine ja konfiguratsioon d) enesehindamisvahendi arendamine ja kasutamine) 50 000 tahvelarvuti hankimine ja andmine ajateenijatele digioskuste Euroopa ja riiklikul raamistikul põhineva õppe ajaks. Investeeringu rakendamine viiakse lõpule 30. juuniks 2025. </w:t>
      </w:r>
    </w:p>
    <w:p w14:paraId="14F3BA9F"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Kreeka riikliku turismiorganisatsiooni digitaalne ümberkujundamine (meetme ID 16791)</w:t>
      </w:r>
    </w:p>
    <w:p w14:paraId="654B1231"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Investeeringud seisnevad Kreeka riikliku turismiorganisatsiooni digitaalse suutlikkuse arendamises, milleks on digitaalse turismi kaart, Kreeka kultuuriväärtuste digitaalne hoidla ning uuenduslik süsteem, mis pakub turistidele ja kodanikele teavet, kasutades teise põlvkonna tehisintellekti tehnoloogiat. Investeering hõlmab a) sellise platvormi (digitaalse turismikaardi) väljatöötamist, kus külastajal on võimalik saada teavet linna või saare turismitoote eriomaduste kohta, nii et võimalik külastaja saaks seda platvormi kasutades märkimisväärse teabeallika oma eelistatavate kogemuste ja huvide kohta; b) edendusvahendite loomist, nagu digitaalsed rakendused, veebisaidid ja edendustegevus, ning andmekogu, mis toimib ka raamatukoguna; võimaldada sihtkohtadel ja nende peamistel sidusrühmadel ellu viia hästi kavandatud ja kestlikke müügiedendusstrateegiaid; c) töötada välja uuenduslik süsteem turistide teavitamiseks, mis sisaldaks teavet – infokioskid koos puuteekraanidega peamistes keskustes ning kaardid ajalooliste, geograafiliste ja kultuurikihtidega, sealhulgas kõik kultuurivarad ja -tegevused, mis on kergesti kättesaadavad mobiilirakenduse kaudu. Investeering viiakse lõpule 30. juuniks 2025.</w:t>
      </w:r>
    </w:p>
    <w:p w14:paraId="0C05D6FE"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Avaliku sektori küberjulgeoleku strateegia ja poliitika kõrgetasemelised turvateenused riiklikele elutähtsatele taristutele (meetme ID 16823)</w:t>
      </w:r>
    </w:p>
    <w:p w14:paraId="5715850C"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 hõlmab küberjulgeoleku strateegia ja küberturvalisuse poliitikameetmete kogumi väljatöötamist ja rakendamist, mille eesmärk on suurendada avaliku sektori süsteemide ja andmete või teabe usaldusväärsust ja turvalisust ning kodanike usaldust avaliku sektoriga suhtlemise vastu. Lisaks hõlmab reform riikliku küberturvalisuse operatsioonide keskuse (SOC) rakendamist ning kõrgetasemeliste turvateenuste (SOC ja DDoS) osutamist elutähtsas G-Cloud-taristus, mille eesmärk on süstemaatiliselt ja pidevalt parandada julgeolekut ja piirata küberturvalisusega seotud ohte avaliku sektori kesksetele taristutele ja nende kaudu toimivatele infosüsteemidele. Reformi rakendamine viiakse lõpule 31. detsembriks 2024. </w:t>
      </w:r>
    </w:p>
    <w:p w14:paraId="6F9DEEBB"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Koostalitlusvõime ja veebiteenuste arendamine (meetme ID 16779)</w:t>
      </w:r>
    </w:p>
    <w:p w14:paraId="0306A230" w14:textId="3088BB9E" w:rsidR="00486DC4" w:rsidRDefault="00AD3F7A" w:rsidP="00486DC4">
      <w:pPr>
        <w:spacing w:before="120" w:after="120" w:line="240" w:lineRule="auto"/>
        <w:jc w:val="both"/>
        <w:rPr>
          <w:rFonts w:ascii="Times New Roman" w:hAnsi="Times New Roman"/>
          <w:noProof/>
          <w:sz w:val="24"/>
        </w:rPr>
      </w:pPr>
      <w:r>
        <w:rPr>
          <w:rFonts w:ascii="Times New Roman" w:hAnsi="Times New Roman"/>
          <w:noProof/>
          <w:sz w:val="24"/>
        </w:rPr>
        <w:t xml:space="preserve">Investeering seisneb teenuste integreeritud haldamise keskse koostalitlusvõime infrastruktuuri arendamises ning avaliku halduse liideste arendamises ja pakkumises, mis hõlbustab teabevahetust valitsusasutuste vahel ja interaktiivsete internetipõhiste teenuste pakkumist. </w:t>
      </w:r>
      <w:r>
        <w:rPr>
          <w:rFonts w:ascii="Times New Roman" w:hAnsi="Times New Roman"/>
          <w:noProof/>
          <w:sz w:val="24"/>
        </w:rPr>
        <w:br w:type="page"/>
      </w:r>
    </w:p>
    <w:p w14:paraId="18DC5FD1" w14:textId="2EFEE0E6"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hõlmab a) internetiteenuste ja nende dokumentide rakendamist, b) teenuste integreerimist domeenis gov.gr c) nõutavate kontrolltestide määratlemist ja läbiviimist d) veebiteenuste katselist kasutamist e) veebiteenuste üleviimist tootmisse (pärast katseetappi) f) uute veebiteenuste toetamist. Investeeringu rakendamine viiakse lõpule 31. detsembriks 2024.</w:t>
      </w:r>
    </w:p>
    <w:p w14:paraId="59548D58"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Registrite, süsteemide ja teenuste ühendamine ja koostalitlusvõime riiklike avalik-õiguslike organisatsioonide vaheliseks andmevahetuseks (meetme ID 16782)</w:t>
      </w:r>
    </w:p>
    <w:p w14:paraId="1BBF608F"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töötada välja põhjalik raamistik ja tegevuskava registrite ja teenuste ühendamiseks ja koostalitlusvõime tagamiseks andmevahetuseks avalik-õiguslike organisatsioonide vahel kooskõlas uue Euroopa koostalitlusvõime raamistikuga. Reformiga hõlbustatakse koostalitlusvõimeliste, personaalsete ja kasutajasõbralike digitaalsete avalike teenuste pakkumist kodanikele ja ettevõtjatele. Reformiga viiakse sisse organisatsioonilised, menetluslikud ja seadusandlikud muudatused, et a) viia praegune Kreeka riiklik koostalitlusvõime raamistik kooskõlla Euroopa koostalitlusvõime raamistiku praeguse versiooniga, b) ühendada asjaomased riiklikud, piirkondlikud ja kohalikud andmeallikad ja digitaristud Euroopa ühekordsuse põhimõtte (OOP) kohase tõendite vahetamise süsteemiga, mis on loodud ühtse digivärava määrusega, ning c) vaadata läbi ja analüüsida süsteeme ja andmeid, et suunata sertifikaatide ja ametlike dokumentide digiteerimist. Reformi rakendamine viiakse lõpule 31. detsembriks 2024.</w:t>
      </w:r>
    </w:p>
    <w:p w14:paraId="17E7FD88"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Avaliku sektori infosüsteemide andmeklassifikaatori uuringud (meetme ID 16965)</w:t>
      </w:r>
    </w:p>
    <w:p w14:paraId="39F60AFF"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 eesmärk on määratleda avaliku sektori infosüsteemide peasekretariaadi (GSISPA) hallatavasse avaliku sektori pilve (Goverment Cloud of Public Sector – G-Cloud) paigaldatud avaliku sektori infosüsteeme käsitlevate andmete klassifitseerimise uuringute vorm. Investeering seisneb kesksete infosüsteemide andmete klassifitseerimise uuringute kavandamises ja standardimises ning 220 vastava uuringu läbiviimises kõigi juba paigaldatud kesksete infosüsteemide ja avaliku sektori rakenduste kohta. Vormi kasutavad ka kõik tulevased infosüsteemid enne nende paigaldamist G-Cloud-teenusesse. Investeeringu rakendamine viiakse lõpule 31. detsembriks 2024.</w:t>
      </w:r>
    </w:p>
    <w:p w14:paraId="2F10A225"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Järgmise põlvkonna koostalitlusvõime keskus (KED) (meetme ID 16964)</w:t>
      </w:r>
    </w:p>
    <w:p w14:paraId="2C292030"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 eesmärk on ajakohastada avaliku halduse infosüsteemide peasekretariaadi koostalitlusvõime keskust (GSISPA), et see suudaks suure kättesaadavusega tagada institutsioonidevahelise ja süsteemidevahelise koostalitlusvõime. Investeering hõlmab a) teostatavus- ja turvauuringut, b) vajalike litsentside pakkumist ja paigaldamist andmebaasidele ja kombineeritud pilverakenduse platvormile, c) järgmise põlvkonna koostalitlusvõime keskuse (KED) kavandamist ja rakendamist, d) uute veebiteenuste rakendamist järgmise põlvkonna koostalitlusvõime keskuses (KED). Investeeringu rakendamine viiakse lõpule 30. juuniks 2025.</w:t>
      </w:r>
    </w:p>
    <w:p w14:paraId="40C49480"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E-registrid (meetme ID 16824)</w:t>
      </w:r>
    </w:p>
    <w:p w14:paraId="21D44A03" w14:textId="61B59C3D" w:rsidR="00486DC4" w:rsidRDefault="00AD3F7A" w:rsidP="00486DC4">
      <w:pPr>
        <w:spacing w:before="120" w:after="120" w:line="240" w:lineRule="auto"/>
        <w:jc w:val="both"/>
        <w:rPr>
          <w:rFonts w:ascii="Times New Roman" w:hAnsi="Times New Roman"/>
          <w:noProof/>
          <w:sz w:val="24"/>
        </w:rPr>
      </w:pPr>
      <w:r>
        <w:rPr>
          <w:rFonts w:ascii="Times New Roman" w:hAnsi="Times New Roman"/>
          <w:noProof/>
          <w:sz w:val="24"/>
        </w:rPr>
        <w:t>Investeering seisneb koostalitlusvõime ja liideste loomises olemasolevate avaliku halduse keskasutuste registrite vahel ning registrite kogumises ja laiendamises, et järk-järgult tagada digitaalsete avalike teenuste sujuv ja nõuetekohane toimimine, kasutades omavahel ühendatud ajakohastatud registreid, mis sisaldavad puhastatud andmeid. Selleks hõlbustab investeering olemasolevate registrite kogumist ja laiendamist ühte kesksesse allikasse, et järk-järgult tagada digitaalsete avalike teenuste sujuv ja nõuetekohane toimimine. See hõlmab järgmist: a)</w:t>
      </w:r>
      <w:r w:rsidR="0054400C">
        <w:rPr>
          <w:rFonts w:ascii="Times New Roman" w:hAnsi="Times New Roman"/>
          <w:noProof/>
          <w:sz w:val="24"/>
        </w:rPr>
        <w:t> </w:t>
      </w:r>
      <w:r>
        <w:rPr>
          <w:rFonts w:ascii="Times New Roman" w:hAnsi="Times New Roman"/>
          <w:noProof/>
          <w:sz w:val="24"/>
        </w:rPr>
        <w:t xml:space="preserve">põhimõte „kõik andmed ühes kohas“: registrid peavad olema juurdepääsetavad ühe liidese kaudu ja neis peab olema võimalik otsida b) ajakohased andmed: kõik registrites olevad andmed peavad olema ajakohased ja kasutusvalmis; igale registrile pääseb juurde ühise rakendusliidese kaudu. </w:t>
      </w:r>
      <w:r>
        <w:rPr>
          <w:rFonts w:ascii="Times New Roman" w:hAnsi="Times New Roman"/>
          <w:noProof/>
          <w:sz w:val="24"/>
        </w:rPr>
        <w:br w:type="page"/>
      </w:r>
    </w:p>
    <w:p w14:paraId="5081BBC7" w14:textId="66FA22BA"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c) puhtad andmed: projekti lõpuks peavad registrite andmed olema võimalikult puhtad ning kasutusel peavad olema puhaste andmete jaoks mõeldud menetlused ja põhimõtted d) lingitud registrid: tagatakse koostalitlusvõime. Investeeringu rakendamine viiakse lõpule 31.</w:t>
      </w:r>
      <w:r w:rsidR="0054400C">
        <w:rPr>
          <w:rFonts w:ascii="Times New Roman" w:hAnsi="Times New Roman"/>
          <w:noProof/>
          <w:sz w:val="24"/>
        </w:rPr>
        <w:t> </w:t>
      </w:r>
      <w:r>
        <w:rPr>
          <w:rFonts w:ascii="Times New Roman" w:hAnsi="Times New Roman"/>
          <w:noProof/>
          <w:sz w:val="24"/>
        </w:rPr>
        <w:t>detsembriks 2025.</w:t>
      </w:r>
    </w:p>
    <w:p w14:paraId="1C0DB3DC"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Turismiregister e-MHTE (meetme ID 16785)</w:t>
      </w:r>
    </w:p>
    <w:p w14:paraId="54B9CE58"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seisneb turismiettevõtete digitaalse registreerimisplatvormi (e-MHTE) väljatöötamises, mille eesmärk on teha koostööd teiste avalike registrite ja IT-süsteemidega. Kõik olemasoleva registri (MΗTE) andmed ja funktsioonid edastatakse uuele platvormile, et pakkuda paremaid ja täiustatud teenuseid, anda välja uusi lennutegevuslubasid ja uuendada olemasolevaid. Investeering hõlmab ka arhiivi digiteerimist (1 875 000 ruumiplaneerimise ja infrastruktuuri osakonna faili), sealhulgas metamärgistamist ja -salvestamist. Investeeringu rakendamine viiakse lõpule 30. juuniks 2025.</w:t>
      </w:r>
    </w:p>
    <w:p w14:paraId="772DF47C"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Uute tehnoloogiate kasutuselevõtt ja suundumused avaliku halduse kõrgetasemeliste teenuste suunas, tõhususe ja tulemuslikkuse suurendamine ning süsteemide kasutus-, uuendus- ja hoolduskulude vähendamine (meetme ID 16928)</w:t>
      </w:r>
    </w:p>
    <w:p w14:paraId="3909362E"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 seisneb tervikliku raamistiku väljatöötamises, mille eesmärk on tuua tehnoloogia areng (pilvandmetöötlus, äriintellekt, tehisintellekt, masinõpe, hajusraamatu tehnoloogia) avaliku halduse asutustesse, et andmeid tõhusalt koguda, töödelda, esitada ja säilitada, hõlbustades seeläbi paremate digitaalteenuste, asjakohase otsustusprotsessi ning süsteemide ja taristu tõhusat toimimist ja hooldust. Reformi rakendamine viiakse lõpule 31. detsembriks 2025.</w:t>
      </w:r>
    </w:p>
    <w:p w14:paraId="31704360"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Arukad linnad (meetme ID 16854)</w:t>
      </w:r>
    </w:p>
    <w:p w14:paraId="3AD58A59" w14:textId="6D209829" w:rsidR="00AD3F7A" w:rsidRPr="00E02B5D" w:rsidRDefault="00AD3F7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Investeeringu eesmärk on muuta 11 Kreeka linna järk-järgult arukateks linnadeks uue taristu, digitaalsete platvormide ja IT-süsteemide arendamise kaudu. Aruka linna lahendused võimaldavad linnadel kasutada tehnoloogiat, teavet ja avatud andmeid, et parandada linnataristut ja e-teenuseid, aga ka edendada kogukonnapõhist majanduskasvu. Investeeringu eesmärk on ka toetada munitsipaalomavalitsuste arukate linnade mudelite tekkimist, mida järgivad ülejäänud omavalitsused vastavalt rakenduskavade loogikale. Meede koosneb kahest allprojektist: 1) Kreeka arukate linnade investeerimisalgatus, mis investeerib 11 linna, millest neli on juba välja valitud (Ateena, Thessaloníki, Piraeus ja Trikala), ja veel seitse valitakse linnade koostatud ettepanekute alusel; 2) toetusmehhanism algatuse rakendamiseks ja tulemuslikkuse jälgimiseks. Investeeringu rakendamine viiakse lõpule 31. detsembriks 2025.</w:t>
      </w:r>
    </w:p>
    <w:p w14:paraId="2D295552"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Keskse pilvandmetöötlustaristu ja -teenuse pakkumine (meetme ID 16853)</w:t>
      </w:r>
    </w:p>
    <w:p w14:paraId="25BAEE3A" w14:textId="77777777" w:rsidR="00AD3F7A" w:rsidRPr="00E02B5D" w:rsidRDefault="00AD3F7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Investeeringu eesmärk on tõhustada digitaalse juhtimise ministeeriumi peamiste institutsioonide, nimelt GSISPA ja IDIKA SA toimimist, võttes kasutusele pilvandmetöötluse taristu ja teenused (kooskõlas seadusega 4727/2020), järgides valitsuse pilvandmetöötluse taristu ja teenuste rakendamise rahvusvahelisi parimaid tavasid (G-Cloud). Projekti eesmärk on luua kaasaegne hübriidpilvede taristu, mis koosneb kahest üürnikust: Üks G-Cloud ja teine H-Cloud. Igal üürnikul on erapilvede komponent ja avaliku pilve komponent ühtses juhtimis- ja teenuste osutamise keskkonnas. Investeering viiakse lõpule 30. juuniks 2024.</w:t>
      </w:r>
    </w:p>
    <w:p w14:paraId="3237FA51" w14:textId="288ABEC8" w:rsidR="00486DC4" w:rsidRDefault="00AD3F7A" w:rsidP="00486DC4">
      <w:pPr>
        <w:spacing w:before="120" w:after="120" w:line="240" w:lineRule="auto"/>
        <w:jc w:val="both"/>
        <w:rPr>
          <w:rFonts w:ascii="Times New Roman" w:hAnsi="Times New Roman"/>
          <w:noProof/>
          <w:sz w:val="24"/>
        </w:rPr>
      </w:pPr>
      <w:r>
        <w:rPr>
          <w:rFonts w:ascii="Times New Roman" w:hAnsi="Times New Roman"/>
          <w:noProof/>
          <w:sz w:val="24"/>
        </w:rPr>
        <w:t xml:space="preserve">Pilveteenuste osutaja andmekeskused peavad järgima Euroopa andmekeskuse energiatõhususe tegevusjuhendit. </w:t>
      </w:r>
      <w:r>
        <w:rPr>
          <w:rFonts w:ascii="Times New Roman" w:hAnsi="Times New Roman"/>
          <w:noProof/>
          <w:sz w:val="24"/>
        </w:rPr>
        <w:br w:type="page"/>
      </w:r>
    </w:p>
    <w:p w14:paraId="0F51ECD5" w14:textId="6D1093E5"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Nõue on kooskõlas Euroopa Parlamendi ja nõukogu 11. detsembri 2018. aasta määrusega (EL)</w:t>
      </w:r>
      <w:r w:rsidR="0054400C">
        <w:rPr>
          <w:rFonts w:ascii="Times New Roman" w:hAnsi="Times New Roman"/>
          <w:noProof/>
          <w:sz w:val="24"/>
        </w:rPr>
        <w:t> </w:t>
      </w:r>
      <w:r>
        <w:rPr>
          <w:rFonts w:ascii="Times New Roman" w:hAnsi="Times New Roman"/>
          <w:noProof/>
          <w:sz w:val="24"/>
        </w:rPr>
        <w:t>2018/1999, milles käsitletakse energialiidu ja kliimameetmete juhtimist, toetades rohelist üleminekut ja aidates saavutada liidu 2030. aasta kliimaeesmärke, mis on sätestatud ELi kliimaseaduse artikli 2 lõikes 11, mida on muudetud ELi kliimaseaduse artikliga 10, ning järgides ELi kliimaneutraalsuse eesmärki 2050. aastaks ja digiüleminekut, aidates seeläbi kaasa ülespoole suunatud majanduslikule ja sotsiaalsele lähenemisele, taastades ja edendades kestlikku majanduskasvu ning liidu majanduse integreerimist.</w:t>
      </w:r>
    </w:p>
    <w:p w14:paraId="54F75EFA"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Pilvandmetöötluse infrastruktuuri ning riiklike teadusuuringute ja tehnoloogia infrastruktuuride (GRNET) teenuste ajakohastamine (meetme ID 16955)</w:t>
      </w:r>
    </w:p>
    <w:p w14:paraId="31036E1E"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seisneb GRNETi taristu ja teenuste ajakohastamises, a) selle tarkvara ja pilvandmetöötluse teenuste ajakohastamises, mis on peamiselt suunatud teadus- ja akadeemiliste ringkondade liikmetele, b) riikliku kõrgjõudlusega andmetöötluse süsteemi ARIS B-etapi laiendamises ja ajakohastamises ning c) kiudoptilise taristu liisimises. Investeeringu rakendamine viiakse lõpule 31. detsembriks 2025.</w:t>
      </w:r>
    </w:p>
    <w:p w14:paraId="6BA451CF" w14:textId="0C897044"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Andmekeskused peavad järgima Euroopa andmekeskuse energiatõhususe tegevusjuhendit. Nõue on kooskõlas Euroopa Parlamendi ja nõukogu 11. detsembri 2018. aasta määrusega (EL)</w:t>
      </w:r>
      <w:r w:rsidR="0054400C">
        <w:rPr>
          <w:rFonts w:ascii="Times New Roman" w:hAnsi="Times New Roman"/>
          <w:noProof/>
          <w:sz w:val="24"/>
        </w:rPr>
        <w:t> </w:t>
      </w:r>
      <w:r>
        <w:rPr>
          <w:rFonts w:ascii="Times New Roman" w:hAnsi="Times New Roman"/>
          <w:noProof/>
          <w:sz w:val="24"/>
        </w:rPr>
        <w:t>2018/1999, milles käsitletakse energialiidu ja kliimameetmete juhtimist, toetades rohelist üleminekut ja aidates saavutada liidu 2030. aasta kliimaeesmärke, mis on sätestatud ELi kliimaseaduse artikli 2 lõikes 11, mida on muudetud ELi kliimaseaduse artikliga 10, ning järgides ELi kliimaneutraalsuse eesmärki 2050. aastaks ja digiüleminekut, aidates seeläbi kaasa ülespoole suunatud majanduslikule ja sotsiaalsele lähenemisele, taastades ja edendades kestlikku majanduskasvu ning liidu majanduse integreerimist.</w:t>
      </w:r>
    </w:p>
    <w:p w14:paraId="19E35508"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SYZEFXIS II võrgu laiendamine (meetme ID 16956)</w:t>
      </w:r>
    </w:p>
    <w:p w14:paraId="4141DDDC"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seisneb riikliku avaliku sektori võrgustiku (SYZEFXIS ii) laiendamises, et pakkuda ajakohastatud telekommunikatsiooniteenuseid kogu valitsemissektorile, avaliku sektori võrgustiku loomises (laiendamises) valitsemissektori asutustele ajakohastatud telekommunikatsiooniteenuste osutamiseks kolmel järjestikusel aastal ning täpsemalt ligikaudu 34 000 hoone katmises ja traadita telekommunikatsiooniteenuste osutamises. See hõlmab olemasoleva riikliku avaliku halduse võrgustiku SYZEFXIS laiendamist, mis hõlmab praegu ainult 4 500 punkti. Kõik avalik-õiguslikud asutused peavad olema ajakohastanud telekommunikatsiooniteenuseid, suurendades internetiühenduse kiirust, pakkudes seeläbi kodanikele paremat ühendust. Investeeringu rakendamine viiakse lõpule 31. detsembriks 2025.</w:t>
      </w:r>
    </w:p>
    <w:p w14:paraId="16E9257A" w14:textId="0FA4A61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Andmehalduse strateegia &amp; avaliku sektori poliitika (meetme</w:t>
      </w:r>
      <w:r w:rsidR="0054400C">
        <w:rPr>
          <w:rFonts w:ascii="Times New Roman" w:hAnsi="Times New Roman"/>
          <w:noProof/>
          <w:sz w:val="24"/>
        </w:rPr>
        <w:t xml:space="preserve"> </w:t>
      </w:r>
      <w:r>
        <w:rPr>
          <w:rFonts w:ascii="Times New Roman" w:hAnsi="Times New Roman"/>
          <w:noProof/>
          <w:sz w:val="24"/>
        </w:rPr>
        <w:t>ID 16827)</w:t>
      </w:r>
    </w:p>
    <w:p w14:paraId="094F8A06"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 hõlmab a) valitsuse pilveandmete haldamise strateegia ja poliitika väljatöötamist ning b) avaliku andmehalduse raamistiku, taristu, suutlikkuse ja võime loomist, avatud ja taaskasutatavate andmete poliitikat ning asjakohaste teenuste osutamist avalikule ja erasektorile. Reformi rakendamine viiakse lõpule 31. detsembriks 2025.</w:t>
      </w:r>
    </w:p>
    <w:p w14:paraId="4B6EAD58"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Central BI – Data Analytics (meetme ID 16842)</w:t>
      </w:r>
    </w:p>
    <w:p w14:paraId="4B55ABE8" w14:textId="7B34982D" w:rsidR="00486DC4" w:rsidRDefault="00AD3F7A" w:rsidP="00486DC4">
      <w:pPr>
        <w:spacing w:before="120" w:after="120" w:line="240" w:lineRule="auto"/>
        <w:jc w:val="both"/>
        <w:rPr>
          <w:rFonts w:ascii="Times New Roman" w:hAnsi="Times New Roman"/>
          <w:noProof/>
          <w:sz w:val="24"/>
        </w:rPr>
      </w:pPr>
      <w:r>
        <w:rPr>
          <w:rFonts w:ascii="Times New Roman" w:hAnsi="Times New Roman"/>
          <w:noProof/>
          <w:sz w:val="24"/>
        </w:rPr>
        <w:t>Investeeringu eesmärk on võimaldada avalikul haldusel maksimeerida väärtust, mida ta oma andmete põhjal saab keskse äriteabe analüüsiplatvormi rakendamise kaudu. Platvorm võimaldab avaliku halduse asutustel saada, integreerida ja tõlgendada mis tahes allikast pärit andmeid ning kasutada neid oma tegevust ja töövooge mõjutava teabe analüüsimiseks, hõlbustades seega otsuste tegemist. Selleks määratakse kindlaks peamised tulemusnäitajad, b) luuakse andmesõnastik, c) luuakse andmehaldusraamistik.</w:t>
      </w:r>
      <w:r>
        <w:rPr>
          <w:rFonts w:ascii="Times New Roman" w:hAnsi="Times New Roman"/>
          <w:noProof/>
          <w:sz w:val="24"/>
        </w:rPr>
        <w:br w:type="page"/>
      </w:r>
    </w:p>
    <w:p w14:paraId="6FFCE667" w14:textId="0781B6DD"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d) töötatakse välja asjakohane arhitektuuriline projekt, arhitektuuriline lähenemisviis, ehitusplokid ja integratsioonipunktid, e) andmehoidla konfiguratsioon, f) integreeritakse back office’i infosüsteemiga, g) töötatakse välja nõutavad ettevõtlusteabe aruanded ja analüüs, h)</w:t>
      </w:r>
      <w:r w:rsidR="0054400C">
        <w:rPr>
          <w:rFonts w:ascii="Times New Roman" w:hAnsi="Times New Roman"/>
          <w:noProof/>
          <w:sz w:val="24"/>
        </w:rPr>
        <w:t> </w:t>
      </w:r>
      <w:r>
        <w:rPr>
          <w:rFonts w:ascii="Times New Roman" w:hAnsi="Times New Roman"/>
          <w:noProof/>
          <w:sz w:val="24"/>
        </w:rPr>
        <w:t>pakutakse tehnilist tuge. Investeeringu rakendamine viiakse lõpule 31. detsembriks 2025.</w:t>
      </w:r>
    </w:p>
    <w:p w14:paraId="541FEAAA"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Keskne dokumendihaldussüsteem (meetme ID 16738)</w:t>
      </w:r>
    </w:p>
    <w:p w14:paraId="677A4F4D" w14:textId="77777777" w:rsidR="00AD3F7A" w:rsidRPr="00E02B5D" w:rsidRDefault="00AD3F7A" w:rsidP="00645BC7">
      <w:pPr>
        <w:spacing w:before="120" w:after="120" w:line="240" w:lineRule="auto"/>
        <w:jc w:val="both"/>
        <w:rPr>
          <w:rFonts w:ascii="Times New Roman" w:hAnsi="Times New Roman"/>
          <w:noProof/>
          <w:sz w:val="24"/>
        </w:rPr>
      </w:pPr>
      <w:r>
        <w:rPr>
          <w:rFonts w:ascii="Times New Roman" w:hAnsi="Times New Roman"/>
          <w:noProof/>
          <w:sz w:val="24"/>
        </w:rPr>
        <w:t>Investeering seisneb dokumentide haldamise kesksüsteemi rakendamises, mis kogub, säilitab ja otsib paber- ja elektroonilisi dokumente. See süsteem hõlbustab avaliku sektori organisatsioonide koostalitlusvõimet ning kiirendab kodanike ja ettevõtjate juhtumite ja teenusetaotluste menetlemist. Investeering hõlmab a) täiendavalt 20 000 heakskiidetud digitaalset kaugallkirja; b) koostalitlusvõime rakenduste arendamist; dokumentidesse lisatava unikaalse QR-koodi või ID loomist; c) allsüsteemide arendamist, et katta valitsuse vajadust digitaalallkirjaga dokumentide allkirjastamise järele; d) tugiteenuseid (sealhulgas uuringute arendamise teenused), koolitust ja kasutajatoe teenuseid. Investeeringu rakendamine viiakse lõpule 30. juuniks 2025.</w:t>
      </w:r>
    </w:p>
    <w:p w14:paraId="5A412B1E" w14:textId="77777777" w:rsidR="00AD3F7A" w:rsidRPr="00AD4052" w:rsidRDefault="00AD3F7A" w:rsidP="00645BC7">
      <w:pPr>
        <w:spacing w:before="120" w:after="120" w:line="240" w:lineRule="auto"/>
        <w:ind w:left="709"/>
        <w:jc w:val="both"/>
        <w:rPr>
          <w:rFonts w:ascii="Times New Roman" w:hAnsi="Times New Roman" w:cs="Times New Roman"/>
          <w:noProof/>
          <w:sz w:val="24"/>
        </w:rPr>
      </w:pPr>
    </w:p>
    <w:p w14:paraId="69281F2F" w14:textId="77777777" w:rsidR="00AD3F7A" w:rsidRPr="00AD4052" w:rsidRDefault="00AD3F7A" w:rsidP="00645BC7">
      <w:pPr>
        <w:spacing w:before="120" w:after="120" w:line="240" w:lineRule="auto"/>
        <w:ind w:left="709"/>
        <w:jc w:val="both"/>
        <w:rPr>
          <w:rFonts w:ascii="Times New Roman" w:hAnsi="Times New Roman" w:cs="Times New Roman"/>
          <w:noProof/>
          <w:sz w:val="24"/>
        </w:rPr>
        <w:sectPr w:rsidR="00AD3F7A" w:rsidRPr="00AD4052" w:rsidSect="00271D33">
          <w:headerReference w:type="even" r:id="rId134"/>
          <w:headerReference w:type="default" r:id="rId135"/>
          <w:footerReference w:type="even" r:id="rId136"/>
          <w:footerReference w:type="default" r:id="rId137"/>
          <w:headerReference w:type="first" r:id="rId138"/>
          <w:footerReference w:type="first" r:id="rId139"/>
          <w:pgSz w:w="11907" w:h="16839"/>
          <w:pgMar w:top="1134" w:right="1418" w:bottom="1134" w:left="1418" w:header="709" w:footer="327" w:gutter="0"/>
          <w:cols w:space="720"/>
          <w:docGrid w:linePitch="360"/>
        </w:sectPr>
      </w:pPr>
    </w:p>
    <w:p w14:paraId="43414F2D" w14:textId="77777777" w:rsidR="00AD3F7A" w:rsidRPr="00E02B5D" w:rsidRDefault="00AD3F7A" w:rsidP="00645BC7">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F.2. </w:t>
      </w:r>
      <w:r>
        <w:rPr>
          <w:noProof/>
        </w:rPr>
        <w:tab/>
      </w:r>
      <w:r>
        <w:rPr>
          <w:rFonts w:ascii="Times New Roman" w:hAnsi="Times New Roman"/>
          <w:b/>
          <w:noProof/>
          <w:sz w:val="24"/>
          <w:u w:val="single"/>
        </w:rPr>
        <w:t>Tagastamatu rahalise toetuse eesmärgid, sihid, näitajad ning seire ja rakendamise ajakava</w:t>
      </w:r>
    </w:p>
    <w:p w14:paraId="3B8749EA" w14:textId="77777777" w:rsidR="00AD3F7A" w:rsidRPr="00AD4052" w:rsidRDefault="00AD3F7A" w:rsidP="00645BC7">
      <w:pPr>
        <w:keepNext/>
        <w:keepLines/>
        <w:spacing w:before="40" w:after="0" w:line="240" w:lineRule="auto"/>
        <w:jc w:val="both"/>
        <w:outlineLvl w:val="4"/>
        <w:rPr>
          <w:rFonts w:ascii="Cambria" w:eastAsia="Times New Roman" w:hAnsi="Cambria"/>
          <w:noProof/>
          <w:color w:val="365F91"/>
          <w:sz w:val="24"/>
        </w:rPr>
      </w:pPr>
    </w:p>
    <w:p w14:paraId="502B644F" w14:textId="77777777" w:rsidR="00AD3F7A" w:rsidRPr="00E02B5D" w:rsidRDefault="00AD3F7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Suurimad investeeringud 3: Arhiivide ja nendega seotud teenuste digiteerimine</w:t>
      </w:r>
    </w:p>
    <w:tbl>
      <w:tblPr>
        <w:tblW w:w="15588" w:type="dxa"/>
        <w:jc w:val="center"/>
        <w:tblLayout w:type="fixed"/>
        <w:tblLook w:val="04A0" w:firstRow="1" w:lastRow="0" w:firstColumn="1" w:lastColumn="0" w:noHBand="0" w:noVBand="1"/>
      </w:tblPr>
      <w:tblGrid>
        <w:gridCol w:w="562"/>
        <w:gridCol w:w="1985"/>
        <w:gridCol w:w="992"/>
        <w:gridCol w:w="1701"/>
        <w:gridCol w:w="1276"/>
        <w:gridCol w:w="1134"/>
        <w:gridCol w:w="850"/>
        <w:gridCol w:w="851"/>
        <w:gridCol w:w="850"/>
        <w:gridCol w:w="993"/>
        <w:gridCol w:w="4394"/>
      </w:tblGrid>
      <w:tr w:rsidR="00AD3F7A" w:rsidRPr="003B132A" w14:paraId="0D96C86C" w14:textId="77777777" w:rsidTr="00AC1A5D">
        <w:trPr>
          <w:trHeight w:val="927"/>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B3FD6C"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30DE017" w14:textId="77777777" w:rsidR="00AD3F7A" w:rsidRPr="00E02B5D" w:rsidRDefault="00AD3F7A" w:rsidP="00AC1A5D">
            <w:pPr>
              <w:spacing w:after="0" w:line="240" w:lineRule="auto"/>
              <w:ind w:left="-561" w:firstLine="561"/>
              <w:jc w:val="right"/>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5AB39D" w14:textId="77777777" w:rsidR="00AD3F7A" w:rsidRPr="00E02B5D" w:rsidRDefault="00AD3F7A" w:rsidP="00AC1A5D">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01" w:type="dxa"/>
            <w:vMerge w:val="restart"/>
            <w:tcBorders>
              <w:top w:val="single" w:sz="4" w:space="0" w:color="auto"/>
              <w:left w:val="nil"/>
              <w:bottom w:val="single" w:sz="4" w:space="0" w:color="auto"/>
              <w:right w:val="single" w:sz="4" w:space="0" w:color="auto"/>
            </w:tcBorders>
            <w:shd w:val="clear" w:color="auto" w:fill="BDD7EE"/>
            <w:vAlign w:val="center"/>
            <w:hideMark/>
          </w:tcPr>
          <w:p w14:paraId="50A95F08"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CAF9D50"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835" w:type="dxa"/>
            <w:gridSpan w:val="3"/>
            <w:tcBorders>
              <w:top w:val="single" w:sz="4" w:space="0" w:color="auto"/>
              <w:left w:val="nil"/>
              <w:bottom w:val="single" w:sz="4" w:space="0" w:color="auto"/>
              <w:right w:val="single" w:sz="4" w:space="0" w:color="auto"/>
            </w:tcBorders>
            <w:shd w:val="clear" w:color="auto" w:fill="BDD7EE"/>
            <w:vAlign w:val="center"/>
            <w:hideMark/>
          </w:tcPr>
          <w:p w14:paraId="4832ACA7"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14:paraId="5B164B0C"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49F709"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778862F0" w14:textId="77777777" w:rsidTr="00AC1A5D">
        <w:trPr>
          <w:trHeight w:val="512"/>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C939AE5"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5AA295A"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016858"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D0CBB2D"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75AAED"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92B306B"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14:paraId="08ED6F7C"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14:paraId="17DAB035"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14:paraId="3BA691A8"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993" w:type="dxa"/>
            <w:tcBorders>
              <w:top w:val="single" w:sz="4" w:space="0" w:color="auto"/>
              <w:left w:val="nil"/>
              <w:bottom w:val="single" w:sz="4" w:space="0" w:color="auto"/>
              <w:right w:val="single" w:sz="4" w:space="0" w:color="auto"/>
            </w:tcBorders>
            <w:shd w:val="clear" w:color="auto" w:fill="BDD7EE"/>
            <w:vAlign w:val="center"/>
            <w:hideMark/>
          </w:tcPr>
          <w:p w14:paraId="002EC0E9"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394" w:type="dxa"/>
            <w:vMerge/>
            <w:tcBorders>
              <w:top w:val="single" w:sz="4" w:space="0" w:color="auto"/>
              <w:bottom w:val="single" w:sz="4" w:space="0" w:color="auto"/>
              <w:right w:val="single" w:sz="4" w:space="0" w:color="auto"/>
            </w:tcBorders>
            <w:vAlign w:val="center"/>
            <w:hideMark/>
          </w:tcPr>
          <w:p w14:paraId="1CAB6D2F" w14:textId="77777777" w:rsidR="00AD3F7A" w:rsidRPr="00E02B5D" w:rsidRDefault="00AD3F7A" w:rsidP="00D16F13">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552AB35E" w14:textId="77777777" w:rsidTr="00AC1A5D">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auto" w:fill="C6EFCE"/>
            <w:noWrap/>
          </w:tcPr>
          <w:p w14:paraId="464888A0" w14:textId="77777777" w:rsidR="00AD3F7A" w:rsidRDefault="00AD3F7A" w:rsidP="00D16F13">
            <w:pPr>
              <w:spacing w:after="0" w:line="240" w:lineRule="auto"/>
              <w:rPr>
                <w:noProof/>
                <w:color w:val="006100"/>
                <w:sz w:val="18"/>
              </w:rPr>
            </w:pPr>
            <w:r>
              <w:rPr>
                <w:noProof/>
                <w:color w:val="006100"/>
                <w:sz w:val="18"/>
              </w:rPr>
              <w:t>93</w:t>
            </w:r>
          </w:p>
          <w:p w14:paraId="67AE2A47" w14:textId="77777777" w:rsidR="00AF58D0" w:rsidRPr="00AF58D0" w:rsidRDefault="00AF58D0" w:rsidP="00AF58D0">
            <w:pPr>
              <w:rPr>
                <w:rFonts w:eastAsia="Times New Roman" w:cs="Calibri"/>
                <w:noProof/>
                <w:sz w:val="18"/>
                <w:szCs w:val="18"/>
                <w:lang w:val="en-GB"/>
              </w:rPr>
            </w:pPr>
          </w:p>
          <w:p w14:paraId="1F98E2ED" w14:textId="77777777" w:rsidR="00AF58D0" w:rsidRPr="00AF58D0" w:rsidRDefault="00AF58D0" w:rsidP="00AF58D0">
            <w:pPr>
              <w:rPr>
                <w:rFonts w:eastAsia="Times New Roman" w:cs="Calibri"/>
                <w:noProof/>
                <w:sz w:val="18"/>
                <w:szCs w:val="18"/>
                <w:lang w:val="en-GB"/>
              </w:rPr>
            </w:pPr>
          </w:p>
          <w:p w14:paraId="47465E9C" w14:textId="77777777" w:rsidR="00AF58D0" w:rsidRPr="00AF58D0" w:rsidRDefault="00AF58D0" w:rsidP="00AF58D0">
            <w:pPr>
              <w:rPr>
                <w:rFonts w:eastAsia="Times New Roman" w:cs="Calibri"/>
                <w:noProof/>
                <w:sz w:val="18"/>
                <w:szCs w:val="18"/>
                <w:lang w:val="en-GB"/>
              </w:rPr>
            </w:pPr>
          </w:p>
          <w:p w14:paraId="71A86F92" w14:textId="77777777" w:rsidR="00AF58D0" w:rsidRPr="00AF58D0" w:rsidRDefault="00AF58D0" w:rsidP="00AF58D0">
            <w:pPr>
              <w:rPr>
                <w:rFonts w:eastAsia="Times New Roman" w:cs="Calibri"/>
                <w:noProof/>
                <w:sz w:val="18"/>
                <w:szCs w:val="18"/>
                <w:lang w:val="en-GB"/>
              </w:rPr>
            </w:pPr>
          </w:p>
          <w:p w14:paraId="65CD1944" w14:textId="77777777" w:rsidR="00AF58D0" w:rsidRPr="00AF58D0" w:rsidRDefault="00AF58D0" w:rsidP="00AF58D0">
            <w:pPr>
              <w:rPr>
                <w:rFonts w:eastAsia="Times New Roman" w:cs="Calibri"/>
                <w:noProof/>
                <w:sz w:val="18"/>
                <w:szCs w:val="18"/>
                <w:lang w:val="en-GB"/>
              </w:rPr>
            </w:pPr>
          </w:p>
          <w:p w14:paraId="084F2ED5" w14:textId="77777777" w:rsidR="00AF58D0" w:rsidRPr="00AF58D0" w:rsidRDefault="00AF58D0" w:rsidP="00AF58D0">
            <w:pPr>
              <w:rPr>
                <w:rFonts w:eastAsia="Times New Roman" w:cs="Calibri"/>
                <w:noProof/>
                <w:sz w:val="18"/>
                <w:szCs w:val="18"/>
                <w:lang w:val="en-GB"/>
              </w:rPr>
            </w:pPr>
          </w:p>
          <w:p w14:paraId="60C44EC9" w14:textId="77777777" w:rsidR="00AF58D0" w:rsidRPr="00AF58D0" w:rsidRDefault="00AF58D0" w:rsidP="00AF58D0">
            <w:pPr>
              <w:rPr>
                <w:rFonts w:eastAsia="Times New Roman" w:cs="Calibri"/>
                <w:noProof/>
                <w:sz w:val="18"/>
                <w:szCs w:val="18"/>
                <w:lang w:val="en-GB"/>
              </w:rPr>
            </w:pPr>
          </w:p>
          <w:p w14:paraId="660F51B4" w14:textId="77777777" w:rsidR="00AF58D0" w:rsidRPr="00AF58D0" w:rsidRDefault="00AF58D0" w:rsidP="00AF58D0">
            <w:pPr>
              <w:rPr>
                <w:rFonts w:eastAsia="Times New Roman" w:cs="Calibri"/>
                <w:noProof/>
                <w:sz w:val="18"/>
                <w:szCs w:val="18"/>
                <w:lang w:val="en-GB"/>
              </w:rPr>
            </w:pPr>
          </w:p>
          <w:p w14:paraId="74BE5AAD" w14:textId="77777777" w:rsidR="00AF58D0" w:rsidRPr="00AF58D0" w:rsidRDefault="00AF58D0" w:rsidP="00AF58D0">
            <w:pPr>
              <w:rPr>
                <w:rFonts w:eastAsia="Times New Roman" w:cs="Calibri"/>
                <w:noProof/>
                <w:sz w:val="18"/>
                <w:szCs w:val="18"/>
                <w:lang w:val="en-GB"/>
              </w:rPr>
            </w:pPr>
          </w:p>
          <w:p w14:paraId="45A99B74" w14:textId="77777777" w:rsidR="00AF58D0" w:rsidRPr="00AF58D0" w:rsidRDefault="00AF58D0" w:rsidP="00AF58D0">
            <w:pPr>
              <w:rPr>
                <w:rFonts w:eastAsia="Times New Roman" w:cs="Calibri"/>
                <w:noProof/>
                <w:sz w:val="18"/>
                <w:szCs w:val="18"/>
                <w:lang w:val="en-GB"/>
              </w:rPr>
            </w:pPr>
          </w:p>
          <w:p w14:paraId="16BD8DAE" w14:textId="77777777" w:rsidR="00AF58D0" w:rsidRPr="00AF58D0" w:rsidRDefault="00AF58D0" w:rsidP="00AF58D0">
            <w:pPr>
              <w:rPr>
                <w:rFonts w:eastAsia="Times New Roman" w:cs="Calibri"/>
                <w:noProof/>
                <w:sz w:val="18"/>
                <w:szCs w:val="18"/>
                <w:lang w:val="en-GB"/>
              </w:rPr>
            </w:pPr>
          </w:p>
          <w:p w14:paraId="00F10C34" w14:textId="77777777" w:rsidR="00AF58D0" w:rsidRPr="00AF58D0" w:rsidRDefault="00AF58D0" w:rsidP="00AF58D0">
            <w:pPr>
              <w:rPr>
                <w:rFonts w:eastAsia="Times New Roman" w:cs="Calibri"/>
                <w:noProof/>
                <w:sz w:val="18"/>
                <w:szCs w:val="18"/>
                <w:lang w:val="en-GB"/>
              </w:rPr>
            </w:pPr>
          </w:p>
          <w:p w14:paraId="3A6DDF03" w14:textId="77777777" w:rsidR="00AF58D0" w:rsidRPr="00AF58D0" w:rsidRDefault="00AF58D0" w:rsidP="00AF58D0">
            <w:pPr>
              <w:rPr>
                <w:rFonts w:eastAsia="Times New Roman" w:cs="Calibri"/>
                <w:noProof/>
                <w:sz w:val="18"/>
                <w:szCs w:val="18"/>
                <w:lang w:val="en-GB"/>
              </w:rPr>
            </w:pPr>
          </w:p>
          <w:p w14:paraId="241151CE" w14:textId="77777777" w:rsidR="00AF58D0" w:rsidRPr="00AF58D0" w:rsidRDefault="00AF58D0" w:rsidP="00AF58D0">
            <w:pPr>
              <w:rPr>
                <w:rFonts w:eastAsia="Times New Roman" w:cs="Calibri"/>
                <w:noProof/>
                <w:sz w:val="18"/>
                <w:szCs w:val="18"/>
                <w:lang w:val="en-GB"/>
              </w:rPr>
            </w:pPr>
          </w:p>
          <w:p w14:paraId="477C175D" w14:textId="77777777" w:rsidR="00AF58D0" w:rsidRPr="00AF58D0" w:rsidRDefault="00AF58D0" w:rsidP="00AF58D0">
            <w:pPr>
              <w:rPr>
                <w:rFonts w:eastAsia="Times New Roman" w:cs="Calibri"/>
                <w:noProof/>
                <w:sz w:val="18"/>
                <w:szCs w:val="18"/>
                <w:lang w:val="en-GB"/>
              </w:rPr>
            </w:pPr>
          </w:p>
          <w:p w14:paraId="7E992838" w14:textId="77777777" w:rsidR="00AF58D0" w:rsidRPr="00AF58D0" w:rsidRDefault="00AF58D0" w:rsidP="00AF58D0">
            <w:pPr>
              <w:rPr>
                <w:rFonts w:eastAsia="Times New Roman" w:cs="Calibri"/>
                <w:noProof/>
                <w:sz w:val="18"/>
                <w:szCs w:val="18"/>
                <w:lang w:val="en-GB"/>
              </w:rPr>
            </w:pPr>
          </w:p>
          <w:p w14:paraId="54A8D997" w14:textId="77777777" w:rsidR="00AF58D0" w:rsidRPr="00AF58D0" w:rsidRDefault="00AF58D0" w:rsidP="00AF58D0">
            <w:pPr>
              <w:rPr>
                <w:rFonts w:eastAsia="Times New Roman" w:cs="Calibri"/>
                <w:noProof/>
                <w:sz w:val="18"/>
                <w:szCs w:val="18"/>
                <w:lang w:val="en-GB"/>
              </w:rPr>
            </w:pPr>
          </w:p>
        </w:tc>
        <w:tc>
          <w:tcPr>
            <w:tcW w:w="1985" w:type="dxa"/>
            <w:tcBorders>
              <w:top w:val="single" w:sz="4" w:space="0" w:color="auto"/>
              <w:left w:val="nil"/>
              <w:bottom w:val="single" w:sz="4" w:space="0" w:color="auto"/>
              <w:right w:val="single" w:sz="4" w:space="0" w:color="auto"/>
            </w:tcBorders>
            <w:shd w:val="clear" w:color="auto" w:fill="C6EFCE"/>
            <w:noWrap/>
          </w:tcPr>
          <w:p w14:paraId="6CB0496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16778_Arhiivide ja nendega seotud teenuste digiteerimine</w:t>
            </w:r>
          </w:p>
        </w:tc>
        <w:tc>
          <w:tcPr>
            <w:tcW w:w="992" w:type="dxa"/>
            <w:tcBorders>
              <w:top w:val="single" w:sz="4" w:space="0" w:color="auto"/>
              <w:left w:val="nil"/>
              <w:bottom w:val="single" w:sz="4" w:space="0" w:color="auto"/>
              <w:right w:val="single" w:sz="4" w:space="0" w:color="auto"/>
            </w:tcBorders>
            <w:shd w:val="clear" w:color="auto" w:fill="C6EFCE"/>
            <w:noWrap/>
          </w:tcPr>
          <w:p w14:paraId="41FCBC3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701" w:type="dxa"/>
            <w:tcBorders>
              <w:top w:val="single" w:sz="4" w:space="0" w:color="auto"/>
              <w:left w:val="nil"/>
              <w:bottom w:val="single" w:sz="4" w:space="0" w:color="auto"/>
              <w:right w:val="single" w:sz="4" w:space="0" w:color="auto"/>
            </w:tcBorders>
            <w:shd w:val="clear" w:color="auto" w:fill="C6EFCE"/>
            <w:noWrap/>
          </w:tcPr>
          <w:p w14:paraId="17CCCAF8" w14:textId="77777777" w:rsidR="00AD3F7A" w:rsidRPr="00E02B5D" w:rsidRDefault="00AD3F7A" w:rsidP="00D16F13">
            <w:pPr>
              <w:spacing w:after="0" w:line="240" w:lineRule="auto"/>
              <w:rPr>
                <w:rFonts w:eastAsia="Times New Roman" w:cs="Calibri"/>
                <w:iCs/>
                <w:noProof/>
                <w:color w:val="006100"/>
                <w:sz w:val="18"/>
                <w:szCs w:val="18"/>
              </w:rPr>
            </w:pPr>
            <w:r>
              <w:rPr>
                <w:noProof/>
                <w:color w:val="006100"/>
                <w:sz w:val="18"/>
              </w:rPr>
              <w:t>Arhivaalide digiteerimise leping(ud)</w:t>
            </w:r>
          </w:p>
        </w:tc>
        <w:tc>
          <w:tcPr>
            <w:tcW w:w="1276" w:type="dxa"/>
            <w:tcBorders>
              <w:top w:val="single" w:sz="4" w:space="0" w:color="auto"/>
              <w:left w:val="nil"/>
              <w:bottom w:val="single" w:sz="4" w:space="0" w:color="auto"/>
              <w:right w:val="single" w:sz="4" w:space="0" w:color="auto"/>
            </w:tcBorders>
            <w:shd w:val="clear" w:color="auto" w:fill="C6EFCE"/>
            <w:noWrap/>
          </w:tcPr>
          <w:p w14:paraId="269348C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Lepingu(te) sõlmimine, et hõlmata kõik järgmised 9 allprojekti, sealhulgas kõik nende komponendid: </w:t>
            </w:r>
          </w:p>
        </w:tc>
        <w:tc>
          <w:tcPr>
            <w:tcW w:w="1134" w:type="dxa"/>
            <w:tcBorders>
              <w:top w:val="single" w:sz="4" w:space="0" w:color="auto"/>
              <w:left w:val="nil"/>
              <w:bottom w:val="single" w:sz="4" w:space="0" w:color="auto"/>
              <w:right w:val="single" w:sz="4" w:space="0" w:color="auto"/>
            </w:tcBorders>
            <w:shd w:val="clear" w:color="auto" w:fill="C6EFCE"/>
            <w:noWrap/>
          </w:tcPr>
          <w:p w14:paraId="7B5C25CD"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14:paraId="19232110"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14:paraId="73B81264"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14:paraId="77A66D4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993" w:type="dxa"/>
            <w:tcBorders>
              <w:top w:val="nil"/>
              <w:left w:val="nil"/>
              <w:bottom w:val="single" w:sz="4" w:space="0" w:color="auto"/>
              <w:right w:val="single" w:sz="4" w:space="0" w:color="auto"/>
            </w:tcBorders>
            <w:shd w:val="clear" w:color="auto" w:fill="C6EFCE"/>
            <w:noWrap/>
          </w:tcPr>
          <w:p w14:paraId="46BB2CD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4394" w:type="dxa"/>
            <w:tcBorders>
              <w:top w:val="single" w:sz="4" w:space="0" w:color="auto"/>
              <w:left w:val="nil"/>
              <w:bottom w:val="single" w:sz="4" w:space="0" w:color="auto"/>
              <w:right w:val="single" w:sz="4" w:space="0" w:color="auto"/>
            </w:tcBorders>
            <w:shd w:val="clear" w:color="auto" w:fill="C6EFCE"/>
            <w:noWrap/>
          </w:tcPr>
          <w:p w14:paraId="15B2F05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Lepingu(te) sõlmimine iga järgmise 9 allprojekti, sealhulgas kõigi nende komponentide kohta: </w:t>
            </w:r>
          </w:p>
          <w:p w14:paraId="0CBA3B94" w14:textId="77777777" w:rsidR="00AD3F7A" w:rsidRPr="00E02B5D" w:rsidRDefault="00AD3F7A" w:rsidP="00DE1EE5">
            <w:pPr>
              <w:numPr>
                <w:ilvl w:val="0"/>
                <w:numId w:val="54"/>
              </w:numPr>
              <w:spacing w:before="120" w:after="160" w:line="259" w:lineRule="auto"/>
              <w:ind w:left="220" w:hanging="169"/>
              <w:contextualSpacing/>
              <w:jc w:val="both"/>
              <w:rPr>
                <w:rFonts w:eastAsia="Times New Roman" w:cs="Calibri"/>
                <w:noProof/>
                <w:color w:val="006100"/>
                <w:sz w:val="18"/>
                <w:szCs w:val="18"/>
              </w:rPr>
            </w:pPr>
            <w:r>
              <w:rPr>
                <w:noProof/>
                <w:color w:val="006100"/>
                <w:sz w:val="18"/>
              </w:rPr>
              <w:t>Allprojekt 1: Rahvatervise süsteemi arhiivide digiteerimine</w:t>
            </w:r>
          </w:p>
          <w:p w14:paraId="5F8C62AC" w14:textId="77777777" w:rsidR="00AD3F7A" w:rsidRPr="00E02B5D" w:rsidRDefault="00AD3F7A" w:rsidP="00DE1EE5">
            <w:pPr>
              <w:numPr>
                <w:ilvl w:val="0"/>
                <w:numId w:val="54"/>
              </w:numPr>
              <w:spacing w:before="120" w:after="0" w:line="259" w:lineRule="auto"/>
              <w:ind w:left="220" w:hanging="169"/>
              <w:contextualSpacing/>
              <w:jc w:val="both"/>
              <w:rPr>
                <w:rFonts w:eastAsia="Times New Roman" w:cs="Calibri"/>
                <w:noProof/>
                <w:color w:val="006100"/>
                <w:sz w:val="18"/>
                <w:szCs w:val="18"/>
              </w:rPr>
            </w:pPr>
            <w:r>
              <w:rPr>
                <w:noProof/>
                <w:color w:val="006100"/>
                <w:sz w:val="18"/>
              </w:rPr>
              <w:t>Allprojekt 2: Riigi üldarhiivi digiteerimine</w:t>
            </w:r>
          </w:p>
          <w:p w14:paraId="27B24C62" w14:textId="77777777" w:rsidR="00AD3F7A" w:rsidRPr="00E02B5D" w:rsidRDefault="00AD3F7A" w:rsidP="00DE1EE5">
            <w:pPr>
              <w:numPr>
                <w:ilvl w:val="0"/>
                <w:numId w:val="54"/>
              </w:numPr>
              <w:spacing w:before="120" w:after="0" w:line="259" w:lineRule="auto"/>
              <w:ind w:left="220" w:hanging="169"/>
              <w:contextualSpacing/>
              <w:jc w:val="both"/>
              <w:rPr>
                <w:rFonts w:eastAsia="Times New Roman" w:cs="Calibri"/>
                <w:noProof/>
                <w:color w:val="006100"/>
                <w:sz w:val="18"/>
                <w:szCs w:val="18"/>
              </w:rPr>
            </w:pPr>
            <w:r>
              <w:rPr>
                <w:noProof/>
                <w:color w:val="006100"/>
                <w:sz w:val="18"/>
              </w:rPr>
              <w:t>Allprojekt 3: Sisserände- ja varjupaigasüsteemi arhiivide digiteerimine</w:t>
            </w:r>
          </w:p>
          <w:p w14:paraId="7E2914A7" w14:textId="77777777" w:rsidR="00AD3F7A" w:rsidRPr="00E02B5D" w:rsidRDefault="00AD3F7A" w:rsidP="00DE1EE5">
            <w:pPr>
              <w:numPr>
                <w:ilvl w:val="0"/>
                <w:numId w:val="54"/>
              </w:numPr>
              <w:spacing w:before="120" w:after="0" w:line="259" w:lineRule="auto"/>
              <w:ind w:left="220" w:hanging="169"/>
              <w:contextualSpacing/>
              <w:jc w:val="both"/>
              <w:rPr>
                <w:rFonts w:eastAsia="Times New Roman" w:cs="Calibri"/>
                <w:noProof/>
                <w:color w:val="006100"/>
                <w:sz w:val="18"/>
                <w:szCs w:val="18"/>
              </w:rPr>
            </w:pPr>
            <w:r>
              <w:rPr>
                <w:noProof/>
                <w:color w:val="006100"/>
                <w:sz w:val="18"/>
              </w:rPr>
              <w:t>Allprojekt 4: Sundvõõrandamise arhiivide digiteerimine</w:t>
            </w:r>
          </w:p>
          <w:p w14:paraId="090A4EB2" w14:textId="77777777" w:rsidR="00AD3F7A" w:rsidRPr="00E02B5D" w:rsidRDefault="00AD3F7A" w:rsidP="00DE1EE5">
            <w:pPr>
              <w:numPr>
                <w:ilvl w:val="0"/>
                <w:numId w:val="54"/>
              </w:numPr>
              <w:spacing w:before="120" w:after="0" w:line="259" w:lineRule="auto"/>
              <w:ind w:left="220" w:hanging="169"/>
              <w:contextualSpacing/>
              <w:jc w:val="both"/>
              <w:rPr>
                <w:rFonts w:eastAsia="Times New Roman" w:cs="Calibri"/>
                <w:noProof/>
                <w:color w:val="006100"/>
                <w:sz w:val="18"/>
                <w:szCs w:val="18"/>
              </w:rPr>
            </w:pPr>
            <w:r>
              <w:rPr>
                <w:noProof/>
                <w:color w:val="006100"/>
                <w:sz w:val="18"/>
              </w:rPr>
              <w:t>Allprojekt 5: Linnaplaneerimisasutuste arhiivide digiteerimine</w:t>
            </w:r>
          </w:p>
          <w:p w14:paraId="6B79B83C" w14:textId="77777777" w:rsidR="00AD3F7A" w:rsidRPr="00E02B5D" w:rsidRDefault="00AD3F7A" w:rsidP="00DE1EE5">
            <w:pPr>
              <w:numPr>
                <w:ilvl w:val="0"/>
                <w:numId w:val="54"/>
              </w:numPr>
              <w:spacing w:before="120" w:after="0" w:line="259" w:lineRule="auto"/>
              <w:ind w:left="220" w:hanging="169"/>
              <w:contextualSpacing/>
              <w:jc w:val="both"/>
              <w:rPr>
                <w:rFonts w:eastAsia="Times New Roman" w:cs="Calibri"/>
                <w:noProof/>
                <w:color w:val="006100"/>
                <w:sz w:val="18"/>
                <w:szCs w:val="18"/>
              </w:rPr>
            </w:pPr>
            <w:r>
              <w:rPr>
                <w:noProof/>
                <w:color w:val="006100"/>
                <w:sz w:val="18"/>
              </w:rPr>
              <w:t>Allprojekt 6: Linnaplaneerimisasutuste arhiivide digiteerimine</w:t>
            </w:r>
          </w:p>
          <w:p w14:paraId="379DD121" w14:textId="77777777" w:rsidR="00AD3F7A" w:rsidRPr="00E02B5D" w:rsidRDefault="00AD3F7A" w:rsidP="00DE1EE5">
            <w:pPr>
              <w:numPr>
                <w:ilvl w:val="0"/>
                <w:numId w:val="54"/>
              </w:numPr>
              <w:spacing w:before="120" w:after="0" w:line="259" w:lineRule="auto"/>
              <w:ind w:left="220" w:hanging="169"/>
              <w:contextualSpacing/>
              <w:jc w:val="both"/>
              <w:rPr>
                <w:rFonts w:eastAsia="Times New Roman" w:cs="Calibri"/>
                <w:noProof/>
                <w:color w:val="006100"/>
                <w:sz w:val="18"/>
                <w:szCs w:val="18"/>
              </w:rPr>
            </w:pPr>
            <w:r>
              <w:rPr>
                <w:noProof/>
                <w:color w:val="006100"/>
                <w:sz w:val="18"/>
              </w:rPr>
              <w:t>Allprojekt 7A – Katastri arhiivide digitaliseerimine (Ktimatologio)</w:t>
            </w:r>
          </w:p>
          <w:p w14:paraId="3C6CB83A" w14:textId="77777777" w:rsidR="00AD3F7A" w:rsidRPr="00E02B5D" w:rsidRDefault="00AD3F7A" w:rsidP="00DE1EE5">
            <w:pPr>
              <w:numPr>
                <w:ilvl w:val="0"/>
                <w:numId w:val="54"/>
              </w:numPr>
              <w:spacing w:before="120" w:after="0" w:line="259" w:lineRule="auto"/>
              <w:ind w:left="220" w:hanging="169"/>
              <w:contextualSpacing/>
              <w:jc w:val="both"/>
              <w:rPr>
                <w:rFonts w:eastAsia="Times New Roman" w:cs="Calibri"/>
                <w:noProof/>
                <w:color w:val="006100"/>
                <w:sz w:val="18"/>
                <w:szCs w:val="18"/>
              </w:rPr>
            </w:pPr>
            <w:r>
              <w:rPr>
                <w:noProof/>
                <w:color w:val="006100"/>
                <w:sz w:val="18"/>
              </w:rPr>
              <w:t>Allprojekt 7B – Katastri täiustatud digitaalteenused</w:t>
            </w:r>
          </w:p>
          <w:p w14:paraId="31E46FB9" w14:textId="77777777" w:rsidR="00AD3F7A" w:rsidRPr="00E02B5D" w:rsidRDefault="00AD3F7A" w:rsidP="00DE1EE5">
            <w:pPr>
              <w:numPr>
                <w:ilvl w:val="0"/>
                <w:numId w:val="54"/>
              </w:numPr>
              <w:spacing w:before="120" w:after="0" w:line="259" w:lineRule="auto"/>
              <w:ind w:left="220" w:hanging="169"/>
              <w:contextualSpacing/>
              <w:jc w:val="both"/>
              <w:rPr>
                <w:rFonts w:eastAsia="Times New Roman" w:cs="Calibri"/>
                <w:noProof/>
                <w:color w:val="006100"/>
                <w:sz w:val="18"/>
                <w:szCs w:val="18"/>
              </w:rPr>
            </w:pPr>
            <w:r>
              <w:rPr>
                <w:noProof/>
                <w:color w:val="006100"/>
                <w:sz w:val="18"/>
              </w:rPr>
              <w:t>Allprojekt 8 – Merearhiivide digitaliseerimine</w:t>
            </w:r>
          </w:p>
          <w:p w14:paraId="239EE034" w14:textId="77777777" w:rsidR="00AD3F7A" w:rsidRPr="00E02B5D" w:rsidRDefault="00AD3F7A" w:rsidP="00DE1EE5">
            <w:pPr>
              <w:numPr>
                <w:ilvl w:val="0"/>
                <w:numId w:val="54"/>
              </w:numPr>
              <w:spacing w:before="120" w:after="0" w:line="259" w:lineRule="auto"/>
              <w:ind w:left="220" w:hanging="169"/>
              <w:contextualSpacing/>
              <w:jc w:val="both"/>
              <w:rPr>
                <w:rFonts w:eastAsia="Times New Roman" w:cs="Calibri"/>
                <w:noProof/>
                <w:color w:val="006100"/>
                <w:sz w:val="18"/>
                <w:szCs w:val="18"/>
              </w:rPr>
            </w:pPr>
            <w:r>
              <w:rPr>
                <w:noProof/>
                <w:color w:val="006100"/>
                <w:sz w:val="18"/>
              </w:rPr>
              <w:t>Allprojekt 9: Avaliku sektori ja laiema avaliku sektori turvaline säilitamine</w:t>
            </w:r>
          </w:p>
          <w:p w14:paraId="210BF61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Spetsifikatsioonid sisaldavad ajakava ja eesmärke ning sisaldavad iga 9 allprojekti kohta üksikasjalikku teavet järgmise kohta: </w:t>
            </w:r>
          </w:p>
          <w:p w14:paraId="62EDC4D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1. Füüsiliste andmete digiteerimine </w:t>
            </w:r>
          </w:p>
          <w:p w14:paraId="56A4AA0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digitaalsete dokumentide migratsioon olemasolevatesse süsteemidesse (sh õigustoimikud süsteemis OSDDY-PP/OSDDY-DD; kinnisvara omandiõigused riikliku kinnistusregistri infosüsteemis)</w:t>
            </w:r>
          </w:p>
          <w:p w14:paraId="061B53B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3. kohalikes asutustes asuvate andmekeskuste ja taristu analüüs, kavandamine ja rakendamine koos asjakohase ühtse liidesega (sh patsientide andmete keskhoidla; Ühtse digitaalse sundvõõrandamise ja sundvõõrandamise nõuete ühtse digitaalse kaardi integreeritud geograafiline infosüsteem; Dokumendi- ja digifailide haldamise süsteem (DMS/DAS) katastrikirjete jaoks; arhiivihaldustarkvara paigaldamine).</w:t>
            </w:r>
          </w:p>
          <w:p w14:paraId="61675B6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tugiteenused (sh uued elektroonilised teenused, mis on seotud failide otsimise ja otsimisega kodanikele; avaliku halduse riigiarhiivi teadlased).</w:t>
            </w:r>
          </w:p>
        </w:tc>
      </w:tr>
      <w:tr w:rsidR="00AD3F7A" w:rsidRPr="003B132A" w14:paraId="12A705C0" w14:textId="77777777" w:rsidTr="00AC1A5D">
        <w:trPr>
          <w:trHeight w:val="309"/>
          <w:jc w:val="center"/>
        </w:trPr>
        <w:tc>
          <w:tcPr>
            <w:tcW w:w="562" w:type="dxa"/>
            <w:tcBorders>
              <w:top w:val="nil"/>
              <w:left w:val="single" w:sz="4" w:space="0" w:color="auto"/>
              <w:bottom w:val="single" w:sz="4" w:space="0" w:color="auto"/>
              <w:right w:val="single" w:sz="4" w:space="0" w:color="auto"/>
            </w:tcBorders>
            <w:shd w:val="clear" w:color="auto" w:fill="C6EFCE"/>
            <w:noWrap/>
          </w:tcPr>
          <w:p w14:paraId="6230106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94</w:t>
            </w:r>
          </w:p>
        </w:tc>
        <w:tc>
          <w:tcPr>
            <w:tcW w:w="1985" w:type="dxa"/>
            <w:tcBorders>
              <w:top w:val="nil"/>
              <w:left w:val="nil"/>
              <w:bottom w:val="single" w:sz="4" w:space="0" w:color="auto"/>
              <w:right w:val="single" w:sz="4" w:space="0" w:color="auto"/>
            </w:tcBorders>
            <w:shd w:val="clear" w:color="auto" w:fill="C6EFCE"/>
            <w:noWrap/>
          </w:tcPr>
          <w:p w14:paraId="68F18DB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16778_Arhiivide ja nendega seotud teenuste digiteerimine</w:t>
            </w:r>
          </w:p>
        </w:tc>
        <w:tc>
          <w:tcPr>
            <w:tcW w:w="992" w:type="dxa"/>
            <w:tcBorders>
              <w:top w:val="nil"/>
              <w:left w:val="nil"/>
              <w:bottom w:val="single" w:sz="4" w:space="0" w:color="auto"/>
              <w:right w:val="single" w:sz="4" w:space="0" w:color="auto"/>
            </w:tcBorders>
            <w:shd w:val="clear" w:color="auto" w:fill="C6EFCE"/>
            <w:noWrap/>
          </w:tcPr>
          <w:p w14:paraId="15D77B7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Siht</w:t>
            </w:r>
          </w:p>
        </w:tc>
        <w:tc>
          <w:tcPr>
            <w:tcW w:w="1701" w:type="dxa"/>
            <w:tcBorders>
              <w:top w:val="nil"/>
              <w:left w:val="nil"/>
              <w:bottom w:val="single" w:sz="4" w:space="0" w:color="auto"/>
              <w:right w:val="single" w:sz="4" w:space="0" w:color="auto"/>
            </w:tcBorders>
            <w:shd w:val="clear" w:color="auto" w:fill="C6EFCE"/>
            <w:noWrap/>
          </w:tcPr>
          <w:p w14:paraId="06A7EB4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Arhiivide digiteerimine – rakendamise esimene etapp</w:t>
            </w:r>
          </w:p>
        </w:tc>
        <w:tc>
          <w:tcPr>
            <w:tcW w:w="1276" w:type="dxa"/>
            <w:tcBorders>
              <w:top w:val="nil"/>
              <w:left w:val="nil"/>
              <w:bottom w:val="single" w:sz="4" w:space="0" w:color="auto"/>
              <w:right w:val="single" w:sz="4" w:space="0" w:color="auto"/>
            </w:tcBorders>
            <w:shd w:val="clear" w:color="auto" w:fill="C6EFCE"/>
            <w:noWrap/>
          </w:tcPr>
          <w:p w14:paraId="72F9F056" w14:textId="77777777" w:rsidR="00FB53E2" w:rsidRDefault="00FB53E2" w:rsidP="00FB53E2">
            <w:pPr>
              <w:spacing w:after="0" w:line="240" w:lineRule="auto"/>
              <w:rPr>
                <w:noProof/>
                <w:color w:val="006100"/>
                <w:sz w:val="18"/>
                <w:lang w:val="en-GB"/>
              </w:rPr>
            </w:pPr>
          </w:p>
        </w:tc>
        <w:tc>
          <w:tcPr>
            <w:tcW w:w="1134" w:type="dxa"/>
            <w:tcBorders>
              <w:top w:val="nil"/>
              <w:left w:val="nil"/>
              <w:bottom w:val="single" w:sz="4" w:space="0" w:color="auto"/>
              <w:right w:val="single" w:sz="4" w:space="0" w:color="auto"/>
            </w:tcBorders>
            <w:shd w:val="clear" w:color="auto" w:fill="C6EFCE"/>
            <w:noWrap/>
          </w:tcPr>
          <w:p w14:paraId="7986028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Digiteeritud, metamärgistatud ja olemasolevatesse süsteemidesse üle viidud lehekülgede osakaal allprojektides 1, 2, 3, 4, 5, 6, 7a ja 8</w:t>
            </w:r>
          </w:p>
        </w:tc>
        <w:tc>
          <w:tcPr>
            <w:tcW w:w="850" w:type="dxa"/>
            <w:tcBorders>
              <w:top w:val="nil"/>
              <w:left w:val="nil"/>
              <w:bottom w:val="single" w:sz="4" w:space="0" w:color="auto"/>
              <w:right w:val="single" w:sz="4" w:space="0" w:color="auto"/>
            </w:tcBorders>
            <w:shd w:val="clear" w:color="auto" w:fill="C6EFCE"/>
            <w:noWrap/>
          </w:tcPr>
          <w:p w14:paraId="251B2B6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0</w:t>
            </w:r>
          </w:p>
        </w:tc>
        <w:tc>
          <w:tcPr>
            <w:tcW w:w="851" w:type="dxa"/>
            <w:tcBorders>
              <w:top w:val="nil"/>
              <w:left w:val="nil"/>
              <w:bottom w:val="single" w:sz="4" w:space="0" w:color="auto"/>
              <w:right w:val="single" w:sz="4" w:space="0" w:color="auto"/>
            </w:tcBorders>
            <w:shd w:val="clear" w:color="auto" w:fill="C6EFCE"/>
            <w:noWrap/>
          </w:tcPr>
          <w:p w14:paraId="1E5C600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30 %</w:t>
            </w:r>
          </w:p>
        </w:tc>
        <w:tc>
          <w:tcPr>
            <w:tcW w:w="850" w:type="dxa"/>
            <w:tcBorders>
              <w:top w:val="nil"/>
              <w:left w:val="nil"/>
              <w:bottom w:val="single" w:sz="4" w:space="0" w:color="auto"/>
              <w:right w:val="single" w:sz="4" w:space="0" w:color="auto"/>
            </w:tcBorders>
            <w:shd w:val="clear" w:color="auto" w:fill="C6EFCE"/>
            <w:noWrap/>
          </w:tcPr>
          <w:p w14:paraId="58DD28C3" w14:textId="77777777" w:rsidR="00AD3F7A" w:rsidRPr="00E02B5D" w:rsidRDefault="0058580E" w:rsidP="0058580E">
            <w:pPr>
              <w:spacing w:after="0" w:line="240" w:lineRule="auto"/>
              <w:rPr>
                <w:rFonts w:eastAsia="Times New Roman" w:cs="Calibri"/>
                <w:noProof/>
                <w:color w:val="006100"/>
                <w:sz w:val="18"/>
                <w:szCs w:val="18"/>
              </w:rPr>
            </w:pPr>
            <w:r>
              <w:rPr>
                <w:noProof/>
                <w:color w:val="006100"/>
                <w:sz w:val="18"/>
              </w:rPr>
              <w:t>2. kv</w:t>
            </w:r>
          </w:p>
        </w:tc>
        <w:tc>
          <w:tcPr>
            <w:tcW w:w="993" w:type="dxa"/>
            <w:tcBorders>
              <w:top w:val="nil"/>
              <w:left w:val="nil"/>
              <w:bottom w:val="single" w:sz="4" w:space="0" w:color="auto"/>
              <w:right w:val="single" w:sz="4" w:space="0" w:color="auto"/>
            </w:tcBorders>
            <w:shd w:val="clear" w:color="auto" w:fill="C6EFCE"/>
            <w:noWrap/>
          </w:tcPr>
          <w:p w14:paraId="3771A578" w14:textId="77777777" w:rsidR="00AD3F7A" w:rsidRPr="00E02B5D" w:rsidRDefault="0058580E" w:rsidP="0058580E">
            <w:pPr>
              <w:spacing w:after="0" w:line="240" w:lineRule="auto"/>
              <w:rPr>
                <w:rFonts w:eastAsia="Times New Roman" w:cs="Calibri"/>
                <w:noProof/>
                <w:color w:val="006100"/>
                <w:sz w:val="18"/>
                <w:szCs w:val="18"/>
              </w:rPr>
            </w:pPr>
            <w:r>
              <w:rPr>
                <w:noProof/>
                <w:color w:val="006100"/>
                <w:sz w:val="18"/>
              </w:rPr>
              <w:t>2024</w:t>
            </w:r>
          </w:p>
        </w:tc>
        <w:tc>
          <w:tcPr>
            <w:tcW w:w="4394" w:type="dxa"/>
            <w:tcBorders>
              <w:top w:val="nil"/>
              <w:left w:val="nil"/>
              <w:bottom w:val="single" w:sz="4" w:space="0" w:color="auto"/>
              <w:right w:val="single" w:sz="4" w:space="0" w:color="auto"/>
            </w:tcBorders>
            <w:shd w:val="clear" w:color="auto" w:fill="C6EFCE"/>
            <w:noWrap/>
          </w:tcPr>
          <w:p w14:paraId="1DE5C44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Vähemalt 30 % osaprojektide 1, 2, 3, 4, 5, 6, 7a ja 8 lehekülgede koguarvust digiteerimise lõpuleviimine.</w:t>
            </w:r>
          </w:p>
        </w:tc>
      </w:tr>
      <w:tr w:rsidR="007B4D63" w:rsidRPr="003B132A" w14:paraId="1FFE316C" w14:textId="77777777" w:rsidTr="00AC1A5D">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auto" w:fill="C6EFCE"/>
            <w:noWrap/>
            <w:hideMark/>
          </w:tcPr>
          <w:p w14:paraId="2C944E3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95</w:t>
            </w:r>
          </w:p>
        </w:tc>
        <w:tc>
          <w:tcPr>
            <w:tcW w:w="1985" w:type="dxa"/>
            <w:tcBorders>
              <w:top w:val="single" w:sz="4" w:space="0" w:color="auto"/>
              <w:left w:val="nil"/>
              <w:bottom w:val="single" w:sz="4" w:space="0" w:color="auto"/>
              <w:right w:val="single" w:sz="4" w:space="0" w:color="auto"/>
            </w:tcBorders>
            <w:shd w:val="clear" w:color="auto" w:fill="C6EFCE"/>
            <w:noWrap/>
            <w:hideMark/>
          </w:tcPr>
          <w:p w14:paraId="5088BDE3" w14:textId="0C5F7936"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16778_Arhiivide ja nendega seotud teenuste digiteerimine</w:t>
            </w:r>
          </w:p>
        </w:tc>
        <w:tc>
          <w:tcPr>
            <w:tcW w:w="992" w:type="dxa"/>
            <w:tcBorders>
              <w:top w:val="single" w:sz="4" w:space="0" w:color="auto"/>
              <w:left w:val="nil"/>
              <w:bottom w:val="single" w:sz="4" w:space="0" w:color="auto"/>
              <w:right w:val="single" w:sz="4" w:space="0" w:color="auto"/>
            </w:tcBorders>
            <w:shd w:val="clear" w:color="auto" w:fill="C6EFCE"/>
            <w:noWrap/>
            <w:hideMark/>
          </w:tcPr>
          <w:p w14:paraId="28E9929F" w14:textId="47F7E6D6" w:rsidR="00AD3F7A" w:rsidRPr="00E02B5D" w:rsidRDefault="00AD3F7A" w:rsidP="00D16F13">
            <w:pPr>
              <w:spacing w:after="0" w:line="240" w:lineRule="auto"/>
              <w:rPr>
                <w:rFonts w:eastAsia="Times New Roman" w:cs="Calibri"/>
                <w:noProof/>
                <w:color w:val="006100"/>
                <w:sz w:val="18"/>
                <w:szCs w:val="18"/>
              </w:rPr>
            </w:pPr>
            <w:r>
              <w:rPr>
                <w:noProof/>
                <w:color w:val="006100"/>
                <w:sz w:val="18"/>
              </w:rPr>
              <w:t>Siht</w:t>
            </w:r>
          </w:p>
        </w:tc>
        <w:tc>
          <w:tcPr>
            <w:tcW w:w="1701" w:type="dxa"/>
            <w:tcBorders>
              <w:top w:val="single" w:sz="4" w:space="0" w:color="auto"/>
              <w:left w:val="nil"/>
              <w:bottom w:val="single" w:sz="4" w:space="0" w:color="auto"/>
              <w:right w:val="single" w:sz="4" w:space="0" w:color="auto"/>
            </w:tcBorders>
            <w:shd w:val="clear" w:color="auto" w:fill="C6EFCE"/>
            <w:noWrap/>
            <w:hideMark/>
          </w:tcPr>
          <w:p w14:paraId="23AA997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Arhiivide digiteerimine – täielik rakendamine</w:t>
            </w:r>
          </w:p>
        </w:tc>
        <w:tc>
          <w:tcPr>
            <w:tcW w:w="1276" w:type="dxa"/>
            <w:tcBorders>
              <w:top w:val="single" w:sz="4" w:space="0" w:color="auto"/>
              <w:left w:val="nil"/>
              <w:bottom w:val="single" w:sz="4" w:space="0" w:color="auto"/>
              <w:right w:val="single" w:sz="4" w:space="0" w:color="auto"/>
            </w:tcBorders>
            <w:shd w:val="clear" w:color="auto" w:fill="C6EFCE"/>
            <w:noWrap/>
            <w:hideMark/>
          </w:tcPr>
          <w:p w14:paraId="62CED49B"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33BF1EB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Digiteeritud, metamärgistatud ja olemasolevatesse süsteemidesse üle viidud lehekülgede osakaal allprojektides 1, 2, 3, 4, 5, 6, 7a ja 8</w:t>
            </w:r>
          </w:p>
        </w:tc>
        <w:tc>
          <w:tcPr>
            <w:tcW w:w="850" w:type="dxa"/>
            <w:tcBorders>
              <w:top w:val="single" w:sz="4" w:space="0" w:color="auto"/>
              <w:left w:val="nil"/>
              <w:bottom w:val="single" w:sz="4" w:space="0" w:color="auto"/>
              <w:right w:val="single" w:sz="4" w:space="0" w:color="auto"/>
            </w:tcBorders>
            <w:shd w:val="clear" w:color="auto" w:fill="C6EFCE"/>
            <w:noWrap/>
            <w:hideMark/>
          </w:tcPr>
          <w:p w14:paraId="460B301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30 %</w:t>
            </w:r>
          </w:p>
        </w:tc>
        <w:tc>
          <w:tcPr>
            <w:tcW w:w="851" w:type="dxa"/>
            <w:tcBorders>
              <w:top w:val="single" w:sz="4" w:space="0" w:color="auto"/>
              <w:left w:val="nil"/>
              <w:bottom w:val="single" w:sz="4" w:space="0" w:color="auto"/>
              <w:right w:val="single" w:sz="4" w:space="0" w:color="auto"/>
            </w:tcBorders>
            <w:shd w:val="clear" w:color="auto" w:fill="C6EFCE"/>
            <w:noWrap/>
            <w:hideMark/>
          </w:tcPr>
          <w:p w14:paraId="3640F71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90 %</w:t>
            </w:r>
          </w:p>
        </w:tc>
        <w:tc>
          <w:tcPr>
            <w:tcW w:w="850" w:type="dxa"/>
            <w:tcBorders>
              <w:top w:val="single" w:sz="4" w:space="0" w:color="auto"/>
              <w:left w:val="nil"/>
              <w:bottom w:val="single" w:sz="4" w:space="0" w:color="auto"/>
              <w:right w:val="single" w:sz="4" w:space="0" w:color="auto"/>
            </w:tcBorders>
            <w:shd w:val="clear" w:color="auto" w:fill="C6EFCE"/>
            <w:noWrap/>
            <w:hideMark/>
          </w:tcPr>
          <w:p w14:paraId="7553F62F" w14:textId="49547421"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993" w:type="dxa"/>
            <w:tcBorders>
              <w:top w:val="single" w:sz="4" w:space="0" w:color="auto"/>
              <w:left w:val="nil"/>
              <w:bottom w:val="single" w:sz="4" w:space="0" w:color="auto"/>
              <w:right w:val="single" w:sz="4" w:space="0" w:color="auto"/>
            </w:tcBorders>
            <w:shd w:val="clear" w:color="auto" w:fill="C6EFCE"/>
            <w:noWrap/>
            <w:hideMark/>
          </w:tcPr>
          <w:p w14:paraId="3118583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394" w:type="dxa"/>
            <w:tcBorders>
              <w:top w:val="single" w:sz="4" w:space="0" w:color="auto"/>
              <w:left w:val="nil"/>
              <w:bottom w:val="single" w:sz="4" w:space="0" w:color="auto"/>
              <w:right w:val="single" w:sz="4" w:space="0" w:color="auto"/>
            </w:tcBorders>
            <w:shd w:val="clear" w:color="auto" w:fill="C6EFCE"/>
            <w:noWrap/>
            <w:hideMark/>
          </w:tcPr>
          <w:p w14:paraId="0DFC380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Vähemalt 90 % osaprojektide 1, 2, 3, 4, 5, 6, 7a ja 8 lehekülgede koguarvust digiteerimine. </w:t>
            </w:r>
          </w:p>
        </w:tc>
      </w:tr>
      <w:tr w:rsidR="00AD3F7A" w:rsidRPr="003B132A" w14:paraId="5D0CEFBE" w14:textId="77777777" w:rsidTr="00AC1A5D">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auto" w:fill="C6EFCE"/>
            <w:noWrap/>
          </w:tcPr>
          <w:p w14:paraId="75BABDA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95a</w:t>
            </w:r>
          </w:p>
        </w:tc>
        <w:tc>
          <w:tcPr>
            <w:tcW w:w="1985" w:type="dxa"/>
            <w:tcBorders>
              <w:top w:val="single" w:sz="4" w:space="0" w:color="auto"/>
              <w:left w:val="nil"/>
              <w:bottom w:val="single" w:sz="4" w:space="0" w:color="auto"/>
              <w:right w:val="single" w:sz="4" w:space="0" w:color="auto"/>
            </w:tcBorders>
            <w:shd w:val="clear" w:color="auto" w:fill="C6EFCE"/>
            <w:noWrap/>
          </w:tcPr>
          <w:p w14:paraId="180A52B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16778_Arhiivide ja nendega seotud teenuste digiteerimine</w:t>
            </w:r>
          </w:p>
        </w:tc>
        <w:tc>
          <w:tcPr>
            <w:tcW w:w="992" w:type="dxa"/>
            <w:tcBorders>
              <w:top w:val="single" w:sz="4" w:space="0" w:color="auto"/>
              <w:left w:val="nil"/>
              <w:bottom w:val="single" w:sz="4" w:space="0" w:color="auto"/>
              <w:right w:val="single" w:sz="4" w:space="0" w:color="auto"/>
            </w:tcBorders>
            <w:shd w:val="clear" w:color="auto" w:fill="C6EFCE"/>
            <w:noWrap/>
          </w:tcPr>
          <w:p w14:paraId="5F14D06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701" w:type="dxa"/>
            <w:tcBorders>
              <w:top w:val="single" w:sz="4" w:space="0" w:color="auto"/>
              <w:left w:val="nil"/>
              <w:bottom w:val="single" w:sz="4" w:space="0" w:color="auto"/>
              <w:right w:val="single" w:sz="4" w:space="0" w:color="auto"/>
            </w:tcBorders>
            <w:shd w:val="clear" w:color="auto" w:fill="C6EFCE"/>
            <w:noWrap/>
          </w:tcPr>
          <w:p w14:paraId="3C8D1FD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Allprojektide 7B ja 9 rakendamine</w:t>
            </w:r>
          </w:p>
        </w:tc>
        <w:tc>
          <w:tcPr>
            <w:tcW w:w="1276" w:type="dxa"/>
            <w:tcBorders>
              <w:top w:val="single" w:sz="4" w:space="0" w:color="auto"/>
              <w:left w:val="nil"/>
              <w:bottom w:val="single" w:sz="4" w:space="0" w:color="auto"/>
              <w:right w:val="single" w:sz="4" w:space="0" w:color="auto"/>
            </w:tcBorders>
            <w:shd w:val="clear" w:color="auto" w:fill="C6EFCE"/>
            <w:noWrap/>
          </w:tcPr>
          <w:p w14:paraId="0D0C76E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Digihalduse ministeeriumi aruanne, milles kinnitatakse allprojektide „7B-parandatud digitaalteenused katastrile“ ja „9-Secure storage of public sector and wider public sector Arch“ (avaliku sektori ja laiemate avaliku sektori arhiivide turvaline säilitamine) lõpuleviimist.</w:t>
            </w:r>
          </w:p>
        </w:tc>
        <w:tc>
          <w:tcPr>
            <w:tcW w:w="1134" w:type="dxa"/>
            <w:tcBorders>
              <w:top w:val="single" w:sz="4" w:space="0" w:color="auto"/>
              <w:left w:val="nil"/>
              <w:bottom w:val="single" w:sz="4" w:space="0" w:color="auto"/>
              <w:right w:val="single" w:sz="4" w:space="0" w:color="auto"/>
            </w:tcBorders>
            <w:shd w:val="clear" w:color="auto" w:fill="C6EFCE"/>
            <w:noWrap/>
          </w:tcPr>
          <w:p w14:paraId="323AE519"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1873ADC0"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28DD6509"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5079CC4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993" w:type="dxa"/>
            <w:tcBorders>
              <w:top w:val="single" w:sz="4" w:space="0" w:color="auto"/>
              <w:left w:val="nil"/>
              <w:bottom w:val="single" w:sz="4" w:space="0" w:color="auto"/>
              <w:right w:val="single" w:sz="4" w:space="0" w:color="auto"/>
            </w:tcBorders>
            <w:shd w:val="clear" w:color="auto" w:fill="C6EFCE"/>
            <w:noWrap/>
          </w:tcPr>
          <w:p w14:paraId="6B9EC0F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394" w:type="dxa"/>
            <w:tcBorders>
              <w:top w:val="single" w:sz="4" w:space="0" w:color="auto"/>
              <w:left w:val="nil"/>
              <w:bottom w:val="single" w:sz="4" w:space="0" w:color="auto"/>
              <w:right w:val="single" w:sz="4" w:space="0" w:color="auto"/>
            </w:tcBorders>
            <w:shd w:val="clear" w:color="auto" w:fill="C6EFCE"/>
            <w:noWrap/>
          </w:tcPr>
          <w:p w14:paraId="445DC9A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Kreeka katastri pakutavate teenuste digiteerimiseks mõeldud allprojekti „7B-parandatud digitaalteenused katastrile“ ja allprojekti „9-Avaliku sektori ja laiema avaliku sektori arhiivide turvaline säilitamine“ rakendamise lõpuleviimine.</w:t>
            </w:r>
          </w:p>
        </w:tc>
      </w:tr>
    </w:tbl>
    <w:p w14:paraId="54562616" w14:textId="77777777" w:rsidR="00AD3F7A" w:rsidRPr="00AD4052" w:rsidRDefault="00AD3F7A" w:rsidP="00645BC7">
      <w:pPr>
        <w:spacing w:before="120" w:after="120" w:line="240" w:lineRule="auto"/>
        <w:ind w:left="709"/>
        <w:jc w:val="both"/>
        <w:rPr>
          <w:rFonts w:ascii="Times New Roman" w:hAnsi="Times New Roman" w:cs="Times New Roman"/>
          <w:noProof/>
          <w:sz w:val="24"/>
          <w:szCs w:val="24"/>
        </w:rPr>
      </w:pPr>
    </w:p>
    <w:p w14:paraId="2C8C5454" w14:textId="77777777" w:rsidR="0052157A" w:rsidRPr="00AD4052" w:rsidRDefault="0052157A" w:rsidP="00645BC7">
      <w:pPr>
        <w:keepNext/>
        <w:keepLines/>
        <w:spacing w:before="40" w:after="0" w:line="240" w:lineRule="auto"/>
        <w:jc w:val="both"/>
        <w:outlineLvl w:val="4"/>
        <w:rPr>
          <w:rFonts w:ascii="Cambria" w:hAnsi="Cambria"/>
          <w:noProof/>
          <w:color w:val="365F91"/>
          <w:sz w:val="24"/>
        </w:rPr>
        <w:sectPr w:rsidR="0052157A" w:rsidRPr="00AD4052" w:rsidSect="00AF58D0">
          <w:headerReference w:type="even" r:id="rId140"/>
          <w:headerReference w:type="default" r:id="rId141"/>
          <w:footerReference w:type="even" r:id="rId142"/>
          <w:footerReference w:type="default" r:id="rId143"/>
          <w:headerReference w:type="first" r:id="rId144"/>
          <w:footerReference w:type="first" r:id="rId145"/>
          <w:pgSz w:w="16839" w:h="11907" w:orient="landscape"/>
          <w:pgMar w:top="720" w:right="720" w:bottom="720" w:left="720" w:header="709" w:footer="0" w:gutter="0"/>
          <w:cols w:space="720"/>
          <w:docGrid w:linePitch="360"/>
        </w:sectPr>
      </w:pPr>
    </w:p>
    <w:p w14:paraId="1E8BEE4A" w14:textId="77777777" w:rsidR="00AD3F7A" w:rsidRDefault="00AD3F7A" w:rsidP="00645BC7">
      <w:pPr>
        <w:keepNext/>
        <w:keepLines/>
        <w:spacing w:before="40" w:after="0" w:line="240" w:lineRule="auto"/>
        <w:jc w:val="both"/>
        <w:outlineLvl w:val="4"/>
        <w:rPr>
          <w:rFonts w:ascii="Cambria" w:hAnsi="Cambria"/>
          <w:noProof/>
          <w:color w:val="365F91"/>
          <w:sz w:val="24"/>
        </w:rPr>
      </w:pPr>
      <w:r>
        <w:rPr>
          <w:rFonts w:ascii="Cambria" w:hAnsi="Cambria"/>
          <w:noProof/>
          <w:color w:val="365F91"/>
          <w:sz w:val="24"/>
        </w:rPr>
        <w:t>Põhireform 5: Avaliku halduse kliendikesksete teenuste suunas protsesside lihtsustamise ja parandamise kaudu – registrite, süsteemide ja teenuste omavaheline ühendamine ja koostalitlusvõime</w:t>
      </w:r>
    </w:p>
    <w:p w14:paraId="79414334" w14:textId="77777777" w:rsidR="0052157A" w:rsidRPr="00AD4052" w:rsidRDefault="0052157A" w:rsidP="00645BC7">
      <w:pPr>
        <w:keepNext/>
        <w:keepLines/>
        <w:spacing w:before="40" w:after="0" w:line="240" w:lineRule="auto"/>
        <w:jc w:val="both"/>
        <w:outlineLvl w:val="4"/>
        <w:rPr>
          <w:rFonts w:ascii="Cambria" w:eastAsia="Times New Roman" w:hAnsi="Cambria"/>
          <w:noProof/>
          <w:color w:val="365F91"/>
          <w:sz w:val="24"/>
        </w:rPr>
      </w:pPr>
    </w:p>
    <w:tbl>
      <w:tblPr>
        <w:tblpPr w:leftFromText="180" w:rightFromText="180" w:vertAnchor="text" w:tblpXSpec="center" w:tblpY="1"/>
        <w:tblOverlap w:val="never"/>
        <w:tblW w:w="15588" w:type="dxa"/>
        <w:jc w:val="center"/>
        <w:tblLayout w:type="fixed"/>
        <w:tblLook w:val="04A0" w:firstRow="1" w:lastRow="0" w:firstColumn="1" w:lastColumn="0" w:noHBand="0" w:noVBand="1"/>
      </w:tblPr>
      <w:tblGrid>
        <w:gridCol w:w="1027"/>
        <w:gridCol w:w="2229"/>
        <w:gridCol w:w="1134"/>
        <w:gridCol w:w="1275"/>
        <w:gridCol w:w="1418"/>
        <w:gridCol w:w="992"/>
        <w:gridCol w:w="992"/>
        <w:gridCol w:w="709"/>
        <w:gridCol w:w="851"/>
        <w:gridCol w:w="992"/>
        <w:gridCol w:w="3969"/>
      </w:tblGrid>
      <w:tr w:rsidR="00D87EA1" w:rsidRPr="003B132A" w14:paraId="78C5BBBC" w14:textId="77777777" w:rsidTr="00FF7951">
        <w:trPr>
          <w:trHeight w:val="93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7BC162E"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22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4548588" w14:textId="77777777" w:rsidR="00AC1A5D" w:rsidRDefault="00AD3F7A" w:rsidP="00D16F13">
            <w:pPr>
              <w:spacing w:after="0" w:line="240" w:lineRule="auto"/>
              <w:jc w:val="center"/>
              <w:rPr>
                <w:rFonts w:ascii="Times New Roman" w:hAnsi="Times New Roman"/>
                <w:b/>
                <w:noProof/>
                <w:sz w:val="18"/>
              </w:rPr>
            </w:pPr>
            <w:r>
              <w:rPr>
                <w:rFonts w:ascii="Times New Roman" w:hAnsi="Times New Roman"/>
                <w:b/>
                <w:noProof/>
                <w:sz w:val="18"/>
              </w:rPr>
              <w:t xml:space="preserve">Seotud meede </w:t>
            </w:r>
          </w:p>
          <w:p w14:paraId="65ABB8F4" w14:textId="3960DEEA"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(Reform või investeering)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E3451B"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DED5D4"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BE089F"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693" w:type="dxa"/>
            <w:gridSpan w:val="3"/>
            <w:tcBorders>
              <w:top w:val="single" w:sz="4" w:space="0" w:color="auto"/>
              <w:left w:val="nil"/>
              <w:bottom w:val="single" w:sz="4" w:space="0" w:color="auto"/>
              <w:right w:val="single" w:sz="4" w:space="0" w:color="auto"/>
            </w:tcBorders>
            <w:shd w:val="clear" w:color="auto" w:fill="BDD7EE"/>
            <w:vAlign w:val="center"/>
            <w:hideMark/>
          </w:tcPr>
          <w:p w14:paraId="0C5D971A"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14:paraId="7D7A8407"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027FA99"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D87EA1" w:rsidRPr="00E02B5D" w14:paraId="624A51D7" w14:textId="77777777" w:rsidTr="0052157A">
        <w:trPr>
          <w:trHeight w:val="612"/>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4C01AAD"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68CC3098"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11793"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A252DF"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520138"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C056A67"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92" w:type="dxa"/>
            <w:tcBorders>
              <w:top w:val="single" w:sz="4" w:space="0" w:color="auto"/>
              <w:left w:val="nil"/>
              <w:bottom w:val="single" w:sz="4" w:space="0" w:color="auto"/>
              <w:right w:val="single" w:sz="4" w:space="0" w:color="auto"/>
            </w:tcBorders>
            <w:shd w:val="clear" w:color="auto" w:fill="BDD7EE"/>
            <w:vAlign w:val="center"/>
          </w:tcPr>
          <w:p w14:paraId="76CFDFF0" w14:textId="77777777" w:rsidR="00AD3F7A" w:rsidRPr="00E02B5D" w:rsidRDefault="00AD3F7A" w:rsidP="0052157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1FCEE7F6"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14:paraId="5FA57FE3"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14:paraId="6B281828"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969" w:type="dxa"/>
            <w:vMerge/>
            <w:tcBorders>
              <w:top w:val="single" w:sz="4" w:space="0" w:color="auto"/>
              <w:bottom w:val="single" w:sz="4" w:space="0" w:color="auto"/>
              <w:right w:val="single" w:sz="4" w:space="0" w:color="auto"/>
            </w:tcBorders>
            <w:vAlign w:val="center"/>
            <w:hideMark/>
          </w:tcPr>
          <w:p w14:paraId="7C33978F" w14:textId="77777777" w:rsidR="00AD3F7A" w:rsidRPr="00E02B5D" w:rsidRDefault="00AD3F7A" w:rsidP="00D16F13">
            <w:pPr>
              <w:spacing w:after="0" w:line="240" w:lineRule="auto"/>
              <w:rPr>
                <w:rFonts w:ascii="Times New Roman" w:eastAsia="Times New Roman" w:hAnsi="Times New Roman" w:cs="Times New Roman"/>
                <w:b/>
                <w:bCs/>
                <w:noProof/>
                <w:sz w:val="18"/>
                <w:szCs w:val="18"/>
                <w:lang w:val="en-GB" w:eastAsia="en-GB"/>
              </w:rPr>
            </w:pPr>
          </w:p>
        </w:tc>
      </w:tr>
      <w:tr w:rsidR="00D87EA1" w:rsidRPr="003B132A" w14:paraId="2359C5ED" w14:textId="77777777" w:rsidTr="00D87EA1">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8329FE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96</w:t>
            </w:r>
          </w:p>
        </w:tc>
        <w:tc>
          <w:tcPr>
            <w:tcW w:w="2229" w:type="dxa"/>
            <w:tcBorders>
              <w:top w:val="single" w:sz="4" w:space="0" w:color="auto"/>
              <w:left w:val="nil"/>
              <w:bottom w:val="single" w:sz="4" w:space="0" w:color="auto"/>
              <w:right w:val="single" w:sz="4" w:space="0" w:color="auto"/>
            </w:tcBorders>
            <w:shd w:val="clear" w:color="auto" w:fill="C6EFCE"/>
            <w:noWrap/>
          </w:tcPr>
          <w:p w14:paraId="292DA2A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16929_Avaliku halduse kliendikesksete teenuste suunas protsesside lihtsustamise ja parandamise, süsteemide täiustamise ning Euroopa strateegiate ja poliitika järgimise kaudu</w:t>
            </w:r>
          </w:p>
        </w:tc>
        <w:tc>
          <w:tcPr>
            <w:tcW w:w="1134" w:type="dxa"/>
            <w:tcBorders>
              <w:top w:val="single" w:sz="4" w:space="0" w:color="auto"/>
              <w:left w:val="nil"/>
              <w:bottom w:val="single" w:sz="4" w:space="0" w:color="auto"/>
              <w:right w:val="single" w:sz="4" w:space="0" w:color="auto"/>
            </w:tcBorders>
            <w:shd w:val="clear" w:color="auto" w:fill="C6EFCE"/>
            <w:noWrap/>
          </w:tcPr>
          <w:p w14:paraId="56C6E2C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75" w:type="dxa"/>
            <w:tcBorders>
              <w:top w:val="single" w:sz="4" w:space="0" w:color="auto"/>
              <w:left w:val="nil"/>
              <w:bottom w:val="single" w:sz="4" w:space="0" w:color="auto"/>
              <w:right w:val="single" w:sz="4" w:space="0" w:color="auto"/>
            </w:tcBorders>
            <w:shd w:val="clear" w:color="auto" w:fill="C6EFCE"/>
            <w:noWrap/>
          </w:tcPr>
          <w:p w14:paraId="26F69F8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Menetluste riikliku registri loomine ja protsesside lihtsustamise riikliku kava rakendamine (esimene etapp)</w:t>
            </w:r>
          </w:p>
        </w:tc>
        <w:tc>
          <w:tcPr>
            <w:tcW w:w="1418" w:type="dxa"/>
            <w:tcBorders>
              <w:top w:val="single" w:sz="4" w:space="0" w:color="auto"/>
              <w:left w:val="nil"/>
              <w:bottom w:val="single" w:sz="4" w:space="0" w:color="auto"/>
              <w:right w:val="single" w:sz="4" w:space="0" w:color="auto"/>
            </w:tcBorders>
            <w:shd w:val="clear" w:color="auto" w:fill="C6EFCE"/>
            <w:noWrap/>
          </w:tcPr>
          <w:p w14:paraId="5E537AA0" w14:textId="77777777" w:rsidR="00AD3F7A" w:rsidRPr="00E02B5D" w:rsidRDefault="00AD3F7A" w:rsidP="00865C58">
            <w:pPr>
              <w:spacing w:after="0" w:line="240" w:lineRule="auto"/>
              <w:rPr>
                <w:rFonts w:eastAsia="Times New Roman" w:cs="Calibri"/>
                <w:noProof/>
                <w:color w:val="006100"/>
                <w:sz w:val="18"/>
                <w:szCs w:val="18"/>
              </w:rPr>
            </w:pPr>
            <w:r>
              <w:rPr>
                <w:noProof/>
                <w:color w:val="006100"/>
                <w:sz w:val="18"/>
              </w:rPr>
              <w:t xml:space="preserve">Digitaalse halduse ministeeriumi aruanne, milles kinnitatakse menetluste riikliku registri kasutuselevõtmist ja töösuundade lõpuleviimist protsesside lihtsustamise riikliku programmi esimeses etapis </w:t>
            </w:r>
          </w:p>
        </w:tc>
        <w:tc>
          <w:tcPr>
            <w:tcW w:w="992" w:type="dxa"/>
            <w:tcBorders>
              <w:top w:val="single" w:sz="4" w:space="0" w:color="auto"/>
              <w:left w:val="nil"/>
              <w:bottom w:val="single" w:sz="4" w:space="0" w:color="auto"/>
              <w:right w:val="single" w:sz="4" w:space="0" w:color="auto"/>
            </w:tcBorders>
            <w:shd w:val="clear" w:color="auto" w:fill="C6EFCE"/>
            <w:noWrap/>
          </w:tcPr>
          <w:p w14:paraId="439431E1"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tcPr>
          <w:p w14:paraId="274A51D7"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69327B6C"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tcPr>
          <w:p w14:paraId="50B5C1A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3. kv</w:t>
            </w:r>
          </w:p>
        </w:tc>
        <w:tc>
          <w:tcPr>
            <w:tcW w:w="992" w:type="dxa"/>
            <w:tcBorders>
              <w:top w:val="nil"/>
              <w:left w:val="nil"/>
              <w:bottom w:val="single" w:sz="4" w:space="0" w:color="auto"/>
              <w:right w:val="single" w:sz="4" w:space="0" w:color="auto"/>
            </w:tcBorders>
            <w:shd w:val="clear" w:color="auto" w:fill="C6EFCE"/>
            <w:noWrap/>
          </w:tcPr>
          <w:p w14:paraId="67D3720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3969" w:type="dxa"/>
            <w:tcBorders>
              <w:top w:val="single" w:sz="4" w:space="0" w:color="auto"/>
              <w:left w:val="nil"/>
              <w:bottom w:val="single" w:sz="4" w:space="0" w:color="auto"/>
              <w:right w:val="single" w:sz="4" w:space="0" w:color="auto"/>
            </w:tcBorders>
            <w:shd w:val="clear" w:color="auto" w:fill="C6EFCE"/>
            <w:noWrap/>
          </w:tcPr>
          <w:p w14:paraId="35CA0CCC" w14:textId="77777777" w:rsidR="00AD3F7A" w:rsidRPr="00E02B5D" w:rsidRDefault="00AD3F7A" w:rsidP="00D16F13">
            <w:pPr>
              <w:spacing w:before="120" w:after="120" w:line="240" w:lineRule="auto"/>
              <w:jc w:val="both"/>
              <w:rPr>
                <w:rFonts w:eastAsia="Times New Roman" w:cs="Calibri"/>
                <w:noProof/>
                <w:color w:val="006100"/>
                <w:sz w:val="18"/>
                <w:szCs w:val="18"/>
              </w:rPr>
            </w:pPr>
            <w:r>
              <w:rPr>
                <w:noProof/>
                <w:color w:val="006100"/>
                <w:sz w:val="18"/>
              </w:rPr>
              <w:t>Riikliku menetluste registri („Diavlos“, nagu on sätestatud seaduse 4727/2020 artiklis 90) kasutuselevõtmine ja integreerimine gov.gr portaali; ning lihtsustamise töösuundade esimese etapi lõpuleviimine vastavalt 4-aastasele riiklikule protsessi lihtsustamise programmile, sealhulgas riigihankemenetluste digitaliseerimine.</w:t>
            </w:r>
          </w:p>
        </w:tc>
      </w:tr>
      <w:tr w:rsidR="00D87EA1" w:rsidRPr="003B132A" w14:paraId="563902F6" w14:textId="77777777" w:rsidTr="00D87EA1">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460AEA7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97</w:t>
            </w:r>
          </w:p>
        </w:tc>
        <w:tc>
          <w:tcPr>
            <w:tcW w:w="2229" w:type="dxa"/>
            <w:tcBorders>
              <w:top w:val="nil"/>
              <w:left w:val="nil"/>
              <w:bottom w:val="single" w:sz="4" w:space="0" w:color="auto"/>
              <w:right w:val="single" w:sz="4" w:space="0" w:color="auto"/>
            </w:tcBorders>
            <w:shd w:val="clear" w:color="auto" w:fill="C6EFCE"/>
            <w:noWrap/>
          </w:tcPr>
          <w:p w14:paraId="2BD0C69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16929_Avaliku halduse kliendikesksete teenuste suunas protsesside lihtsustamise ja parandamise, süsteemide täiustamise ning Euroopa strateegiate ja poliitika järgimise kaudu</w:t>
            </w:r>
          </w:p>
        </w:tc>
        <w:tc>
          <w:tcPr>
            <w:tcW w:w="1134" w:type="dxa"/>
            <w:tcBorders>
              <w:top w:val="nil"/>
              <w:left w:val="nil"/>
              <w:bottom w:val="single" w:sz="4" w:space="0" w:color="auto"/>
              <w:right w:val="single" w:sz="4" w:space="0" w:color="auto"/>
            </w:tcBorders>
            <w:shd w:val="clear" w:color="auto" w:fill="C6EFCE"/>
            <w:noWrap/>
          </w:tcPr>
          <w:p w14:paraId="036085E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75" w:type="dxa"/>
            <w:tcBorders>
              <w:top w:val="nil"/>
              <w:left w:val="nil"/>
              <w:bottom w:val="single" w:sz="4" w:space="0" w:color="auto"/>
              <w:right w:val="single" w:sz="4" w:space="0" w:color="auto"/>
            </w:tcBorders>
            <w:shd w:val="clear" w:color="auto" w:fill="C6EFCE"/>
            <w:noWrap/>
          </w:tcPr>
          <w:p w14:paraId="28FC9A2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Protsesside lihtsustamise riikliku kava rakendamine (teine etapp)</w:t>
            </w:r>
          </w:p>
        </w:tc>
        <w:tc>
          <w:tcPr>
            <w:tcW w:w="1418" w:type="dxa"/>
            <w:tcBorders>
              <w:top w:val="nil"/>
              <w:left w:val="nil"/>
              <w:bottom w:val="single" w:sz="4" w:space="0" w:color="auto"/>
              <w:right w:val="single" w:sz="4" w:space="0" w:color="auto"/>
            </w:tcBorders>
            <w:shd w:val="clear" w:color="auto" w:fill="C6EFCE"/>
            <w:noWrap/>
          </w:tcPr>
          <w:p w14:paraId="7DB1767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Siseministeeriumi aruanne, mis tõendab lihtsustamise teise etapi lõpuleviimist riikliku protsessilihtsustusprogrammi raames </w:t>
            </w:r>
          </w:p>
        </w:tc>
        <w:tc>
          <w:tcPr>
            <w:tcW w:w="992" w:type="dxa"/>
            <w:tcBorders>
              <w:top w:val="nil"/>
              <w:left w:val="nil"/>
              <w:bottom w:val="single" w:sz="4" w:space="0" w:color="auto"/>
              <w:right w:val="single" w:sz="4" w:space="0" w:color="auto"/>
            </w:tcBorders>
            <w:shd w:val="clear" w:color="auto" w:fill="C6EFCE"/>
            <w:noWrap/>
          </w:tcPr>
          <w:p w14:paraId="1C1BBACF"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tcPr>
          <w:p w14:paraId="6EDA5490"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48EB0F73"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tcPr>
          <w:p w14:paraId="7CBC816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992" w:type="dxa"/>
            <w:tcBorders>
              <w:top w:val="nil"/>
              <w:left w:val="nil"/>
              <w:bottom w:val="single" w:sz="4" w:space="0" w:color="auto"/>
              <w:right w:val="single" w:sz="4" w:space="0" w:color="auto"/>
            </w:tcBorders>
            <w:shd w:val="clear" w:color="auto" w:fill="C6EFCE"/>
            <w:noWrap/>
          </w:tcPr>
          <w:p w14:paraId="66BDF37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2023</w:t>
            </w:r>
          </w:p>
        </w:tc>
        <w:tc>
          <w:tcPr>
            <w:tcW w:w="3969" w:type="dxa"/>
            <w:tcBorders>
              <w:top w:val="nil"/>
              <w:left w:val="nil"/>
              <w:bottom w:val="single" w:sz="4" w:space="0" w:color="auto"/>
              <w:right w:val="single" w:sz="4" w:space="0" w:color="auto"/>
            </w:tcBorders>
            <w:shd w:val="clear" w:color="auto" w:fill="C6EFCE"/>
            <w:noWrap/>
          </w:tcPr>
          <w:p w14:paraId="2032C194" w14:textId="1FE5B7D8" w:rsidR="00AD3F7A" w:rsidRPr="00E02B5D" w:rsidRDefault="00AD3F7A" w:rsidP="00D16F13">
            <w:pPr>
              <w:spacing w:after="0" w:line="240" w:lineRule="auto"/>
              <w:rPr>
                <w:rFonts w:eastAsia="Times New Roman" w:cs="Calibri"/>
                <w:noProof/>
                <w:color w:val="006100"/>
                <w:sz w:val="18"/>
                <w:szCs w:val="18"/>
              </w:rPr>
            </w:pPr>
            <w:r>
              <w:rPr>
                <w:noProof/>
                <w:color w:val="006100"/>
                <w:sz w:val="18"/>
              </w:rPr>
              <w:t>Viia lõpule lihtsustamise töösuundade teine etapp vastavalt 4-aastasele riiklikule protsessi lihtsustamise programmile, mis hõlmab mõjuhindamisprotsesside digiteerimist, füüsilisest isikust ettevõtjate asutamist, kodanike elusündmustega, sealhulgas sünni, surma ja lahutusega seotud menetluste lihtsustamist, juristidega seotud kohtumenetluste lihtsustamist, kohtuotsuseid, digitaalallkirju, kohtute väljastatud tunnistusi, juhiloa uuendamist ja myfoto.gov.gr käitamist ning dokumentide elektroonilist ringlust avalikus halduses (mida tõendavad väljastatud ringkirjad).</w:t>
            </w:r>
          </w:p>
        </w:tc>
      </w:tr>
      <w:tr w:rsidR="00D87EA1" w:rsidRPr="003B132A" w14:paraId="3838CA73" w14:textId="77777777" w:rsidTr="00D87EA1">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64337A0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98</w:t>
            </w:r>
          </w:p>
        </w:tc>
        <w:tc>
          <w:tcPr>
            <w:tcW w:w="2229" w:type="dxa"/>
            <w:tcBorders>
              <w:top w:val="nil"/>
              <w:left w:val="nil"/>
              <w:bottom w:val="single" w:sz="4" w:space="0" w:color="auto"/>
              <w:right w:val="single" w:sz="4" w:space="0" w:color="auto"/>
            </w:tcBorders>
            <w:shd w:val="clear" w:color="auto" w:fill="C6EFCE"/>
            <w:noWrap/>
          </w:tcPr>
          <w:p w14:paraId="25DE00A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16782_Registrite, süsteemide ja teenuste omavaheline ühendamine ja koostalitlusvõime andmevahetuseks riiklike avalik-õiguslike organisatsioonide vahel</w:t>
            </w:r>
          </w:p>
        </w:tc>
        <w:tc>
          <w:tcPr>
            <w:tcW w:w="1134" w:type="dxa"/>
            <w:tcBorders>
              <w:top w:val="nil"/>
              <w:left w:val="nil"/>
              <w:bottom w:val="single" w:sz="4" w:space="0" w:color="auto"/>
              <w:right w:val="single" w:sz="4" w:space="0" w:color="auto"/>
            </w:tcBorders>
            <w:shd w:val="clear" w:color="auto" w:fill="C6EFCE"/>
            <w:noWrap/>
          </w:tcPr>
          <w:p w14:paraId="50CC5F9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75" w:type="dxa"/>
            <w:tcBorders>
              <w:top w:val="nil"/>
              <w:left w:val="nil"/>
              <w:bottom w:val="single" w:sz="4" w:space="0" w:color="auto"/>
              <w:right w:val="single" w:sz="4" w:space="0" w:color="auto"/>
            </w:tcBorders>
            <w:shd w:val="clear" w:color="auto" w:fill="C6EFCE"/>
            <w:noWrap/>
          </w:tcPr>
          <w:p w14:paraId="4B7BD19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Registrite vastastikuse sidumise ja koostalitlusvõime õiguslik alus</w:t>
            </w:r>
          </w:p>
        </w:tc>
        <w:tc>
          <w:tcPr>
            <w:tcW w:w="1418" w:type="dxa"/>
            <w:tcBorders>
              <w:top w:val="nil"/>
              <w:left w:val="nil"/>
              <w:bottom w:val="single" w:sz="4" w:space="0" w:color="auto"/>
              <w:right w:val="single" w:sz="4" w:space="0" w:color="auto"/>
            </w:tcBorders>
            <w:shd w:val="clear" w:color="auto" w:fill="C6EFCE"/>
            <w:noWrap/>
          </w:tcPr>
          <w:p w14:paraId="6823538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halduse ministeeriumi aruanne, milles kinnitatakse, et vastu on võetud regulatiivsed muudatused, sealhulgas kõik seotud esmased ja teisesed õigusaktid registrite ja teenuste vastastikuse sidumise ja koostalitlusvõime kohta</w:t>
            </w:r>
          </w:p>
        </w:tc>
        <w:tc>
          <w:tcPr>
            <w:tcW w:w="992" w:type="dxa"/>
            <w:tcBorders>
              <w:top w:val="nil"/>
              <w:left w:val="nil"/>
              <w:bottom w:val="single" w:sz="4" w:space="0" w:color="auto"/>
              <w:right w:val="single" w:sz="4" w:space="0" w:color="auto"/>
            </w:tcBorders>
            <w:shd w:val="clear" w:color="auto" w:fill="C6EFCE"/>
            <w:noWrap/>
          </w:tcPr>
          <w:p w14:paraId="2E478608"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tcPr>
          <w:p w14:paraId="08EDB8A7"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22D186AF"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tcPr>
          <w:p w14:paraId="5B289AE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992" w:type="dxa"/>
            <w:tcBorders>
              <w:top w:val="nil"/>
              <w:left w:val="nil"/>
              <w:bottom w:val="single" w:sz="4" w:space="0" w:color="auto"/>
              <w:right w:val="single" w:sz="4" w:space="0" w:color="auto"/>
            </w:tcBorders>
            <w:shd w:val="clear" w:color="auto" w:fill="C6EFCE"/>
            <w:noWrap/>
          </w:tcPr>
          <w:p w14:paraId="3FCB53A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2024</w:t>
            </w:r>
          </w:p>
        </w:tc>
        <w:tc>
          <w:tcPr>
            <w:tcW w:w="3969" w:type="dxa"/>
            <w:tcBorders>
              <w:top w:val="nil"/>
              <w:left w:val="nil"/>
              <w:bottom w:val="single" w:sz="4" w:space="0" w:color="auto"/>
              <w:right w:val="single" w:sz="4" w:space="0" w:color="auto"/>
            </w:tcBorders>
            <w:shd w:val="clear" w:color="auto" w:fill="C6EFCE"/>
            <w:noWrap/>
          </w:tcPr>
          <w:p w14:paraId="76550F4C" w14:textId="77777777" w:rsidR="00AD3F7A" w:rsidRPr="00E02B5D" w:rsidRDefault="00AD3F7A" w:rsidP="00D16F13">
            <w:pPr>
              <w:spacing w:before="120" w:after="120" w:line="240" w:lineRule="auto"/>
              <w:jc w:val="both"/>
              <w:rPr>
                <w:rFonts w:eastAsia="Times New Roman" w:cs="Calibri"/>
                <w:noProof/>
                <w:color w:val="006100"/>
                <w:sz w:val="18"/>
                <w:szCs w:val="18"/>
              </w:rPr>
            </w:pPr>
            <w:r>
              <w:rPr>
                <w:noProof/>
                <w:color w:val="006100"/>
                <w:sz w:val="18"/>
              </w:rPr>
              <w:t>Regulatiivsete muudatuste vastuvõtmine, et luua ulatuslik õiguslik alus registrite ja teenuste omavaheliseks sidumiseks ja koostalitlusvõimeks andmevahetuseks riiklike avalik-õiguslike organisatsioonide vahel kooskõlas uue Euroopa koostalitlusvõime raamistikuga. Digitaalse juhtimise ministeeriumi aruanne protsesside lihtsustamise ja parandamise tegevuskava eduka rakendamise, süsteemide täiustamise ning Euroopa strateegiate ja poliitika järgimise kohta.</w:t>
            </w:r>
          </w:p>
        </w:tc>
      </w:tr>
      <w:tr w:rsidR="00D87EA1" w:rsidRPr="003B132A" w14:paraId="448E2E51" w14:textId="77777777" w:rsidTr="00D87EA1">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75BB70B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99</w:t>
            </w:r>
          </w:p>
        </w:tc>
        <w:tc>
          <w:tcPr>
            <w:tcW w:w="2229" w:type="dxa"/>
            <w:tcBorders>
              <w:top w:val="nil"/>
              <w:left w:val="nil"/>
              <w:bottom w:val="single" w:sz="4" w:space="0" w:color="auto"/>
              <w:right w:val="single" w:sz="4" w:space="0" w:color="auto"/>
            </w:tcBorders>
            <w:shd w:val="clear" w:color="auto" w:fill="C6EFCE"/>
            <w:noWrap/>
            <w:hideMark/>
          </w:tcPr>
          <w:p w14:paraId="32E045F8" w14:textId="689BBAF9"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16929_Avaliku halduse kliendikesksete teenuste suunas protsesside lihtsustamise ja parandamise, süsteemide täiustamise ning Euroopa strateegiate ja poliitika järgimise kaudu</w:t>
            </w:r>
          </w:p>
        </w:tc>
        <w:tc>
          <w:tcPr>
            <w:tcW w:w="1134" w:type="dxa"/>
            <w:tcBorders>
              <w:top w:val="nil"/>
              <w:left w:val="nil"/>
              <w:bottom w:val="single" w:sz="4" w:space="0" w:color="auto"/>
              <w:right w:val="single" w:sz="4" w:space="0" w:color="auto"/>
            </w:tcBorders>
            <w:shd w:val="clear" w:color="auto" w:fill="C6EFCE"/>
            <w:noWrap/>
            <w:hideMark/>
          </w:tcPr>
          <w:p w14:paraId="60E9102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75" w:type="dxa"/>
            <w:tcBorders>
              <w:top w:val="nil"/>
              <w:left w:val="nil"/>
              <w:bottom w:val="single" w:sz="4" w:space="0" w:color="auto"/>
              <w:right w:val="single" w:sz="4" w:space="0" w:color="auto"/>
            </w:tcBorders>
            <w:shd w:val="clear" w:color="auto" w:fill="C6EFCE"/>
            <w:noWrap/>
            <w:hideMark/>
          </w:tcPr>
          <w:p w14:paraId="681CEEC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Halduskoormuse vähendamise strateegia lõpuleviimine ja protsessi lihtsustamise riiklik kava (lõppetapp)</w:t>
            </w:r>
          </w:p>
        </w:tc>
        <w:tc>
          <w:tcPr>
            <w:tcW w:w="1418" w:type="dxa"/>
            <w:tcBorders>
              <w:top w:val="nil"/>
              <w:left w:val="nil"/>
              <w:bottom w:val="single" w:sz="4" w:space="0" w:color="auto"/>
              <w:right w:val="single" w:sz="4" w:space="0" w:color="auto"/>
            </w:tcBorders>
            <w:shd w:val="clear" w:color="auto" w:fill="C6EFCE"/>
            <w:noWrap/>
            <w:hideMark/>
          </w:tcPr>
          <w:p w14:paraId="3900F68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Siseministeeriumi aruanne, mis tõendab, et protsessi lihtsustamise riikliku programmi nelja-aastase tegevuskava raames on lõpule viidud kõik lihtsustamise ja digiteerimisega seotud töösuunad; </w:t>
            </w:r>
          </w:p>
        </w:tc>
        <w:tc>
          <w:tcPr>
            <w:tcW w:w="992" w:type="dxa"/>
            <w:tcBorders>
              <w:top w:val="nil"/>
              <w:left w:val="nil"/>
              <w:bottom w:val="single" w:sz="4" w:space="0" w:color="auto"/>
              <w:right w:val="single" w:sz="4" w:space="0" w:color="auto"/>
            </w:tcBorders>
            <w:shd w:val="clear" w:color="auto" w:fill="C6EFCE"/>
            <w:noWrap/>
            <w:hideMark/>
          </w:tcPr>
          <w:p w14:paraId="74FE4F4A"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tcPr>
          <w:p w14:paraId="5B34B734"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hideMark/>
          </w:tcPr>
          <w:p w14:paraId="10652055"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tcPr>
          <w:p w14:paraId="1296199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992" w:type="dxa"/>
            <w:tcBorders>
              <w:top w:val="nil"/>
              <w:left w:val="nil"/>
              <w:bottom w:val="single" w:sz="4" w:space="0" w:color="auto"/>
              <w:right w:val="single" w:sz="4" w:space="0" w:color="auto"/>
            </w:tcBorders>
            <w:shd w:val="clear" w:color="auto" w:fill="C6EFCE"/>
            <w:noWrap/>
            <w:hideMark/>
          </w:tcPr>
          <w:p w14:paraId="235FD4D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3969" w:type="dxa"/>
            <w:tcBorders>
              <w:top w:val="nil"/>
              <w:left w:val="nil"/>
              <w:bottom w:val="single" w:sz="4" w:space="0" w:color="auto"/>
              <w:right w:val="single" w:sz="4" w:space="0" w:color="auto"/>
            </w:tcBorders>
            <w:shd w:val="clear" w:color="auto" w:fill="C6EFCE"/>
            <w:noWrap/>
            <w:hideMark/>
          </w:tcPr>
          <w:p w14:paraId="2E7473E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Rakendada täielikult keskpika perioodi strateegiat halduskoormuse vähendamiseks ja kliendikesksete teenuste loomiseks avalikus halduses, viies lõpule protsessi lihtsustamise nelja-aastase riikliku programmi raames tehtava töö viimase etapi. See hõlmab ka seirekeskuse täielikku loomist reguleerimise mõju jälgimiseks ja riiklikku menetluste registrit („Diavlos“) (mida tõendab digitaalse halduse ministeeriumi aruanne).</w:t>
            </w:r>
          </w:p>
        </w:tc>
      </w:tr>
    </w:tbl>
    <w:p w14:paraId="484812BE" w14:textId="77777777" w:rsidR="00AD3F7A" w:rsidRPr="00E02B5D" w:rsidRDefault="00AD3F7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9: Algatused, mis on seotud tõhustatud kliendikesksete ja turvaliste digitaalteenustega, kasutades koostalitlusvõimelisi IT-süsteeme ja avatud andmete poliitikat</w:t>
      </w:r>
    </w:p>
    <w:p w14:paraId="1003E422"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Sellesse rühma kuuluvad järgmised meetmed:</w:t>
      </w:r>
    </w:p>
    <w:p w14:paraId="0053AF6B"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Valitsemissektori kliendisuhete haldamine (ID: 16810)</w:t>
      </w:r>
    </w:p>
    <w:p w14:paraId="257D3ECA"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Avaliku halduse ühtsete kontaktpunktide (ID: 16780)</w:t>
      </w:r>
    </w:p>
    <w:p w14:paraId="50DE9796"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Uus riigihangete süsteem (ID: 16736)</w:t>
      </w:r>
    </w:p>
    <w:p w14:paraId="066A334E"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Välisministeeriumi digiüleminek (ID: 16742)</w:t>
      </w:r>
    </w:p>
    <w:p w14:paraId="333EFAB3"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Ajateenistujate digioskuste täiendamise programmid (ID: 16826)</w:t>
      </w:r>
    </w:p>
    <w:p w14:paraId="122463D2"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Kreeka riikliku turismiorganisatsiooni digiüleminek (ID: 16791)</w:t>
      </w:r>
    </w:p>
    <w:p w14:paraId="19162B02"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Avaliku sektori küberjulgeoleku strateegia ja poliitika; riikliku küberturvalisuse operatsioonide keskuse loomine (ID: 16823)</w:t>
      </w:r>
    </w:p>
    <w:p w14:paraId="027CBCA7"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Koostalitlusvõime ja veebiteenuste arendamine (ID: 16779)</w:t>
      </w:r>
    </w:p>
    <w:p w14:paraId="065E0CBE"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Avaliku sektori infosüsteemide andmete klassifitseerimise uuringud (ID: 16965)</w:t>
      </w:r>
    </w:p>
    <w:p w14:paraId="611B7FBC"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Järgmise põlvkonna koostalitlusvõime keskus (ID: 16964)</w:t>
      </w:r>
    </w:p>
    <w:p w14:paraId="77002E4B"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Registrid (ID: 16824)</w:t>
      </w:r>
    </w:p>
    <w:p w14:paraId="5CFCF073" w14:textId="77777777" w:rsidR="00AD3F7A" w:rsidRPr="00E02B5D" w:rsidRDefault="00AD3F7A" w:rsidP="00645BC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Kõrgetasemeliste turvateenuste osutamine G-Cloud elutähtsas taristus (ID: 16823)</w:t>
      </w:r>
    </w:p>
    <w:p w14:paraId="69597AA5" w14:textId="77777777" w:rsidR="00486DC4" w:rsidRDefault="00AD3F7A" w:rsidP="00645BC7">
      <w:pPr>
        <w:spacing w:before="120" w:after="120" w:line="240" w:lineRule="auto"/>
        <w:ind w:left="709"/>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Turismiregister e-MHTE (ID: 16785)</w:t>
      </w:r>
    </w:p>
    <w:p w14:paraId="0FB1EC8A" w14:textId="54EED475" w:rsidR="00933578" w:rsidRDefault="00AD3F7A" w:rsidP="00645BC7">
      <w:pPr>
        <w:spacing w:before="120" w:after="120" w:line="240" w:lineRule="auto"/>
        <w:ind w:left="709"/>
        <w:rPr>
          <w:rFonts w:ascii="Times New Roman" w:hAnsi="Times New Roman"/>
          <w:noProof/>
          <w:sz w:val="24"/>
        </w:rPr>
        <w:sectPr w:rsidR="00933578" w:rsidSect="00271D33">
          <w:headerReference w:type="even" r:id="rId146"/>
          <w:headerReference w:type="default" r:id="rId147"/>
          <w:footerReference w:type="even" r:id="rId148"/>
          <w:footerReference w:type="default" r:id="rId149"/>
          <w:headerReference w:type="first" r:id="rId150"/>
          <w:footerReference w:type="first" r:id="rId151"/>
          <w:pgSz w:w="16839" w:h="11907" w:orient="landscape"/>
          <w:pgMar w:top="720" w:right="720" w:bottom="720" w:left="720" w:header="709" w:footer="217" w:gutter="0"/>
          <w:cols w:space="720"/>
          <w:docGrid w:linePitch="360"/>
        </w:sectPr>
      </w:pPr>
      <w:r>
        <w:rPr>
          <w:rFonts w:ascii="Times New Roman" w:hAnsi="Times New Roman"/>
          <w:noProof/>
          <w:sz w:val="24"/>
        </w:rPr>
        <w:t>●</w:t>
      </w:r>
      <w:r>
        <w:rPr>
          <w:noProof/>
        </w:rPr>
        <w:tab/>
      </w:r>
      <w:r>
        <w:rPr>
          <w:rFonts w:ascii="Times New Roman" w:hAnsi="Times New Roman"/>
          <w:noProof/>
          <w:sz w:val="24"/>
        </w:rPr>
        <w:t>Keskne dokumendihaldussüsteem (ID: 16738)</w:t>
      </w:r>
    </w:p>
    <w:p w14:paraId="37CC31FD" w14:textId="77777777" w:rsidR="00AD3F7A" w:rsidRPr="00E02B5D" w:rsidRDefault="00AD3F7A" w:rsidP="00645BC7">
      <w:pPr>
        <w:spacing w:before="120" w:after="120" w:line="240" w:lineRule="auto"/>
        <w:ind w:left="709"/>
        <w:rPr>
          <w:rFonts w:ascii="Times New Roman" w:hAnsi="Times New Roman" w:cs="Times New Roman"/>
          <w:noProof/>
          <w:sz w:val="24"/>
          <w:lang w:val="en-GB"/>
        </w:rPr>
      </w:pPr>
    </w:p>
    <w:tbl>
      <w:tblPr>
        <w:tblW w:w="0" w:type="auto"/>
        <w:jc w:val="center"/>
        <w:tblLook w:val="04A0" w:firstRow="1" w:lastRow="0" w:firstColumn="1" w:lastColumn="0" w:noHBand="0" w:noVBand="1"/>
      </w:tblPr>
      <w:tblGrid>
        <w:gridCol w:w="1433"/>
        <w:gridCol w:w="1834"/>
        <w:gridCol w:w="980"/>
        <w:gridCol w:w="1869"/>
        <w:gridCol w:w="1610"/>
        <w:gridCol w:w="945"/>
        <w:gridCol w:w="901"/>
        <w:gridCol w:w="794"/>
        <w:gridCol w:w="847"/>
        <w:gridCol w:w="617"/>
        <w:gridCol w:w="3559"/>
      </w:tblGrid>
      <w:tr w:rsidR="007B4D63" w:rsidRPr="003B132A" w14:paraId="75390B61" w14:textId="77777777" w:rsidTr="0077132C">
        <w:trPr>
          <w:trHeight w:val="939"/>
          <w:tblHeader/>
          <w:jc w:val="center"/>
        </w:trPr>
        <w:tc>
          <w:tcPr>
            <w:tcW w:w="110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A6982B"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287A9F"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F4E6CD"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A47136C"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C104FB"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77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EE8D6A4"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663" w:type="dxa"/>
            <w:gridSpan w:val="2"/>
            <w:tcBorders>
              <w:top w:val="single" w:sz="4" w:space="0" w:color="auto"/>
              <w:left w:val="nil"/>
              <w:bottom w:val="single" w:sz="4" w:space="0" w:color="auto"/>
              <w:right w:val="single" w:sz="4" w:space="0" w:color="auto"/>
            </w:tcBorders>
            <w:shd w:val="clear" w:color="auto" w:fill="BDD7EE"/>
            <w:vAlign w:val="center"/>
            <w:hideMark/>
          </w:tcPr>
          <w:p w14:paraId="757F3A06"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2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E2007A"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0A0C8AA9" w14:textId="77777777" w:rsidTr="0052157A">
        <w:trPr>
          <w:trHeight w:val="531"/>
          <w:tblHeader/>
          <w:jc w:val="center"/>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87677E2" w14:textId="77777777" w:rsidR="00AD3F7A" w:rsidRPr="00AD4052" w:rsidRDefault="00AD3F7A" w:rsidP="00D16F13">
            <w:pPr>
              <w:spacing w:after="0" w:line="240" w:lineRule="auto"/>
              <w:rPr>
                <w:rFonts w:ascii="Times New Roman" w:eastAsia="Times New Roman" w:hAnsi="Times New Roman" w:cs="Times New Roman"/>
                <w:b/>
                <w:noProof/>
                <w:sz w:val="18"/>
                <w:szCs w:val="18"/>
                <w:lang w:eastAsia="en-GB"/>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14:paraId="63E1E574" w14:textId="77777777" w:rsidR="00AD3F7A" w:rsidRPr="00AD4052" w:rsidRDefault="00AD3F7A" w:rsidP="00D16F13">
            <w:pPr>
              <w:spacing w:after="0" w:line="240" w:lineRule="auto"/>
              <w:rPr>
                <w:rFonts w:ascii="Times New Roman" w:eastAsia="Times New Roman" w:hAnsi="Times New Roman" w:cs="Times New Roman"/>
                <w:b/>
                <w:noProof/>
                <w:sz w:val="18"/>
                <w:szCs w:val="18"/>
                <w:lang w:eastAsia="en-GB"/>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6C2C7080" w14:textId="77777777" w:rsidR="00AD3F7A" w:rsidRPr="00AD4052" w:rsidRDefault="00AD3F7A" w:rsidP="00D16F13">
            <w:pPr>
              <w:spacing w:after="0" w:line="240" w:lineRule="auto"/>
              <w:rPr>
                <w:rFonts w:ascii="Times New Roman" w:eastAsia="Times New Roman" w:hAnsi="Times New Roman" w:cs="Times New Roman"/>
                <w:b/>
                <w:noProof/>
                <w:sz w:val="18"/>
                <w:szCs w:val="18"/>
                <w:lang w:eastAsia="en-GB"/>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14:paraId="7FE4C4C6" w14:textId="77777777" w:rsidR="00AD3F7A" w:rsidRPr="00AD4052" w:rsidRDefault="00AD3F7A" w:rsidP="00D16F13">
            <w:pPr>
              <w:spacing w:after="0" w:line="240" w:lineRule="auto"/>
              <w:rPr>
                <w:rFonts w:ascii="Times New Roman" w:eastAsia="Times New Roman" w:hAnsi="Times New Roman" w:cs="Times New Roman"/>
                <w:b/>
                <w:noProof/>
                <w:sz w:val="18"/>
                <w:szCs w:val="18"/>
                <w:lang w:eastAsia="en-GB"/>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065DDDE3" w14:textId="77777777" w:rsidR="00AD3F7A" w:rsidRPr="00AD4052" w:rsidRDefault="00AD3F7A" w:rsidP="00D16F13">
            <w:pPr>
              <w:spacing w:after="0" w:line="240" w:lineRule="auto"/>
              <w:rPr>
                <w:rFonts w:ascii="Times New Roman" w:eastAsia="Times New Roman" w:hAnsi="Times New Roman" w:cs="Times New Roman"/>
                <w:b/>
                <w:noProof/>
                <w:sz w:val="18"/>
                <w:szCs w:val="18"/>
                <w:lang w:eastAsia="en-GB"/>
              </w:rPr>
            </w:pPr>
          </w:p>
        </w:tc>
        <w:tc>
          <w:tcPr>
            <w:tcW w:w="94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A160DFA"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033" w:type="dxa"/>
            <w:tcBorders>
              <w:top w:val="single" w:sz="4" w:space="0" w:color="auto"/>
              <w:left w:val="nil"/>
              <w:bottom w:val="single" w:sz="4" w:space="0" w:color="auto"/>
              <w:right w:val="single" w:sz="4" w:space="0" w:color="auto"/>
            </w:tcBorders>
            <w:shd w:val="clear" w:color="auto" w:fill="BDD7EE"/>
            <w:vAlign w:val="center"/>
            <w:hideMark/>
          </w:tcPr>
          <w:p w14:paraId="1B2318B9"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795" w:type="dxa"/>
            <w:tcBorders>
              <w:top w:val="single" w:sz="4" w:space="0" w:color="auto"/>
              <w:left w:val="nil"/>
              <w:bottom w:val="single" w:sz="4" w:space="0" w:color="auto"/>
              <w:right w:val="single" w:sz="4" w:space="0" w:color="auto"/>
            </w:tcBorders>
            <w:shd w:val="clear" w:color="auto" w:fill="BDD7EE"/>
            <w:vAlign w:val="center"/>
            <w:hideMark/>
          </w:tcPr>
          <w:p w14:paraId="2C783013"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969" w:type="dxa"/>
            <w:tcBorders>
              <w:top w:val="single" w:sz="4" w:space="0" w:color="auto"/>
              <w:left w:val="nil"/>
              <w:bottom w:val="single" w:sz="4" w:space="0" w:color="auto"/>
              <w:right w:val="single" w:sz="4" w:space="0" w:color="auto"/>
            </w:tcBorders>
            <w:shd w:val="clear" w:color="auto" w:fill="BDD7EE"/>
            <w:vAlign w:val="center"/>
            <w:hideMark/>
          </w:tcPr>
          <w:p w14:paraId="19D90B97"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694" w:type="dxa"/>
            <w:tcBorders>
              <w:top w:val="single" w:sz="4" w:space="0" w:color="auto"/>
              <w:left w:val="nil"/>
              <w:bottom w:val="single" w:sz="4" w:space="0" w:color="auto"/>
              <w:right w:val="single" w:sz="4" w:space="0" w:color="auto"/>
            </w:tcBorders>
            <w:shd w:val="clear" w:color="auto" w:fill="BDD7EE"/>
            <w:vAlign w:val="center"/>
            <w:hideMark/>
          </w:tcPr>
          <w:p w14:paraId="369E6CA8"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204" w:type="dxa"/>
            <w:vMerge/>
            <w:tcBorders>
              <w:top w:val="single" w:sz="4" w:space="0" w:color="auto"/>
              <w:bottom w:val="single" w:sz="4" w:space="0" w:color="auto"/>
              <w:right w:val="single" w:sz="4" w:space="0" w:color="auto"/>
            </w:tcBorders>
            <w:vAlign w:val="center"/>
            <w:hideMark/>
          </w:tcPr>
          <w:p w14:paraId="76BB49D6" w14:textId="77777777" w:rsidR="00AD3F7A" w:rsidRPr="00E02B5D" w:rsidRDefault="00AD3F7A" w:rsidP="00D16F13">
            <w:pPr>
              <w:spacing w:after="0" w:line="240" w:lineRule="auto"/>
              <w:rPr>
                <w:rFonts w:ascii="Times New Roman" w:eastAsia="Times New Roman" w:hAnsi="Times New Roman" w:cs="Times New Roman"/>
                <w:b/>
                <w:noProof/>
                <w:sz w:val="18"/>
                <w:szCs w:val="18"/>
                <w:lang w:val="en-GB" w:eastAsia="en-GB"/>
              </w:rPr>
            </w:pPr>
          </w:p>
        </w:tc>
      </w:tr>
      <w:tr w:rsidR="00AD3F7A" w:rsidRPr="003B132A" w14:paraId="45C81D47" w14:textId="77777777" w:rsidTr="00933578">
        <w:trPr>
          <w:trHeight w:val="313"/>
          <w:jc w:val="center"/>
        </w:trPr>
        <w:tc>
          <w:tcPr>
            <w:tcW w:w="1106" w:type="dxa"/>
            <w:tcBorders>
              <w:top w:val="single" w:sz="4" w:space="0" w:color="auto"/>
              <w:left w:val="single" w:sz="4" w:space="0" w:color="auto"/>
              <w:bottom w:val="single" w:sz="4" w:space="0" w:color="auto"/>
              <w:right w:val="single" w:sz="4" w:space="0" w:color="auto"/>
            </w:tcBorders>
            <w:shd w:val="clear" w:color="auto" w:fill="C6EFCE"/>
            <w:noWrap/>
          </w:tcPr>
          <w:p w14:paraId="1E3028D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100</w:t>
            </w:r>
          </w:p>
        </w:tc>
        <w:tc>
          <w:tcPr>
            <w:tcW w:w="1873" w:type="dxa"/>
            <w:tcBorders>
              <w:top w:val="single" w:sz="4" w:space="0" w:color="auto"/>
              <w:left w:val="nil"/>
              <w:bottom w:val="single" w:sz="4" w:space="0" w:color="auto"/>
              <w:right w:val="single" w:sz="4" w:space="0" w:color="auto"/>
            </w:tcBorders>
            <w:shd w:val="clear" w:color="auto" w:fill="C6EFCE"/>
            <w:noWrap/>
          </w:tcPr>
          <w:p w14:paraId="389CC4A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16779_Koostalitlusvõime ja veebiteenuste arendamine</w:t>
            </w:r>
          </w:p>
        </w:tc>
        <w:tc>
          <w:tcPr>
            <w:tcW w:w="1127" w:type="dxa"/>
            <w:tcBorders>
              <w:top w:val="single" w:sz="4" w:space="0" w:color="auto"/>
              <w:left w:val="nil"/>
              <w:bottom w:val="single" w:sz="4" w:space="0" w:color="auto"/>
              <w:right w:val="single" w:sz="4" w:space="0" w:color="auto"/>
            </w:tcBorders>
            <w:shd w:val="clear" w:color="auto" w:fill="C6EFCE"/>
            <w:noWrap/>
          </w:tcPr>
          <w:p w14:paraId="713246F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single" w:sz="4" w:space="0" w:color="auto"/>
              <w:left w:val="nil"/>
              <w:bottom w:val="single" w:sz="4" w:space="0" w:color="auto"/>
              <w:right w:val="single" w:sz="4" w:space="0" w:color="auto"/>
            </w:tcBorders>
            <w:shd w:val="clear" w:color="auto" w:fill="C6EFCE"/>
            <w:noWrap/>
          </w:tcPr>
          <w:p w14:paraId="30D93FF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Koostalitlusvõime ja veebiteenuste arendamise projekti lepingu sõlmimine</w:t>
            </w:r>
          </w:p>
        </w:tc>
        <w:tc>
          <w:tcPr>
            <w:tcW w:w="1529" w:type="dxa"/>
            <w:tcBorders>
              <w:top w:val="single" w:sz="4" w:space="0" w:color="auto"/>
              <w:left w:val="nil"/>
              <w:bottom w:val="single" w:sz="4" w:space="0" w:color="auto"/>
              <w:right w:val="single" w:sz="4" w:space="0" w:color="auto"/>
            </w:tcBorders>
            <w:shd w:val="clear" w:color="auto" w:fill="C6EFCE"/>
            <w:noWrap/>
          </w:tcPr>
          <w:p w14:paraId="197765C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Teade lepingu sõlmimise kohta</w:t>
            </w:r>
          </w:p>
        </w:tc>
        <w:tc>
          <w:tcPr>
            <w:tcW w:w="945" w:type="dxa"/>
            <w:tcBorders>
              <w:top w:val="single" w:sz="4" w:space="0" w:color="auto"/>
              <w:left w:val="nil"/>
              <w:bottom w:val="single" w:sz="4" w:space="0" w:color="auto"/>
              <w:right w:val="single" w:sz="4" w:space="0" w:color="auto"/>
            </w:tcBorders>
            <w:shd w:val="clear" w:color="auto" w:fill="C6EFCE"/>
            <w:noWrap/>
          </w:tcPr>
          <w:p w14:paraId="14878F75"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33" w:type="dxa"/>
            <w:tcBorders>
              <w:top w:val="single" w:sz="4" w:space="0" w:color="auto"/>
              <w:left w:val="nil"/>
              <w:bottom w:val="single" w:sz="4" w:space="0" w:color="auto"/>
              <w:right w:val="single" w:sz="4" w:space="0" w:color="auto"/>
            </w:tcBorders>
            <w:shd w:val="clear" w:color="auto" w:fill="C6EFCE"/>
            <w:noWrap/>
          </w:tcPr>
          <w:p w14:paraId="2F973606"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95" w:type="dxa"/>
            <w:tcBorders>
              <w:top w:val="single" w:sz="4" w:space="0" w:color="auto"/>
              <w:left w:val="nil"/>
              <w:bottom w:val="single" w:sz="4" w:space="0" w:color="auto"/>
              <w:right w:val="single" w:sz="4" w:space="0" w:color="auto"/>
            </w:tcBorders>
            <w:shd w:val="clear" w:color="auto" w:fill="C6EFCE"/>
            <w:noWrap/>
          </w:tcPr>
          <w:p w14:paraId="570058B3"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69" w:type="dxa"/>
            <w:tcBorders>
              <w:top w:val="single" w:sz="4" w:space="0" w:color="auto"/>
              <w:left w:val="nil"/>
              <w:bottom w:val="single" w:sz="4" w:space="0" w:color="auto"/>
              <w:right w:val="single" w:sz="4" w:space="0" w:color="auto"/>
            </w:tcBorders>
            <w:shd w:val="clear" w:color="auto" w:fill="C6EFCE"/>
            <w:noWrap/>
          </w:tcPr>
          <w:p w14:paraId="4357A0A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single" w:sz="4" w:space="0" w:color="auto"/>
              <w:left w:val="nil"/>
              <w:bottom w:val="single" w:sz="4" w:space="0" w:color="auto"/>
              <w:right w:val="single" w:sz="4" w:space="0" w:color="auto"/>
            </w:tcBorders>
            <w:shd w:val="clear" w:color="auto" w:fill="C6EFCE"/>
            <w:noWrap/>
          </w:tcPr>
          <w:p w14:paraId="13BBB19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4204" w:type="dxa"/>
            <w:tcBorders>
              <w:top w:val="single" w:sz="4" w:space="0" w:color="auto"/>
              <w:left w:val="nil"/>
              <w:bottom w:val="single" w:sz="4" w:space="0" w:color="auto"/>
              <w:right w:val="single" w:sz="4" w:space="0" w:color="auto"/>
            </w:tcBorders>
            <w:shd w:val="clear" w:color="auto" w:fill="C6EFCE"/>
            <w:noWrap/>
          </w:tcPr>
          <w:p w14:paraId="2297BB4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Koostalitlusvõime ja veebiteenuste arendamise projekti lepingu sõlmimine. </w:t>
            </w:r>
          </w:p>
          <w:p w14:paraId="31F95895" w14:textId="2A35718C" w:rsidR="00AD3F7A" w:rsidRPr="00E02B5D" w:rsidRDefault="00AD3F7A" w:rsidP="00D16F13">
            <w:pPr>
              <w:spacing w:after="0" w:line="240" w:lineRule="auto"/>
              <w:rPr>
                <w:rFonts w:eastAsia="Times New Roman" w:cs="Calibri"/>
                <w:noProof/>
                <w:color w:val="006100"/>
                <w:sz w:val="18"/>
                <w:szCs w:val="18"/>
              </w:rPr>
            </w:pPr>
            <w:r>
              <w:rPr>
                <w:noProof/>
                <w:color w:val="006100"/>
                <w:sz w:val="18"/>
              </w:rPr>
              <w:t>Ministeerium/avaliku sektori/infoühiskonna infosüsteemide peasekretariaat kontrollib kõiki esitatud ettepanekuid ja kinnitab, kas taotlused vastavad nõuetekohaselt RFP nõuetele.</w:t>
            </w:r>
            <w:r w:rsidR="0054400C">
              <w:rPr>
                <w:noProof/>
                <w:color w:val="006100"/>
                <w:sz w:val="18"/>
              </w:rPr>
              <w:t xml:space="preserve"> </w:t>
            </w:r>
            <w:r>
              <w:rPr>
                <w:noProof/>
                <w:color w:val="006100"/>
                <w:sz w:val="18"/>
              </w:rPr>
              <w:t>Asjakohase töövõtja valimisel sõlmib ministeerium lepingu, milles määratakse kindlaks mõlema lepingupoole kohustused, rollid ja vastutus.</w:t>
            </w:r>
          </w:p>
        </w:tc>
      </w:tr>
      <w:tr w:rsidR="00AD3F7A" w:rsidRPr="003B132A" w14:paraId="282AA1C2"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2917FBC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101</w:t>
            </w:r>
          </w:p>
        </w:tc>
        <w:tc>
          <w:tcPr>
            <w:tcW w:w="1873" w:type="dxa"/>
            <w:tcBorders>
              <w:top w:val="nil"/>
              <w:left w:val="nil"/>
              <w:bottom w:val="single" w:sz="4" w:space="0" w:color="auto"/>
              <w:right w:val="single" w:sz="4" w:space="0" w:color="auto"/>
            </w:tcBorders>
            <w:shd w:val="clear" w:color="auto" w:fill="C6EFCE"/>
            <w:noWrap/>
          </w:tcPr>
          <w:p w14:paraId="1822794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16810_kliendisuhete haldus valitsemissektori jaoks</w:t>
            </w:r>
          </w:p>
        </w:tc>
        <w:tc>
          <w:tcPr>
            <w:tcW w:w="1127" w:type="dxa"/>
            <w:tcBorders>
              <w:top w:val="nil"/>
              <w:left w:val="nil"/>
              <w:bottom w:val="single" w:sz="4" w:space="0" w:color="auto"/>
              <w:right w:val="single" w:sz="4" w:space="0" w:color="auto"/>
            </w:tcBorders>
            <w:shd w:val="clear" w:color="auto" w:fill="C6EFCE"/>
            <w:noWrap/>
          </w:tcPr>
          <w:p w14:paraId="7D9361E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1A207F5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Valitsemissektori kliendisuhete halduse lepingu sõlmimine </w:t>
            </w:r>
          </w:p>
        </w:tc>
        <w:tc>
          <w:tcPr>
            <w:tcW w:w="1529" w:type="dxa"/>
            <w:tcBorders>
              <w:top w:val="nil"/>
              <w:left w:val="nil"/>
              <w:bottom w:val="single" w:sz="4" w:space="0" w:color="auto"/>
              <w:right w:val="single" w:sz="4" w:space="0" w:color="auto"/>
            </w:tcBorders>
            <w:shd w:val="clear" w:color="auto" w:fill="C6EFCE"/>
            <w:noWrap/>
          </w:tcPr>
          <w:p w14:paraId="6BC2EA8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Teade lepingu sõlmimise kohta</w:t>
            </w:r>
          </w:p>
        </w:tc>
        <w:tc>
          <w:tcPr>
            <w:tcW w:w="945" w:type="dxa"/>
            <w:tcBorders>
              <w:top w:val="nil"/>
              <w:left w:val="nil"/>
              <w:bottom w:val="single" w:sz="4" w:space="0" w:color="auto"/>
              <w:right w:val="single" w:sz="4" w:space="0" w:color="auto"/>
            </w:tcBorders>
            <w:shd w:val="clear" w:color="auto" w:fill="C6EFCE"/>
            <w:noWrap/>
          </w:tcPr>
          <w:p w14:paraId="2FAC0B6B"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33" w:type="dxa"/>
            <w:tcBorders>
              <w:top w:val="nil"/>
              <w:left w:val="nil"/>
              <w:bottom w:val="single" w:sz="4" w:space="0" w:color="auto"/>
              <w:right w:val="single" w:sz="4" w:space="0" w:color="auto"/>
            </w:tcBorders>
            <w:shd w:val="clear" w:color="auto" w:fill="C6EFCE"/>
            <w:noWrap/>
          </w:tcPr>
          <w:p w14:paraId="763EE1B5"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95" w:type="dxa"/>
            <w:tcBorders>
              <w:top w:val="nil"/>
              <w:left w:val="nil"/>
              <w:bottom w:val="single" w:sz="4" w:space="0" w:color="auto"/>
              <w:right w:val="single" w:sz="4" w:space="0" w:color="auto"/>
            </w:tcBorders>
            <w:shd w:val="clear" w:color="auto" w:fill="C6EFCE"/>
            <w:noWrap/>
          </w:tcPr>
          <w:p w14:paraId="6565D4C9"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69" w:type="dxa"/>
            <w:tcBorders>
              <w:top w:val="nil"/>
              <w:left w:val="nil"/>
              <w:bottom w:val="single" w:sz="4" w:space="0" w:color="auto"/>
              <w:right w:val="single" w:sz="4" w:space="0" w:color="auto"/>
            </w:tcBorders>
            <w:shd w:val="clear" w:color="auto" w:fill="C6EFCE"/>
            <w:noWrap/>
          </w:tcPr>
          <w:p w14:paraId="0EA122E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56C593E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4204" w:type="dxa"/>
            <w:tcBorders>
              <w:top w:val="nil"/>
              <w:left w:val="nil"/>
              <w:bottom w:val="single" w:sz="4" w:space="0" w:color="auto"/>
              <w:right w:val="single" w:sz="4" w:space="0" w:color="auto"/>
            </w:tcBorders>
            <w:shd w:val="clear" w:color="auto" w:fill="C6EFCE"/>
            <w:noWrap/>
          </w:tcPr>
          <w:p w14:paraId="74C7A21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Valitsemissektori kliendisuhete halduse lepingu sõlmimine. Ministeerium/avaliku sektori/infoühiskonna infosüsteemide peasekretariaat kontrollib kõiki esitatud ettepanekuid ja kinnitab, kas taotlused vastavad nõuetekohaselt RFP nõuetele. </w:t>
            </w:r>
          </w:p>
          <w:p w14:paraId="29A132E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  Asjakohase välispartneri valimisel sõlmib ministeerium lepingu, milles määratakse kindlaks mõlema lepingupoole kohustused, rollid ja vastutus.</w:t>
            </w:r>
          </w:p>
        </w:tc>
      </w:tr>
      <w:tr w:rsidR="00AD3F7A" w:rsidRPr="003B132A" w14:paraId="65AD5A4B"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068C612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102</w:t>
            </w:r>
          </w:p>
        </w:tc>
        <w:tc>
          <w:tcPr>
            <w:tcW w:w="1873" w:type="dxa"/>
            <w:tcBorders>
              <w:top w:val="nil"/>
              <w:left w:val="nil"/>
              <w:bottom w:val="single" w:sz="4" w:space="0" w:color="auto"/>
              <w:right w:val="single" w:sz="4" w:space="0" w:color="auto"/>
            </w:tcBorders>
            <w:shd w:val="clear" w:color="auto" w:fill="C6EFCE"/>
            <w:noWrap/>
          </w:tcPr>
          <w:p w14:paraId="5277C83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16780_Avaliku halduse ühe akna süsteemide täiendav ajakohastamine</w:t>
            </w:r>
          </w:p>
        </w:tc>
        <w:tc>
          <w:tcPr>
            <w:tcW w:w="1127" w:type="dxa"/>
            <w:tcBorders>
              <w:top w:val="nil"/>
              <w:left w:val="nil"/>
              <w:bottom w:val="single" w:sz="4" w:space="0" w:color="auto"/>
              <w:right w:val="single" w:sz="4" w:space="0" w:color="auto"/>
            </w:tcBorders>
            <w:shd w:val="clear" w:color="auto" w:fill="C6EFCE"/>
            <w:noWrap/>
          </w:tcPr>
          <w:p w14:paraId="5847F46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5B776C1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Riigihankeleping avaliku halduse ühe akna süsteemi edasiseks ajakohastamiseks</w:t>
            </w:r>
          </w:p>
        </w:tc>
        <w:tc>
          <w:tcPr>
            <w:tcW w:w="1529" w:type="dxa"/>
            <w:tcBorders>
              <w:top w:val="nil"/>
              <w:left w:val="nil"/>
              <w:bottom w:val="single" w:sz="4" w:space="0" w:color="auto"/>
              <w:right w:val="single" w:sz="4" w:space="0" w:color="auto"/>
            </w:tcBorders>
            <w:shd w:val="clear" w:color="auto" w:fill="C6EFCE"/>
            <w:noWrap/>
          </w:tcPr>
          <w:p w14:paraId="0F7A2D9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Teade lepingu sõlmimise kohta</w:t>
            </w:r>
          </w:p>
        </w:tc>
        <w:tc>
          <w:tcPr>
            <w:tcW w:w="945" w:type="dxa"/>
            <w:tcBorders>
              <w:top w:val="nil"/>
              <w:left w:val="nil"/>
              <w:bottom w:val="single" w:sz="4" w:space="0" w:color="auto"/>
              <w:right w:val="single" w:sz="4" w:space="0" w:color="auto"/>
            </w:tcBorders>
            <w:shd w:val="clear" w:color="auto" w:fill="C6EFCE"/>
            <w:noWrap/>
          </w:tcPr>
          <w:p w14:paraId="5D347430"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33" w:type="dxa"/>
            <w:tcBorders>
              <w:top w:val="nil"/>
              <w:left w:val="nil"/>
              <w:bottom w:val="single" w:sz="4" w:space="0" w:color="auto"/>
              <w:right w:val="single" w:sz="4" w:space="0" w:color="auto"/>
            </w:tcBorders>
            <w:shd w:val="clear" w:color="auto" w:fill="C6EFCE"/>
            <w:noWrap/>
          </w:tcPr>
          <w:p w14:paraId="405A5052"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95" w:type="dxa"/>
            <w:tcBorders>
              <w:top w:val="nil"/>
              <w:left w:val="nil"/>
              <w:bottom w:val="single" w:sz="4" w:space="0" w:color="auto"/>
              <w:right w:val="single" w:sz="4" w:space="0" w:color="auto"/>
            </w:tcBorders>
            <w:shd w:val="clear" w:color="auto" w:fill="C6EFCE"/>
            <w:noWrap/>
          </w:tcPr>
          <w:p w14:paraId="63C82F6E"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69" w:type="dxa"/>
            <w:tcBorders>
              <w:top w:val="nil"/>
              <w:left w:val="nil"/>
              <w:bottom w:val="single" w:sz="4" w:space="0" w:color="auto"/>
              <w:right w:val="single" w:sz="4" w:space="0" w:color="auto"/>
            </w:tcBorders>
            <w:shd w:val="clear" w:color="auto" w:fill="C6EFCE"/>
            <w:noWrap/>
          </w:tcPr>
          <w:p w14:paraId="11D0806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06DAC96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4204" w:type="dxa"/>
            <w:tcBorders>
              <w:top w:val="nil"/>
              <w:left w:val="nil"/>
              <w:bottom w:val="single" w:sz="4" w:space="0" w:color="auto"/>
              <w:right w:val="single" w:sz="4" w:space="0" w:color="auto"/>
            </w:tcBorders>
            <w:shd w:val="clear" w:color="auto" w:fill="C6EFCE"/>
            <w:noWrap/>
          </w:tcPr>
          <w:p w14:paraId="126D7A6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Avaliku halduse ühe akna süsteemi ajakohastamise lepingu sõlmimine. </w:t>
            </w:r>
          </w:p>
          <w:p w14:paraId="0CFD1F7B" w14:textId="611BDAEB" w:rsidR="00AD3F7A" w:rsidRPr="00E02B5D" w:rsidRDefault="00AD3F7A" w:rsidP="00D16F13">
            <w:pPr>
              <w:spacing w:after="0" w:line="240" w:lineRule="auto"/>
              <w:rPr>
                <w:rFonts w:eastAsia="Times New Roman" w:cs="Calibri"/>
                <w:noProof/>
                <w:color w:val="006100"/>
                <w:sz w:val="18"/>
                <w:szCs w:val="18"/>
              </w:rPr>
            </w:pPr>
            <w:r>
              <w:rPr>
                <w:noProof/>
                <w:color w:val="006100"/>
                <w:sz w:val="18"/>
              </w:rPr>
              <w:t>Ministeerium/avaliku sektori/infoühiskonna infosüsteemide peasekretariaat tagab, et kõik esitatud ettepanekud vaadatakse läbi ja kinnitatakse, kas taotlused vastavad RFP nõuetele.</w:t>
            </w:r>
            <w:r w:rsidR="0054400C">
              <w:rPr>
                <w:noProof/>
                <w:color w:val="006100"/>
                <w:sz w:val="18"/>
              </w:rPr>
              <w:t xml:space="preserve"> </w:t>
            </w:r>
            <w:r>
              <w:rPr>
                <w:noProof/>
                <w:color w:val="006100"/>
                <w:sz w:val="18"/>
              </w:rPr>
              <w:t>Asjakohase välispartneri valimisel sõlmib ministeerium lepingu, milles määratakse kindlaks mõlema lepingupoole kohustused, rollid ja vastutus.</w:t>
            </w:r>
          </w:p>
        </w:tc>
      </w:tr>
      <w:tr w:rsidR="00AD3F7A" w:rsidRPr="003B132A" w14:paraId="6274B493"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466DDA5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103</w:t>
            </w:r>
          </w:p>
        </w:tc>
        <w:tc>
          <w:tcPr>
            <w:tcW w:w="1873" w:type="dxa"/>
            <w:tcBorders>
              <w:top w:val="nil"/>
              <w:left w:val="nil"/>
              <w:bottom w:val="single" w:sz="4" w:space="0" w:color="auto"/>
              <w:right w:val="single" w:sz="4" w:space="0" w:color="auto"/>
            </w:tcBorders>
            <w:shd w:val="clear" w:color="auto" w:fill="C6EFCE"/>
            <w:noWrap/>
          </w:tcPr>
          <w:p w14:paraId="7F5D44EA" w14:textId="1C42502E"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16736_Uus riigihangete süsteem</w:t>
            </w:r>
          </w:p>
        </w:tc>
        <w:tc>
          <w:tcPr>
            <w:tcW w:w="1127" w:type="dxa"/>
            <w:tcBorders>
              <w:top w:val="nil"/>
              <w:left w:val="nil"/>
              <w:bottom w:val="single" w:sz="4" w:space="0" w:color="auto"/>
              <w:right w:val="single" w:sz="4" w:space="0" w:color="auto"/>
            </w:tcBorders>
            <w:shd w:val="clear" w:color="auto" w:fill="C6EFCE"/>
            <w:noWrap/>
          </w:tcPr>
          <w:p w14:paraId="3829D00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371D67B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Uue riigihangete süsteemi lepingu sõlmimine</w:t>
            </w:r>
          </w:p>
        </w:tc>
        <w:tc>
          <w:tcPr>
            <w:tcW w:w="1529" w:type="dxa"/>
            <w:tcBorders>
              <w:top w:val="nil"/>
              <w:left w:val="nil"/>
              <w:bottom w:val="single" w:sz="4" w:space="0" w:color="auto"/>
              <w:right w:val="single" w:sz="4" w:space="0" w:color="auto"/>
            </w:tcBorders>
            <w:shd w:val="clear" w:color="auto" w:fill="C6EFCE"/>
            <w:noWrap/>
          </w:tcPr>
          <w:p w14:paraId="7E21B26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Teade lepingu sõlmimise kohta</w:t>
            </w:r>
          </w:p>
        </w:tc>
        <w:tc>
          <w:tcPr>
            <w:tcW w:w="945" w:type="dxa"/>
            <w:tcBorders>
              <w:top w:val="nil"/>
              <w:left w:val="nil"/>
              <w:bottom w:val="single" w:sz="4" w:space="0" w:color="auto"/>
              <w:right w:val="single" w:sz="4" w:space="0" w:color="auto"/>
            </w:tcBorders>
            <w:shd w:val="clear" w:color="auto" w:fill="C6EFCE"/>
            <w:noWrap/>
          </w:tcPr>
          <w:p w14:paraId="6DC5CCBE"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33" w:type="dxa"/>
            <w:tcBorders>
              <w:top w:val="nil"/>
              <w:left w:val="nil"/>
              <w:bottom w:val="single" w:sz="4" w:space="0" w:color="auto"/>
              <w:right w:val="single" w:sz="4" w:space="0" w:color="auto"/>
            </w:tcBorders>
            <w:shd w:val="clear" w:color="auto" w:fill="C6EFCE"/>
            <w:noWrap/>
          </w:tcPr>
          <w:p w14:paraId="584C7F32"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95" w:type="dxa"/>
            <w:tcBorders>
              <w:top w:val="nil"/>
              <w:left w:val="nil"/>
              <w:bottom w:val="single" w:sz="4" w:space="0" w:color="auto"/>
              <w:right w:val="single" w:sz="4" w:space="0" w:color="auto"/>
            </w:tcBorders>
            <w:shd w:val="clear" w:color="auto" w:fill="C6EFCE"/>
            <w:noWrap/>
          </w:tcPr>
          <w:p w14:paraId="09B889D8"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69" w:type="dxa"/>
            <w:tcBorders>
              <w:top w:val="nil"/>
              <w:left w:val="nil"/>
              <w:bottom w:val="single" w:sz="4" w:space="0" w:color="auto"/>
              <w:right w:val="single" w:sz="4" w:space="0" w:color="auto"/>
            </w:tcBorders>
            <w:shd w:val="clear" w:color="auto" w:fill="C6EFCE"/>
            <w:noWrap/>
          </w:tcPr>
          <w:p w14:paraId="078CCD6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3FB1C40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4204" w:type="dxa"/>
            <w:tcBorders>
              <w:top w:val="nil"/>
              <w:left w:val="nil"/>
              <w:bottom w:val="single" w:sz="4" w:space="0" w:color="auto"/>
              <w:right w:val="single" w:sz="4" w:space="0" w:color="auto"/>
            </w:tcBorders>
            <w:shd w:val="clear" w:color="auto" w:fill="C6EFCE"/>
            <w:noWrap/>
          </w:tcPr>
          <w:p w14:paraId="21B972C5" w14:textId="31D9E8F8" w:rsidR="00AD3F7A" w:rsidRPr="00E02B5D" w:rsidRDefault="00AD3F7A" w:rsidP="00D16F13">
            <w:pPr>
              <w:spacing w:after="0" w:line="240" w:lineRule="auto"/>
              <w:rPr>
                <w:rFonts w:eastAsia="Times New Roman" w:cs="Calibri"/>
                <w:noProof/>
                <w:color w:val="006100"/>
                <w:sz w:val="18"/>
                <w:szCs w:val="18"/>
              </w:rPr>
            </w:pPr>
            <w:r>
              <w:rPr>
                <w:noProof/>
                <w:color w:val="006100"/>
                <w:sz w:val="18"/>
              </w:rPr>
              <w:t>Uue riigihangete süsteemi projekti lepingu sõlmimine. Ministeerium/avaliku sektori/infoühiskonna infosüsteemide peasekretariaat kontrollib kõiki esitatud ettepanekuid ja kinnitab, kas taotlused vastavad nõuetekohaselt RFP nõuetele.</w:t>
            </w:r>
            <w:r w:rsidR="00AE6F03">
              <w:rPr>
                <w:noProof/>
                <w:color w:val="006100"/>
                <w:sz w:val="18"/>
              </w:rPr>
              <w:t xml:space="preserve"> </w:t>
            </w:r>
            <w:r>
              <w:rPr>
                <w:noProof/>
                <w:color w:val="006100"/>
                <w:sz w:val="18"/>
              </w:rPr>
              <w:t>Asjakohase töövõtja valimisel jätkab vastutav organ lepingu sõlmimist, milles määratakse kindlaks mõlema lepingupoole kohustused, rollid ja vastutus.</w:t>
            </w:r>
          </w:p>
        </w:tc>
      </w:tr>
      <w:tr w:rsidR="00AD3F7A" w:rsidRPr="003B132A" w14:paraId="320C6691"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3240506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104</w:t>
            </w:r>
          </w:p>
        </w:tc>
        <w:tc>
          <w:tcPr>
            <w:tcW w:w="1873" w:type="dxa"/>
            <w:tcBorders>
              <w:top w:val="nil"/>
              <w:left w:val="nil"/>
              <w:bottom w:val="single" w:sz="4" w:space="0" w:color="auto"/>
              <w:right w:val="single" w:sz="4" w:space="0" w:color="auto"/>
            </w:tcBorders>
            <w:shd w:val="clear" w:color="auto" w:fill="C6EFCE"/>
            <w:noWrap/>
          </w:tcPr>
          <w:p w14:paraId="685979E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16823_Küberturvalisuse strateegia ja avaliku sektori poliitika; kõrgetasemelised turvateenused riiklikele elutähtsatele taristutele</w:t>
            </w:r>
          </w:p>
        </w:tc>
        <w:tc>
          <w:tcPr>
            <w:tcW w:w="1127" w:type="dxa"/>
            <w:tcBorders>
              <w:top w:val="nil"/>
              <w:left w:val="nil"/>
              <w:bottom w:val="single" w:sz="4" w:space="0" w:color="auto"/>
              <w:right w:val="single" w:sz="4" w:space="0" w:color="auto"/>
            </w:tcBorders>
            <w:shd w:val="clear" w:color="auto" w:fill="C6EFCE"/>
            <w:noWrap/>
          </w:tcPr>
          <w:p w14:paraId="4BA7524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6D0BB40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Küberturvalisuse strateegia hankeleping</w:t>
            </w:r>
          </w:p>
        </w:tc>
        <w:tc>
          <w:tcPr>
            <w:tcW w:w="1529" w:type="dxa"/>
            <w:tcBorders>
              <w:top w:val="nil"/>
              <w:left w:val="nil"/>
              <w:bottom w:val="single" w:sz="4" w:space="0" w:color="auto"/>
              <w:right w:val="single" w:sz="4" w:space="0" w:color="auto"/>
            </w:tcBorders>
            <w:shd w:val="clear" w:color="auto" w:fill="C6EFCE"/>
            <w:noWrap/>
          </w:tcPr>
          <w:p w14:paraId="7506224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Teade lepingu sõlmimise kohta</w:t>
            </w:r>
          </w:p>
        </w:tc>
        <w:tc>
          <w:tcPr>
            <w:tcW w:w="945" w:type="dxa"/>
            <w:tcBorders>
              <w:top w:val="nil"/>
              <w:left w:val="nil"/>
              <w:bottom w:val="single" w:sz="4" w:space="0" w:color="auto"/>
              <w:right w:val="single" w:sz="4" w:space="0" w:color="auto"/>
            </w:tcBorders>
            <w:shd w:val="clear" w:color="auto" w:fill="C6EFCE"/>
            <w:noWrap/>
          </w:tcPr>
          <w:p w14:paraId="075E8877"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33" w:type="dxa"/>
            <w:tcBorders>
              <w:top w:val="nil"/>
              <w:left w:val="nil"/>
              <w:bottom w:val="single" w:sz="4" w:space="0" w:color="auto"/>
              <w:right w:val="single" w:sz="4" w:space="0" w:color="auto"/>
            </w:tcBorders>
            <w:shd w:val="clear" w:color="auto" w:fill="C6EFCE"/>
            <w:noWrap/>
          </w:tcPr>
          <w:p w14:paraId="50A60263"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95" w:type="dxa"/>
            <w:tcBorders>
              <w:top w:val="nil"/>
              <w:left w:val="nil"/>
              <w:bottom w:val="single" w:sz="4" w:space="0" w:color="auto"/>
              <w:right w:val="single" w:sz="4" w:space="0" w:color="auto"/>
            </w:tcBorders>
            <w:shd w:val="clear" w:color="auto" w:fill="C6EFCE"/>
            <w:noWrap/>
          </w:tcPr>
          <w:p w14:paraId="0BB682E9"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69" w:type="dxa"/>
            <w:tcBorders>
              <w:top w:val="nil"/>
              <w:left w:val="nil"/>
              <w:bottom w:val="single" w:sz="4" w:space="0" w:color="auto"/>
              <w:right w:val="single" w:sz="4" w:space="0" w:color="auto"/>
            </w:tcBorders>
            <w:shd w:val="clear" w:color="auto" w:fill="C6EFCE"/>
            <w:noWrap/>
          </w:tcPr>
          <w:p w14:paraId="73C8CA2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790146F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4204" w:type="dxa"/>
            <w:tcBorders>
              <w:top w:val="nil"/>
              <w:left w:val="nil"/>
              <w:bottom w:val="single" w:sz="4" w:space="0" w:color="auto"/>
              <w:right w:val="single" w:sz="4" w:space="0" w:color="auto"/>
            </w:tcBorders>
            <w:shd w:val="clear" w:color="auto" w:fill="C6EFCE"/>
            <w:noWrap/>
          </w:tcPr>
          <w:p w14:paraId="410D308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Lepingu sõlmimine projekti küberturvalisuse strateegia ja avaliku sektori poliitika kohta; kõrgetasemelised turvateenused riiklikele elutähtsatele taristutele. Asjakohase väliskonsultandi valimisel sõlmib ministeerium lepingu, milles määratakse kindlaks mõlema lepingupoole kohustused, rollid ja vastutus.</w:t>
            </w:r>
          </w:p>
        </w:tc>
      </w:tr>
      <w:tr w:rsidR="00AD3F7A" w:rsidRPr="003B132A" w14:paraId="7DAF8157"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20C79E3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105</w:t>
            </w:r>
          </w:p>
        </w:tc>
        <w:tc>
          <w:tcPr>
            <w:tcW w:w="1873" w:type="dxa"/>
            <w:tcBorders>
              <w:top w:val="nil"/>
              <w:left w:val="nil"/>
              <w:bottom w:val="single" w:sz="4" w:space="0" w:color="auto"/>
              <w:right w:val="single" w:sz="4" w:space="0" w:color="auto"/>
            </w:tcBorders>
            <w:shd w:val="clear" w:color="auto" w:fill="C6EFCE"/>
            <w:noWrap/>
          </w:tcPr>
          <w:p w14:paraId="250E9B0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16826_Digioskuste täiendamise programmid ajateenijatele</w:t>
            </w:r>
          </w:p>
        </w:tc>
        <w:tc>
          <w:tcPr>
            <w:tcW w:w="1127" w:type="dxa"/>
            <w:tcBorders>
              <w:top w:val="nil"/>
              <w:left w:val="nil"/>
              <w:bottom w:val="single" w:sz="4" w:space="0" w:color="auto"/>
              <w:right w:val="single" w:sz="4" w:space="0" w:color="auto"/>
            </w:tcBorders>
            <w:shd w:val="clear" w:color="auto" w:fill="C6EFCE"/>
            <w:noWrap/>
          </w:tcPr>
          <w:p w14:paraId="3C5D06B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57D8AC9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Ajateenijate digioskuste täiendamise programmide hankeleping</w:t>
            </w:r>
          </w:p>
        </w:tc>
        <w:tc>
          <w:tcPr>
            <w:tcW w:w="1529" w:type="dxa"/>
            <w:tcBorders>
              <w:top w:val="nil"/>
              <w:left w:val="nil"/>
              <w:bottom w:val="single" w:sz="4" w:space="0" w:color="auto"/>
              <w:right w:val="single" w:sz="4" w:space="0" w:color="auto"/>
            </w:tcBorders>
            <w:shd w:val="clear" w:color="auto" w:fill="C6EFCE"/>
            <w:noWrap/>
          </w:tcPr>
          <w:p w14:paraId="2E63246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Teade lepingu sõlmimise kohta</w:t>
            </w:r>
          </w:p>
        </w:tc>
        <w:tc>
          <w:tcPr>
            <w:tcW w:w="945" w:type="dxa"/>
            <w:tcBorders>
              <w:top w:val="nil"/>
              <w:left w:val="nil"/>
              <w:bottom w:val="single" w:sz="4" w:space="0" w:color="auto"/>
              <w:right w:val="single" w:sz="4" w:space="0" w:color="auto"/>
            </w:tcBorders>
            <w:shd w:val="clear" w:color="auto" w:fill="C6EFCE"/>
            <w:noWrap/>
          </w:tcPr>
          <w:p w14:paraId="2C79738B"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33" w:type="dxa"/>
            <w:tcBorders>
              <w:top w:val="nil"/>
              <w:left w:val="nil"/>
              <w:bottom w:val="single" w:sz="4" w:space="0" w:color="auto"/>
              <w:right w:val="single" w:sz="4" w:space="0" w:color="auto"/>
            </w:tcBorders>
            <w:shd w:val="clear" w:color="auto" w:fill="C6EFCE"/>
            <w:noWrap/>
          </w:tcPr>
          <w:p w14:paraId="4A525E55"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95" w:type="dxa"/>
            <w:tcBorders>
              <w:top w:val="nil"/>
              <w:left w:val="nil"/>
              <w:bottom w:val="single" w:sz="4" w:space="0" w:color="auto"/>
              <w:right w:val="single" w:sz="4" w:space="0" w:color="auto"/>
            </w:tcBorders>
            <w:shd w:val="clear" w:color="auto" w:fill="C6EFCE"/>
            <w:noWrap/>
          </w:tcPr>
          <w:p w14:paraId="54F9BD9E"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69" w:type="dxa"/>
            <w:tcBorders>
              <w:top w:val="nil"/>
              <w:left w:val="nil"/>
              <w:bottom w:val="single" w:sz="4" w:space="0" w:color="auto"/>
              <w:right w:val="single" w:sz="4" w:space="0" w:color="auto"/>
            </w:tcBorders>
            <w:shd w:val="clear" w:color="auto" w:fill="C6EFCE"/>
            <w:noWrap/>
          </w:tcPr>
          <w:p w14:paraId="0BEC2EF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7ED2880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4204" w:type="dxa"/>
            <w:tcBorders>
              <w:top w:val="nil"/>
              <w:left w:val="nil"/>
              <w:bottom w:val="single" w:sz="4" w:space="0" w:color="auto"/>
              <w:right w:val="single" w:sz="4" w:space="0" w:color="auto"/>
            </w:tcBorders>
            <w:shd w:val="clear" w:color="auto" w:fill="C6EFCE"/>
            <w:noWrap/>
          </w:tcPr>
          <w:p w14:paraId="6DB96DA0" w14:textId="7D4FACE0" w:rsidR="00AD3F7A" w:rsidRPr="00E02B5D" w:rsidRDefault="00AD3F7A" w:rsidP="00D16F13">
            <w:pPr>
              <w:spacing w:after="0" w:line="240" w:lineRule="auto"/>
              <w:rPr>
                <w:rFonts w:eastAsia="Times New Roman" w:cs="Calibri"/>
                <w:noProof/>
                <w:color w:val="006100"/>
                <w:sz w:val="18"/>
                <w:szCs w:val="18"/>
              </w:rPr>
            </w:pPr>
            <w:r>
              <w:rPr>
                <w:noProof/>
                <w:color w:val="006100"/>
                <w:sz w:val="18"/>
              </w:rPr>
              <w:t>Ajateenijate digioskuste täiendamise programmide lepingu sõlmimine. Ministeerium vaatab läbi kõik esitatud ettepanekud ja kinnitab, kas taotlused vastavad nõuetekohaselt RFP nõuetele.     Asjakohase välispartneri valimisel sõlmib ministeerium lepingu, milles määratakse kindlaks mõlema lepingupoole kohustused, rollid ja vastutus.</w:t>
            </w:r>
          </w:p>
        </w:tc>
      </w:tr>
      <w:tr w:rsidR="00AD3F7A" w:rsidRPr="003B132A" w14:paraId="07F23BAD"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5101EE4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106</w:t>
            </w:r>
          </w:p>
        </w:tc>
        <w:tc>
          <w:tcPr>
            <w:tcW w:w="1873" w:type="dxa"/>
            <w:tcBorders>
              <w:top w:val="nil"/>
              <w:left w:val="nil"/>
              <w:bottom w:val="single" w:sz="4" w:space="0" w:color="auto"/>
              <w:right w:val="single" w:sz="4" w:space="0" w:color="auto"/>
            </w:tcBorders>
            <w:shd w:val="clear" w:color="auto" w:fill="C6EFCE"/>
            <w:noWrap/>
          </w:tcPr>
          <w:p w14:paraId="521FD80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16742_välisministeeriumi digitaalne ümberkujundamine</w:t>
            </w:r>
          </w:p>
        </w:tc>
        <w:tc>
          <w:tcPr>
            <w:tcW w:w="1127" w:type="dxa"/>
            <w:tcBorders>
              <w:top w:val="nil"/>
              <w:left w:val="nil"/>
              <w:bottom w:val="single" w:sz="4" w:space="0" w:color="auto"/>
              <w:right w:val="single" w:sz="4" w:space="0" w:color="auto"/>
            </w:tcBorders>
            <w:shd w:val="clear" w:color="auto" w:fill="C6EFCE"/>
            <w:noWrap/>
          </w:tcPr>
          <w:p w14:paraId="2AAED55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103B33D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Välisministeeriumi digiülemineku hankeleping</w:t>
            </w:r>
          </w:p>
        </w:tc>
        <w:tc>
          <w:tcPr>
            <w:tcW w:w="1529" w:type="dxa"/>
            <w:tcBorders>
              <w:top w:val="nil"/>
              <w:left w:val="nil"/>
              <w:bottom w:val="single" w:sz="4" w:space="0" w:color="auto"/>
              <w:right w:val="single" w:sz="4" w:space="0" w:color="auto"/>
            </w:tcBorders>
            <w:shd w:val="clear" w:color="auto" w:fill="C6EFCE"/>
            <w:noWrap/>
          </w:tcPr>
          <w:p w14:paraId="4A3F77C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Teade lepingu sõlmimise kohta</w:t>
            </w:r>
          </w:p>
        </w:tc>
        <w:tc>
          <w:tcPr>
            <w:tcW w:w="945" w:type="dxa"/>
            <w:tcBorders>
              <w:top w:val="nil"/>
              <w:left w:val="nil"/>
              <w:bottom w:val="single" w:sz="4" w:space="0" w:color="auto"/>
              <w:right w:val="single" w:sz="4" w:space="0" w:color="auto"/>
            </w:tcBorders>
            <w:shd w:val="clear" w:color="auto" w:fill="C6EFCE"/>
            <w:noWrap/>
          </w:tcPr>
          <w:p w14:paraId="7FE3A0A7"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33" w:type="dxa"/>
            <w:tcBorders>
              <w:top w:val="nil"/>
              <w:left w:val="nil"/>
              <w:bottom w:val="single" w:sz="4" w:space="0" w:color="auto"/>
              <w:right w:val="single" w:sz="4" w:space="0" w:color="auto"/>
            </w:tcBorders>
            <w:shd w:val="clear" w:color="auto" w:fill="C6EFCE"/>
            <w:noWrap/>
          </w:tcPr>
          <w:p w14:paraId="5A9714D0"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95" w:type="dxa"/>
            <w:tcBorders>
              <w:top w:val="nil"/>
              <w:left w:val="nil"/>
              <w:bottom w:val="single" w:sz="4" w:space="0" w:color="auto"/>
              <w:right w:val="single" w:sz="4" w:space="0" w:color="auto"/>
            </w:tcBorders>
            <w:shd w:val="clear" w:color="auto" w:fill="C6EFCE"/>
            <w:noWrap/>
          </w:tcPr>
          <w:p w14:paraId="71064A00"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69" w:type="dxa"/>
            <w:tcBorders>
              <w:top w:val="nil"/>
              <w:left w:val="nil"/>
              <w:bottom w:val="single" w:sz="4" w:space="0" w:color="auto"/>
              <w:right w:val="single" w:sz="4" w:space="0" w:color="auto"/>
            </w:tcBorders>
            <w:shd w:val="clear" w:color="auto" w:fill="C6EFCE"/>
            <w:noWrap/>
          </w:tcPr>
          <w:p w14:paraId="1951C50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7101890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4204" w:type="dxa"/>
            <w:tcBorders>
              <w:top w:val="nil"/>
              <w:left w:val="nil"/>
              <w:bottom w:val="single" w:sz="4" w:space="0" w:color="auto"/>
              <w:right w:val="single" w:sz="4" w:space="0" w:color="auto"/>
            </w:tcBorders>
            <w:shd w:val="clear" w:color="auto" w:fill="C6EFCE"/>
            <w:noWrap/>
          </w:tcPr>
          <w:p w14:paraId="62F263F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Välisministeeriumi digiülemineku lepingu sõlmimine. Ministeerium vaatab läbi kõik esitatud ettepanekud ja kinnitab, kas taotlused vastavad nõuetekohaselt RFP nõuetele.     Asjakohase välispartneri valimisel sõlmib ministeerium lepingu, milles määratakse kindlaks mõlema lepingupoole kohustused, rollid ja vastutus.</w:t>
            </w:r>
          </w:p>
        </w:tc>
      </w:tr>
      <w:tr w:rsidR="00AD3F7A" w:rsidRPr="003B132A" w14:paraId="1B884BE7"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72E804C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107</w:t>
            </w:r>
          </w:p>
        </w:tc>
        <w:tc>
          <w:tcPr>
            <w:tcW w:w="1873" w:type="dxa"/>
            <w:tcBorders>
              <w:top w:val="nil"/>
              <w:left w:val="nil"/>
              <w:bottom w:val="single" w:sz="4" w:space="0" w:color="auto"/>
              <w:right w:val="single" w:sz="4" w:space="0" w:color="auto"/>
            </w:tcBorders>
            <w:shd w:val="clear" w:color="auto" w:fill="C6EFCE"/>
            <w:noWrap/>
          </w:tcPr>
          <w:p w14:paraId="4A0B670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16824_Ettekanded</w:t>
            </w:r>
          </w:p>
        </w:tc>
        <w:tc>
          <w:tcPr>
            <w:tcW w:w="1127" w:type="dxa"/>
            <w:tcBorders>
              <w:top w:val="nil"/>
              <w:left w:val="nil"/>
              <w:bottom w:val="single" w:sz="4" w:space="0" w:color="auto"/>
              <w:right w:val="single" w:sz="4" w:space="0" w:color="auto"/>
            </w:tcBorders>
            <w:shd w:val="clear" w:color="auto" w:fill="C6EFCE"/>
            <w:noWrap/>
          </w:tcPr>
          <w:p w14:paraId="327D898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1512138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E-registrite hankelepingu sõlmimine</w:t>
            </w:r>
          </w:p>
        </w:tc>
        <w:tc>
          <w:tcPr>
            <w:tcW w:w="1529" w:type="dxa"/>
            <w:tcBorders>
              <w:top w:val="nil"/>
              <w:left w:val="nil"/>
              <w:bottom w:val="single" w:sz="4" w:space="0" w:color="auto"/>
              <w:right w:val="single" w:sz="4" w:space="0" w:color="auto"/>
            </w:tcBorders>
            <w:shd w:val="clear" w:color="auto" w:fill="C6EFCE"/>
            <w:noWrap/>
          </w:tcPr>
          <w:p w14:paraId="7183015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Teade lepingu sõlmimise kohta</w:t>
            </w:r>
          </w:p>
        </w:tc>
        <w:tc>
          <w:tcPr>
            <w:tcW w:w="945" w:type="dxa"/>
            <w:tcBorders>
              <w:top w:val="nil"/>
              <w:left w:val="nil"/>
              <w:bottom w:val="single" w:sz="4" w:space="0" w:color="auto"/>
              <w:right w:val="single" w:sz="4" w:space="0" w:color="auto"/>
            </w:tcBorders>
            <w:shd w:val="clear" w:color="auto" w:fill="C6EFCE"/>
            <w:noWrap/>
          </w:tcPr>
          <w:p w14:paraId="49D68F3D"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33" w:type="dxa"/>
            <w:tcBorders>
              <w:top w:val="nil"/>
              <w:left w:val="nil"/>
              <w:bottom w:val="single" w:sz="4" w:space="0" w:color="auto"/>
              <w:right w:val="single" w:sz="4" w:space="0" w:color="auto"/>
            </w:tcBorders>
            <w:shd w:val="clear" w:color="auto" w:fill="C6EFCE"/>
            <w:noWrap/>
          </w:tcPr>
          <w:p w14:paraId="4741F917"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95" w:type="dxa"/>
            <w:tcBorders>
              <w:top w:val="nil"/>
              <w:left w:val="nil"/>
              <w:bottom w:val="single" w:sz="4" w:space="0" w:color="auto"/>
              <w:right w:val="single" w:sz="4" w:space="0" w:color="auto"/>
            </w:tcBorders>
            <w:shd w:val="clear" w:color="auto" w:fill="C6EFCE"/>
            <w:noWrap/>
          </w:tcPr>
          <w:p w14:paraId="48FDD0B4"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69" w:type="dxa"/>
            <w:tcBorders>
              <w:top w:val="nil"/>
              <w:left w:val="nil"/>
              <w:bottom w:val="single" w:sz="4" w:space="0" w:color="auto"/>
              <w:right w:val="single" w:sz="4" w:space="0" w:color="auto"/>
            </w:tcBorders>
            <w:shd w:val="clear" w:color="auto" w:fill="C6EFCE"/>
            <w:noWrap/>
          </w:tcPr>
          <w:p w14:paraId="4C3C721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45F0C68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4204" w:type="dxa"/>
            <w:tcBorders>
              <w:top w:val="nil"/>
              <w:left w:val="nil"/>
              <w:bottom w:val="single" w:sz="4" w:space="0" w:color="auto"/>
              <w:right w:val="single" w:sz="4" w:space="0" w:color="auto"/>
            </w:tcBorders>
            <w:shd w:val="clear" w:color="auto" w:fill="C6EFCE"/>
            <w:noWrap/>
          </w:tcPr>
          <w:p w14:paraId="40FBEB8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E-registrite projekti lepingu sõlmimine. Ministeerium/avaliku sektori/infoühiskonna infosüsteemide peasekretariaat kontrollib kõiki esitatud ettepanekuid ja kinnitab, kas taotlused vastavad nõuetekohaselt RFP nõuetele.   Asjakohase välispartneri valimisel sõlmib ministeerium lepingu, milles määratakse kindlaks mõlema lepingupoole kohustused, rollid ja vastutus.</w:t>
            </w:r>
          </w:p>
        </w:tc>
      </w:tr>
      <w:tr w:rsidR="00AD3F7A" w:rsidRPr="003B132A" w14:paraId="70DEA7E7"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56D4A1E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108</w:t>
            </w:r>
          </w:p>
        </w:tc>
        <w:tc>
          <w:tcPr>
            <w:tcW w:w="1873" w:type="dxa"/>
            <w:tcBorders>
              <w:top w:val="nil"/>
              <w:left w:val="nil"/>
              <w:bottom w:val="single" w:sz="4" w:space="0" w:color="auto"/>
              <w:right w:val="single" w:sz="4" w:space="0" w:color="auto"/>
            </w:tcBorders>
            <w:shd w:val="clear" w:color="auto" w:fill="C6EFCE"/>
            <w:noWrap/>
          </w:tcPr>
          <w:p w14:paraId="3654E61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16779_Koostalitlusvõime ja veebiteenuste arendamine</w:t>
            </w:r>
          </w:p>
        </w:tc>
        <w:tc>
          <w:tcPr>
            <w:tcW w:w="1127" w:type="dxa"/>
            <w:tcBorders>
              <w:top w:val="nil"/>
              <w:left w:val="nil"/>
              <w:bottom w:val="single" w:sz="4" w:space="0" w:color="auto"/>
              <w:right w:val="single" w:sz="4" w:space="0" w:color="auto"/>
            </w:tcBorders>
            <w:shd w:val="clear" w:color="auto" w:fill="C6EFCE"/>
            <w:noWrap/>
          </w:tcPr>
          <w:p w14:paraId="720C479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5C23450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Projekti „Koostalitlusvõime ja veebiteenuste arendamine“ lõpuleviimine </w:t>
            </w:r>
          </w:p>
        </w:tc>
        <w:tc>
          <w:tcPr>
            <w:tcW w:w="1529" w:type="dxa"/>
            <w:tcBorders>
              <w:top w:val="nil"/>
              <w:left w:val="nil"/>
              <w:bottom w:val="single" w:sz="4" w:space="0" w:color="auto"/>
              <w:right w:val="single" w:sz="4" w:space="0" w:color="auto"/>
            </w:tcBorders>
            <w:shd w:val="clear" w:color="auto" w:fill="C6EFCE"/>
            <w:noWrap/>
          </w:tcPr>
          <w:p w14:paraId="501BB0A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halduse ministeeriumi aruanne, milles dokumenteeritakse süsteemide koostalitlusvõimet käsitleva projekti lõpuleviimine ja avatud andmete valmimine</w:t>
            </w:r>
          </w:p>
        </w:tc>
        <w:tc>
          <w:tcPr>
            <w:tcW w:w="945" w:type="dxa"/>
            <w:tcBorders>
              <w:top w:val="nil"/>
              <w:left w:val="nil"/>
              <w:bottom w:val="single" w:sz="4" w:space="0" w:color="auto"/>
              <w:right w:val="single" w:sz="4" w:space="0" w:color="auto"/>
            </w:tcBorders>
            <w:shd w:val="clear" w:color="auto" w:fill="C6EFCE"/>
            <w:noWrap/>
          </w:tcPr>
          <w:p w14:paraId="5154B65B"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14:paraId="39E4AA09"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14:paraId="145BE11B"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14:paraId="23D7876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1E713B0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2024</w:t>
            </w:r>
          </w:p>
        </w:tc>
        <w:tc>
          <w:tcPr>
            <w:tcW w:w="4204" w:type="dxa"/>
            <w:tcBorders>
              <w:top w:val="nil"/>
              <w:left w:val="nil"/>
              <w:bottom w:val="single" w:sz="4" w:space="0" w:color="auto"/>
              <w:right w:val="single" w:sz="4" w:space="0" w:color="auto"/>
            </w:tcBorders>
            <w:shd w:val="clear" w:color="auto" w:fill="C6EFCE"/>
            <w:noWrap/>
          </w:tcPr>
          <w:p w14:paraId="78F33F0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lõpuleviimine: Koostalitlusvõime ja veebiteenuste arendamine.</w:t>
            </w:r>
          </w:p>
          <w:p w14:paraId="26C50F0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Vastavat infrastruktuuri ja süsteeme hinnatakse uute funktsioonide suhtes. Vastuvõtmine/toimimine (pinge jne) /regressioon. Lisaks hõlmab hindamine avatud andmete eesmärki. (Kreeka metaandmete registri (nagu see on määratletud koostalitlusvõime registris) ja registri põhiteenuse keskportaali rakendamine, mis on keskne juurdepääsupunkt riigi peamistele registritele).</w:t>
            </w:r>
          </w:p>
        </w:tc>
      </w:tr>
      <w:tr w:rsidR="00AD3F7A" w:rsidRPr="003B132A" w14:paraId="345756D8"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28DC4EB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109</w:t>
            </w:r>
          </w:p>
        </w:tc>
        <w:tc>
          <w:tcPr>
            <w:tcW w:w="1873" w:type="dxa"/>
            <w:tcBorders>
              <w:top w:val="nil"/>
              <w:left w:val="nil"/>
              <w:bottom w:val="single" w:sz="4" w:space="0" w:color="auto"/>
              <w:right w:val="single" w:sz="4" w:space="0" w:color="auto"/>
            </w:tcBorders>
            <w:shd w:val="clear" w:color="auto" w:fill="C6EFCE"/>
            <w:noWrap/>
          </w:tcPr>
          <w:p w14:paraId="26C59263" w14:textId="4D91074D"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16810_</w:t>
            </w:r>
            <w:r w:rsidR="00AE6F03">
              <w:rPr>
                <w:noProof/>
                <w:color w:val="006100"/>
                <w:sz w:val="18"/>
              </w:rPr>
              <w:t>K</w:t>
            </w:r>
            <w:r>
              <w:rPr>
                <w:noProof/>
                <w:color w:val="006100"/>
                <w:sz w:val="18"/>
              </w:rPr>
              <w:t>liendisuhete haldus valitsemissektori jaoks</w:t>
            </w:r>
          </w:p>
        </w:tc>
        <w:tc>
          <w:tcPr>
            <w:tcW w:w="1127" w:type="dxa"/>
            <w:tcBorders>
              <w:top w:val="nil"/>
              <w:left w:val="nil"/>
              <w:bottom w:val="single" w:sz="4" w:space="0" w:color="auto"/>
              <w:right w:val="single" w:sz="4" w:space="0" w:color="auto"/>
            </w:tcBorders>
            <w:shd w:val="clear" w:color="auto" w:fill="C6EFCE"/>
            <w:noWrap/>
          </w:tcPr>
          <w:p w14:paraId="048D9EC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4810343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„Kliendisuhete haldus“ lõpuleviimine valitsemissektori jaoks</w:t>
            </w:r>
          </w:p>
        </w:tc>
        <w:tc>
          <w:tcPr>
            <w:tcW w:w="1529" w:type="dxa"/>
            <w:tcBorders>
              <w:top w:val="nil"/>
              <w:left w:val="nil"/>
              <w:bottom w:val="single" w:sz="4" w:space="0" w:color="auto"/>
              <w:right w:val="single" w:sz="4" w:space="0" w:color="auto"/>
            </w:tcBorders>
            <w:shd w:val="clear" w:color="auto" w:fill="C6EFCE"/>
            <w:noWrap/>
          </w:tcPr>
          <w:p w14:paraId="30AF331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halduse ministeeriumi aruanne, milles dokumenteeritakse integreeritud süsteemi rakendamine, et hallata kogu avaliku halduse suhet kodanike ja ettevõtjatega</w:t>
            </w:r>
          </w:p>
        </w:tc>
        <w:tc>
          <w:tcPr>
            <w:tcW w:w="945" w:type="dxa"/>
            <w:tcBorders>
              <w:top w:val="nil"/>
              <w:left w:val="nil"/>
              <w:bottom w:val="single" w:sz="4" w:space="0" w:color="auto"/>
              <w:right w:val="single" w:sz="4" w:space="0" w:color="auto"/>
            </w:tcBorders>
            <w:shd w:val="clear" w:color="auto" w:fill="C6EFCE"/>
            <w:noWrap/>
          </w:tcPr>
          <w:p w14:paraId="4C47B36D"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14:paraId="75BB2DAB"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14:paraId="28D3E77E"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14:paraId="646495A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01CF03F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2024</w:t>
            </w:r>
          </w:p>
        </w:tc>
        <w:tc>
          <w:tcPr>
            <w:tcW w:w="4204" w:type="dxa"/>
            <w:tcBorders>
              <w:top w:val="nil"/>
              <w:left w:val="nil"/>
              <w:bottom w:val="single" w:sz="4" w:space="0" w:color="auto"/>
              <w:right w:val="single" w:sz="4" w:space="0" w:color="auto"/>
            </w:tcBorders>
            <w:shd w:val="clear" w:color="auto" w:fill="C6EFCE"/>
            <w:noWrap/>
          </w:tcPr>
          <w:p w14:paraId="7DD6CBD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lõpuleviimine: Valitsemissektori kliendisuhete haldamise süsteem, mis võimaldab hallata ametiasutuste suhtlust kodanike ja ettevõtjatega.</w:t>
            </w:r>
          </w:p>
        </w:tc>
      </w:tr>
      <w:tr w:rsidR="00AD3F7A" w:rsidRPr="003B132A" w14:paraId="29F996B0"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15AB759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110</w:t>
            </w:r>
          </w:p>
        </w:tc>
        <w:tc>
          <w:tcPr>
            <w:tcW w:w="1873" w:type="dxa"/>
            <w:tcBorders>
              <w:top w:val="nil"/>
              <w:left w:val="nil"/>
              <w:bottom w:val="single" w:sz="4" w:space="0" w:color="auto"/>
              <w:right w:val="single" w:sz="4" w:space="0" w:color="auto"/>
            </w:tcBorders>
            <w:shd w:val="clear" w:color="auto" w:fill="C6EFCE"/>
            <w:noWrap/>
          </w:tcPr>
          <w:p w14:paraId="6DC9C7A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16780_Avaliku halduse ühe akna süsteemide täiendav ajakohastamine</w:t>
            </w:r>
          </w:p>
        </w:tc>
        <w:tc>
          <w:tcPr>
            <w:tcW w:w="1127" w:type="dxa"/>
            <w:tcBorders>
              <w:top w:val="nil"/>
              <w:left w:val="nil"/>
              <w:bottom w:val="single" w:sz="4" w:space="0" w:color="auto"/>
              <w:right w:val="single" w:sz="4" w:space="0" w:color="auto"/>
            </w:tcBorders>
            <w:shd w:val="clear" w:color="auto" w:fill="C6EFCE"/>
            <w:noWrap/>
          </w:tcPr>
          <w:p w14:paraId="70FDA0F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4D16213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„One-Stop Shops“ lõpuleviimine</w:t>
            </w:r>
          </w:p>
        </w:tc>
        <w:tc>
          <w:tcPr>
            <w:tcW w:w="1529" w:type="dxa"/>
            <w:tcBorders>
              <w:top w:val="nil"/>
              <w:left w:val="nil"/>
              <w:bottom w:val="single" w:sz="4" w:space="0" w:color="auto"/>
              <w:right w:val="single" w:sz="4" w:space="0" w:color="auto"/>
            </w:tcBorders>
            <w:shd w:val="clear" w:color="auto" w:fill="C6EFCE"/>
            <w:noWrap/>
          </w:tcPr>
          <w:p w14:paraId="6504247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Digitaalse juhtimise ministeeriumi projekti lõpparuanne, milles dokumenteeritakse avaliku halduse ühtse kontaktpunkti edasise ajakohastamise lõpuleviimine. </w:t>
            </w:r>
          </w:p>
        </w:tc>
        <w:tc>
          <w:tcPr>
            <w:tcW w:w="945" w:type="dxa"/>
            <w:tcBorders>
              <w:top w:val="nil"/>
              <w:left w:val="nil"/>
              <w:bottom w:val="single" w:sz="4" w:space="0" w:color="auto"/>
              <w:right w:val="single" w:sz="4" w:space="0" w:color="auto"/>
            </w:tcBorders>
            <w:shd w:val="clear" w:color="auto" w:fill="C6EFCE"/>
            <w:noWrap/>
          </w:tcPr>
          <w:p w14:paraId="6AF72CD6"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14:paraId="277FFE83"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14:paraId="7453A94D"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14:paraId="4892D44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43E6717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2024</w:t>
            </w:r>
          </w:p>
        </w:tc>
        <w:tc>
          <w:tcPr>
            <w:tcW w:w="4204" w:type="dxa"/>
            <w:tcBorders>
              <w:top w:val="nil"/>
              <w:left w:val="nil"/>
              <w:bottom w:val="single" w:sz="4" w:space="0" w:color="auto"/>
              <w:right w:val="single" w:sz="4" w:space="0" w:color="auto"/>
            </w:tcBorders>
            <w:shd w:val="clear" w:color="auto" w:fill="C6EFCE"/>
            <w:noWrap/>
          </w:tcPr>
          <w:p w14:paraId="7A9B117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lõpuleviimine: Avaliku halduse ühtsete kontaktpunktide edasine ajakohastamine, sealhulgas avaliku halduse ühtsete kontaktpunktide edasine ajakohastamine 6 325 arvuti/printeri/tableti soetamise kaudu, mida kasutatakse elektroonilise allkirja andmise protsessis, 145 järjekorra haldamise ja aruka teavitamise süsteemi, 730 tagasisideterminali, hindamisplatvormi ja -peegli, mobiilirakenduse ja nende kasutamise kaudu.</w:t>
            </w:r>
          </w:p>
        </w:tc>
      </w:tr>
      <w:tr w:rsidR="00AD3F7A" w:rsidRPr="003B132A" w14:paraId="206786F0"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6716A80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111</w:t>
            </w:r>
          </w:p>
        </w:tc>
        <w:tc>
          <w:tcPr>
            <w:tcW w:w="1873" w:type="dxa"/>
            <w:tcBorders>
              <w:top w:val="nil"/>
              <w:left w:val="nil"/>
              <w:bottom w:val="single" w:sz="4" w:space="0" w:color="auto"/>
              <w:right w:val="single" w:sz="4" w:space="0" w:color="auto"/>
            </w:tcBorders>
            <w:shd w:val="clear" w:color="auto" w:fill="C6EFCE"/>
            <w:noWrap/>
          </w:tcPr>
          <w:p w14:paraId="6B397A1F" w14:textId="0FCB3DB3"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16965_Avaliku sektori infosüsteemide andmeklassifikatsiooni uuringud</w:t>
            </w:r>
          </w:p>
        </w:tc>
        <w:tc>
          <w:tcPr>
            <w:tcW w:w="1127" w:type="dxa"/>
            <w:tcBorders>
              <w:top w:val="nil"/>
              <w:left w:val="nil"/>
              <w:bottom w:val="single" w:sz="4" w:space="0" w:color="auto"/>
              <w:right w:val="single" w:sz="4" w:space="0" w:color="auto"/>
            </w:tcBorders>
            <w:shd w:val="clear" w:color="auto" w:fill="C6EFCE"/>
            <w:noWrap/>
          </w:tcPr>
          <w:p w14:paraId="170EE61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319D7FF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„Andmeklassifikaatori uuringud“ lõpuleviimine</w:t>
            </w:r>
          </w:p>
        </w:tc>
        <w:tc>
          <w:tcPr>
            <w:tcW w:w="1529" w:type="dxa"/>
            <w:tcBorders>
              <w:top w:val="nil"/>
              <w:left w:val="nil"/>
              <w:bottom w:val="single" w:sz="4" w:space="0" w:color="auto"/>
              <w:right w:val="single" w:sz="4" w:space="0" w:color="auto"/>
            </w:tcBorders>
            <w:shd w:val="clear" w:color="auto" w:fill="C6EFCE"/>
            <w:noWrap/>
          </w:tcPr>
          <w:p w14:paraId="02439D8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juhtimise ministeeriumi aruanne projekti lõpuleviimise dokumenteerimise kohta. Avaliku sektori infosüsteemide andmeklassifikatsiooni uuringud</w:t>
            </w:r>
          </w:p>
        </w:tc>
        <w:tc>
          <w:tcPr>
            <w:tcW w:w="945" w:type="dxa"/>
            <w:tcBorders>
              <w:top w:val="nil"/>
              <w:left w:val="nil"/>
              <w:bottom w:val="single" w:sz="4" w:space="0" w:color="auto"/>
              <w:right w:val="single" w:sz="4" w:space="0" w:color="auto"/>
            </w:tcBorders>
            <w:shd w:val="clear" w:color="auto" w:fill="C6EFCE"/>
            <w:noWrap/>
          </w:tcPr>
          <w:p w14:paraId="76FFC3C5"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14:paraId="4D065A73"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14:paraId="07C8BE54"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14:paraId="3B3A5A1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489FA37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2024</w:t>
            </w:r>
          </w:p>
        </w:tc>
        <w:tc>
          <w:tcPr>
            <w:tcW w:w="4204" w:type="dxa"/>
            <w:tcBorders>
              <w:top w:val="nil"/>
              <w:left w:val="nil"/>
              <w:bottom w:val="single" w:sz="4" w:space="0" w:color="auto"/>
              <w:right w:val="single" w:sz="4" w:space="0" w:color="auto"/>
            </w:tcBorders>
            <w:shd w:val="clear" w:color="auto" w:fill="C6EFCE"/>
            <w:noWrap/>
          </w:tcPr>
          <w:p w14:paraId="2F4FB88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Projekti lõpuleviimine: Avaliku sektori infosüsteemide andmeklassifikaatori uuringud, mis hõlmavad 220 andmeklassifikaatori uuringut. </w:t>
            </w:r>
          </w:p>
        </w:tc>
      </w:tr>
      <w:tr w:rsidR="00AD3F7A" w:rsidRPr="003B132A" w14:paraId="16D3F468"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3EB061E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112</w:t>
            </w:r>
          </w:p>
        </w:tc>
        <w:tc>
          <w:tcPr>
            <w:tcW w:w="1873" w:type="dxa"/>
            <w:tcBorders>
              <w:top w:val="nil"/>
              <w:left w:val="nil"/>
              <w:bottom w:val="single" w:sz="4" w:space="0" w:color="auto"/>
              <w:right w:val="single" w:sz="4" w:space="0" w:color="auto"/>
            </w:tcBorders>
            <w:shd w:val="clear" w:color="auto" w:fill="C6EFCE"/>
            <w:noWrap/>
          </w:tcPr>
          <w:p w14:paraId="0FA7D38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16823_Küberturvalisuse strateegia ja avaliku sektori poliitika; kõrgetasemelised turvateenused riiklikele elutähtsatele taristutele</w:t>
            </w:r>
          </w:p>
        </w:tc>
        <w:tc>
          <w:tcPr>
            <w:tcW w:w="1127" w:type="dxa"/>
            <w:tcBorders>
              <w:top w:val="nil"/>
              <w:left w:val="nil"/>
              <w:bottom w:val="single" w:sz="4" w:space="0" w:color="auto"/>
              <w:right w:val="single" w:sz="4" w:space="0" w:color="auto"/>
            </w:tcBorders>
            <w:shd w:val="clear" w:color="auto" w:fill="C6EFCE"/>
            <w:noWrap/>
          </w:tcPr>
          <w:p w14:paraId="346A8CE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76AC4FD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„Küberturvalisuse strateegia“ lõpuleviimine</w:t>
            </w:r>
          </w:p>
        </w:tc>
        <w:tc>
          <w:tcPr>
            <w:tcW w:w="1529" w:type="dxa"/>
            <w:tcBorders>
              <w:top w:val="nil"/>
              <w:left w:val="nil"/>
              <w:bottom w:val="single" w:sz="4" w:space="0" w:color="auto"/>
              <w:right w:val="single" w:sz="4" w:space="0" w:color="auto"/>
            </w:tcBorders>
            <w:shd w:val="clear" w:color="auto" w:fill="C6EFCE"/>
            <w:noWrap/>
          </w:tcPr>
          <w:p w14:paraId="4B8091D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halduse ministeeriumi aruanne uue küberjulgeoleku strateegia ja avaliku halduse poliitika ning neis sisalduvate projektide rakendamise dokumenteerimise kohta</w:t>
            </w:r>
          </w:p>
        </w:tc>
        <w:tc>
          <w:tcPr>
            <w:tcW w:w="945" w:type="dxa"/>
            <w:tcBorders>
              <w:top w:val="nil"/>
              <w:left w:val="nil"/>
              <w:bottom w:val="single" w:sz="4" w:space="0" w:color="auto"/>
              <w:right w:val="single" w:sz="4" w:space="0" w:color="auto"/>
            </w:tcBorders>
            <w:shd w:val="clear" w:color="auto" w:fill="C6EFCE"/>
            <w:noWrap/>
          </w:tcPr>
          <w:p w14:paraId="1E690808"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14:paraId="3E65E396"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14:paraId="65D8D2AC"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14:paraId="4A1700E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6F897CE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2024</w:t>
            </w:r>
          </w:p>
        </w:tc>
        <w:tc>
          <w:tcPr>
            <w:tcW w:w="4204" w:type="dxa"/>
            <w:tcBorders>
              <w:top w:val="nil"/>
              <w:left w:val="nil"/>
              <w:bottom w:val="single" w:sz="4" w:space="0" w:color="auto"/>
              <w:right w:val="single" w:sz="4" w:space="0" w:color="auto"/>
            </w:tcBorders>
            <w:shd w:val="clear" w:color="auto" w:fill="C6EFCE"/>
            <w:noWrap/>
          </w:tcPr>
          <w:p w14:paraId="0889502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„Uus küberjulgeoleku strateegia ja avaliku halduse poliitika“ lõpuleviimine, millega rakendatakse muudatused küberturvalisuse protsessides ja menetlustes ning luuakse ja võetakse kasutusele riikliku julgeolekuoperatsioonide keskus kooskõlas uue strateegiaga.</w:t>
            </w:r>
          </w:p>
        </w:tc>
      </w:tr>
      <w:tr w:rsidR="00AD3F7A" w:rsidRPr="003B132A" w14:paraId="2791E1E8"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5C53FB4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113</w:t>
            </w:r>
          </w:p>
        </w:tc>
        <w:tc>
          <w:tcPr>
            <w:tcW w:w="1873" w:type="dxa"/>
            <w:tcBorders>
              <w:top w:val="nil"/>
              <w:left w:val="nil"/>
              <w:bottom w:val="single" w:sz="4" w:space="0" w:color="auto"/>
              <w:right w:val="single" w:sz="4" w:space="0" w:color="auto"/>
            </w:tcBorders>
            <w:shd w:val="clear" w:color="auto" w:fill="C6EFCE"/>
            <w:noWrap/>
          </w:tcPr>
          <w:p w14:paraId="1CDB5678" w14:textId="4FD1E8BF" w:rsidR="00AD3F7A" w:rsidRPr="004744FD" w:rsidRDefault="00AD3F7A" w:rsidP="00D16F13">
            <w:pPr>
              <w:spacing w:after="0" w:line="240" w:lineRule="auto"/>
              <w:rPr>
                <w:rFonts w:eastAsia="Times New Roman" w:cs="Calibri"/>
                <w:noProof/>
                <w:color w:val="006100"/>
                <w:sz w:val="18"/>
                <w:szCs w:val="18"/>
              </w:rPr>
            </w:pPr>
            <w:r>
              <w:rPr>
                <w:noProof/>
                <w:color w:val="006100"/>
                <w:sz w:val="18"/>
              </w:rPr>
              <w:t>6-2.2. Moderniseerimine – 16738_Keskne dokumendihaldussüsteem</w:t>
            </w:r>
          </w:p>
        </w:tc>
        <w:tc>
          <w:tcPr>
            <w:tcW w:w="1127" w:type="dxa"/>
            <w:tcBorders>
              <w:top w:val="nil"/>
              <w:left w:val="nil"/>
              <w:bottom w:val="single" w:sz="4" w:space="0" w:color="auto"/>
              <w:right w:val="single" w:sz="4" w:space="0" w:color="auto"/>
            </w:tcBorders>
            <w:shd w:val="clear" w:color="auto" w:fill="C6EFCE"/>
            <w:noWrap/>
          </w:tcPr>
          <w:p w14:paraId="2590E94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435103C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Keskse dokumendihaldussüsteemi projekti lõpuleviimine </w:t>
            </w:r>
          </w:p>
        </w:tc>
        <w:tc>
          <w:tcPr>
            <w:tcW w:w="1529" w:type="dxa"/>
            <w:tcBorders>
              <w:top w:val="nil"/>
              <w:left w:val="nil"/>
              <w:bottom w:val="single" w:sz="4" w:space="0" w:color="auto"/>
              <w:right w:val="single" w:sz="4" w:space="0" w:color="auto"/>
            </w:tcBorders>
            <w:shd w:val="clear" w:color="auto" w:fill="C6EFCE"/>
            <w:noWrap/>
          </w:tcPr>
          <w:p w14:paraId="160BE19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halduse ministeeriumi lõpparuanne, milles dokumenteeritakse dokumendihalduse kesksüsteemi valmimine</w:t>
            </w:r>
          </w:p>
        </w:tc>
        <w:tc>
          <w:tcPr>
            <w:tcW w:w="945" w:type="dxa"/>
            <w:tcBorders>
              <w:top w:val="nil"/>
              <w:left w:val="nil"/>
              <w:bottom w:val="single" w:sz="4" w:space="0" w:color="auto"/>
              <w:right w:val="single" w:sz="4" w:space="0" w:color="auto"/>
            </w:tcBorders>
            <w:shd w:val="clear" w:color="auto" w:fill="C6EFCE"/>
            <w:noWrap/>
          </w:tcPr>
          <w:p w14:paraId="60D9F29C"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14:paraId="243D3094"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14:paraId="5A7D5270"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14:paraId="14D0872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kv</w:t>
            </w:r>
          </w:p>
        </w:tc>
        <w:tc>
          <w:tcPr>
            <w:tcW w:w="694" w:type="dxa"/>
            <w:tcBorders>
              <w:top w:val="nil"/>
              <w:left w:val="nil"/>
              <w:bottom w:val="single" w:sz="4" w:space="0" w:color="auto"/>
              <w:right w:val="single" w:sz="4" w:space="0" w:color="auto"/>
            </w:tcBorders>
            <w:shd w:val="clear" w:color="auto" w:fill="C6EFCE"/>
            <w:noWrap/>
          </w:tcPr>
          <w:p w14:paraId="1EDCBAC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204" w:type="dxa"/>
            <w:tcBorders>
              <w:top w:val="nil"/>
              <w:left w:val="nil"/>
              <w:bottom w:val="single" w:sz="4" w:space="0" w:color="auto"/>
              <w:right w:val="single" w:sz="4" w:space="0" w:color="auto"/>
            </w:tcBorders>
            <w:shd w:val="clear" w:color="auto" w:fill="C6EFCE"/>
            <w:noWrap/>
          </w:tcPr>
          <w:p w14:paraId="14F7450F" w14:textId="77777777" w:rsidR="00AD3F7A" w:rsidRPr="006E7510" w:rsidRDefault="00AD3F7A" w:rsidP="00D16F13">
            <w:pPr>
              <w:spacing w:after="0" w:line="240" w:lineRule="auto"/>
              <w:rPr>
                <w:noProof/>
                <w:color w:val="006100"/>
                <w:sz w:val="18"/>
              </w:rPr>
            </w:pPr>
            <w:r>
              <w:rPr>
                <w:noProof/>
                <w:color w:val="006100"/>
                <w:sz w:val="18"/>
              </w:rPr>
              <w:t xml:space="preserve">Dokumentide haldamise kesksüsteemi lõpuleviimine, sealhulgas 130 000 digiallkirja kasutuselevõtt ja täiendavate dokumentide väljaandmine </w:t>
            </w:r>
          </w:p>
          <w:p w14:paraId="6D210A37" w14:textId="69327FF1"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20 000 heakskiidetud digiallkirja, mida toetavad rakendused ja kasutajatugi.</w:t>
            </w:r>
          </w:p>
        </w:tc>
      </w:tr>
      <w:tr w:rsidR="00AD3F7A" w:rsidRPr="003B132A" w14:paraId="3B176CF9"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229459E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114</w:t>
            </w:r>
          </w:p>
        </w:tc>
        <w:tc>
          <w:tcPr>
            <w:tcW w:w="1873" w:type="dxa"/>
            <w:tcBorders>
              <w:top w:val="nil"/>
              <w:left w:val="nil"/>
              <w:bottom w:val="single" w:sz="4" w:space="0" w:color="auto"/>
              <w:right w:val="single" w:sz="4" w:space="0" w:color="auto"/>
            </w:tcBorders>
            <w:shd w:val="clear" w:color="auto" w:fill="C6EFCE"/>
            <w:noWrap/>
          </w:tcPr>
          <w:p w14:paraId="304A8801" w14:textId="5B53955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16742_</w:t>
            </w:r>
            <w:r w:rsidR="00AE6F03">
              <w:rPr>
                <w:noProof/>
                <w:color w:val="006100"/>
                <w:sz w:val="18"/>
              </w:rPr>
              <w:t>V</w:t>
            </w:r>
            <w:r>
              <w:rPr>
                <w:noProof/>
                <w:color w:val="006100"/>
                <w:sz w:val="18"/>
              </w:rPr>
              <w:t>älisministeeriumi digitaalne ümberkujundamine</w:t>
            </w:r>
          </w:p>
        </w:tc>
        <w:tc>
          <w:tcPr>
            <w:tcW w:w="1127" w:type="dxa"/>
            <w:tcBorders>
              <w:top w:val="nil"/>
              <w:left w:val="nil"/>
              <w:bottom w:val="single" w:sz="4" w:space="0" w:color="auto"/>
              <w:right w:val="single" w:sz="4" w:space="0" w:color="auto"/>
            </w:tcBorders>
            <w:shd w:val="clear" w:color="auto" w:fill="C6EFCE"/>
            <w:noWrap/>
          </w:tcPr>
          <w:p w14:paraId="36505CF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440B37F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Välisministeeriumi digiülemineku lõpuleviimine</w:t>
            </w:r>
          </w:p>
        </w:tc>
        <w:tc>
          <w:tcPr>
            <w:tcW w:w="1529" w:type="dxa"/>
            <w:tcBorders>
              <w:top w:val="nil"/>
              <w:left w:val="nil"/>
              <w:bottom w:val="single" w:sz="4" w:space="0" w:color="auto"/>
              <w:right w:val="single" w:sz="4" w:space="0" w:color="auto"/>
            </w:tcBorders>
            <w:shd w:val="clear" w:color="auto" w:fill="C6EFCE"/>
            <w:noWrap/>
          </w:tcPr>
          <w:p w14:paraId="7D6EB61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Välisministeeriumi aruanne, milles dokumenteeritakse välisministeeriumi digitaalseks muutmise projekti kõigi allprojektide lõpuleviimine</w:t>
            </w:r>
          </w:p>
        </w:tc>
        <w:tc>
          <w:tcPr>
            <w:tcW w:w="945" w:type="dxa"/>
            <w:tcBorders>
              <w:top w:val="nil"/>
              <w:left w:val="nil"/>
              <w:bottom w:val="single" w:sz="4" w:space="0" w:color="auto"/>
              <w:right w:val="single" w:sz="4" w:space="0" w:color="auto"/>
            </w:tcBorders>
            <w:shd w:val="clear" w:color="auto" w:fill="C6EFCE"/>
            <w:noWrap/>
          </w:tcPr>
          <w:p w14:paraId="1B4CE634"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14:paraId="70281BF3"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14:paraId="4DC528EC"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14:paraId="1FBFB21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kv</w:t>
            </w:r>
          </w:p>
        </w:tc>
        <w:tc>
          <w:tcPr>
            <w:tcW w:w="694" w:type="dxa"/>
            <w:tcBorders>
              <w:top w:val="nil"/>
              <w:left w:val="nil"/>
              <w:bottom w:val="single" w:sz="4" w:space="0" w:color="auto"/>
              <w:right w:val="single" w:sz="4" w:space="0" w:color="auto"/>
            </w:tcBorders>
            <w:shd w:val="clear" w:color="auto" w:fill="C6EFCE"/>
            <w:noWrap/>
          </w:tcPr>
          <w:p w14:paraId="181FD35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204" w:type="dxa"/>
            <w:tcBorders>
              <w:top w:val="nil"/>
              <w:left w:val="nil"/>
              <w:bottom w:val="single" w:sz="4" w:space="0" w:color="auto"/>
              <w:right w:val="single" w:sz="4" w:space="0" w:color="auto"/>
            </w:tcBorders>
            <w:shd w:val="clear" w:color="auto" w:fill="C6EFCE"/>
            <w:noWrap/>
          </w:tcPr>
          <w:p w14:paraId="17FC09F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Välisministeeriumi digiülemineku lõpuleviimine, sealhulgas 1) strateegilise ja operatiivplaneerimise tugisüsteem, 2) diplomaatiliste ja ajalooarhiivide digiteerimine, 3) Global Digital Information Centre Platform ning 4) krüpto-, IT- ja telekommunikatsiooni turvalisuse infrastruktuuri ajakohastamine.</w:t>
            </w:r>
          </w:p>
        </w:tc>
      </w:tr>
      <w:tr w:rsidR="00AD3F7A" w:rsidRPr="003B132A" w14:paraId="116B46E7"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0CBC6C4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115</w:t>
            </w:r>
          </w:p>
        </w:tc>
        <w:tc>
          <w:tcPr>
            <w:tcW w:w="1873" w:type="dxa"/>
            <w:tcBorders>
              <w:top w:val="nil"/>
              <w:left w:val="nil"/>
              <w:bottom w:val="single" w:sz="4" w:space="0" w:color="auto"/>
              <w:right w:val="single" w:sz="4" w:space="0" w:color="auto"/>
            </w:tcBorders>
            <w:shd w:val="clear" w:color="auto" w:fill="C6EFCE"/>
            <w:noWrap/>
          </w:tcPr>
          <w:p w14:paraId="339338F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16791_Kreeka riikliku turismiorganisatsiooni digiüleminek</w:t>
            </w:r>
          </w:p>
        </w:tc>
        <w:tc>
          <w:tcPr>
            <w:tcW w:w="1127" w:type="dxa"/>
            <w:tcBorders>
              <w:top w:val="nil"/>
              <w:left w:val="nil"/>
              <w:bottom w:val="single" w:sz="4" w:space="0" w:color="auto"/>
              <w:right w:val="single" w:sz="4" w:space="0" w:color="auto"/>
            </w:tcBorders>
            <w:shd w:val="clear" w:color="auto" w:fill="C6EFCE"/>
            <w:noWrap/>
          </w:tcPr>
          <w:p w14:paraId="31FC11C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2E43AB4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Kreeka riikliku turismiorganisatsiooni digiülemineku lõpuleviimine </w:t>
            </w:r>
          </w:p>
        </w:tc>
        <w:tc>
          <w:tcPr>
            <w:tcW w:w="1529" w:type="dxa"/>
            <w:tcBorders>
              <w:top w:val="nil"/>
              <w:left w:val="nil"/>
              <w:bottom w:val="single" w:sz="4" w:space="0" w:color="auto"/>
              <w:right w:val="single" w:sz="4" w:space="0" w:color="auto"/>
            </w:tcBorders>
            <w:shd w:val="clear" w:color="auto" w:fill="C6EFCE"/>
            <w:noWrap/>
          </w:tcPr>
          <w:p w14:paraId="750FB44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Kreeka riikliku turismiorganisatsiooni aruanne, milles dokumenteeritakse projekti „Kreeka riikliku turismiorganisatsiooni digitaalne ümberkujundamine“ lõpuleviimine</w:t>
            </w:r>
          </w:p>
        </w:tc>
        <w:tc>
          <w:tcPr>
            <w:tcW w:w="945" w:type="dxa"/>
            <w:tcBorders>
              <w:top w:val="nil"/>
              <w:left w:val="nil"/>
              <w:bottom w:val="single" w:sz="4" w:space="0" w:color="auto"/>
              <w:right w:val="single" w:sz="4" w:space="0" w:color="auto"/>
            </w:tcBorders>
            <w:shd w:val="clear" w:color="auto" w:fill="C6EFCE"/>
            <w:noWrap/>
          </w:tcPr>
          <w:p w14:paraId="768361E0"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14:paraId="294ED22D"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14:paraId="4FE1CF4E"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14:paraId="24DABDB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kv</w:t>
            </w:r>
          </w:p>
        </w:tc>
        <w:tc>
          <w:tcPr>
            <w:tcW w:w="694" w:type="dxa"/>
            <w:tcBorders>
              <w:top w:val="nil"/>
              <w:left w:val="nil"/>
              <w:bottom w:val="single" w:sz="4" w:space="0" w:color="auto"/>
              <w:right w:val="single" w:sz="4" w:space="0" w:color="auto"/>
            </w:tcBorders>
            <w:shd w:val="clear" w:color="auto" w:fill="C6EFCE"/>
            <w:noWrap/>
          </w:tcPr>
          <w:p w14:paraId="76AC581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204" w:type="dxa"/>
            <w:tcBorders>
              <w:top w:val="nil"/>
              <w:left w:val="nil"/>
              <w:bottom w:val="single" w:sz="4" w:space="0" w:color="auto"/>
              <w:right w:val="single" w:sz="4" w:space="0" w:color="auto"/>
            </w:tcBorders>
            <w:shd w:val="clear" w:color="auto" w:fill="C6EFCE"/>
            <w:noWrap/>
          </w:tcPr>
          <w:p w14:paraId="4CBD337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Kreeka riikliku turismiorganisatsiooni digitaalse ümberkujundamise lõpuleviimine, sealhulgas 1) digitaalse turistikaardi loomine, 2) Kreeka kultuuriväärtuste digitaalne hoidla ja 3) turismiteabe uus süsteem.</w:t>
            </w:r>
          </w:p>
        </w:tc>
      </w:tr>
      <w:tr w:rsidR="00AD3F7A" w:rsidRPr="003B132A" w14:paraId="6F38ACFE"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5B8BBF0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116</w:t>
            </w:r>
          </w:p>
        </w:tc>
        <w:tc>
          <w:tcPr>
            <w:tcW w:w="1873" w:type="dxa"/>
            <w:tcBorders>
              <w:top w:val="nil"/>
              <w:left w:val="nil"/>
              <w:bottom w:val="single" w:sz="4" w:space="0" w:color="auto"/>
              <w:right w:val="single" w:sz="4" w:space="0" w:color="auto"/>
            </w:tcBorders>
            <w:shd w:val="clear" w:color="auto" w:fill="C6EFCE"/>
            <w:noWrap/>
          </w:tcPr>
          <w:p w14:paraId="1B2BF80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16964_järgmise põlvkonna koostalitlusvõime keskus (KED)</w:t>
            </w:r>
          </w:p>
        </w:tc>
        <w:tc>
          <w:tcPr>
            <w:tcW w:w="1127" w:type="dxa"/>
            <w:tcBorders>
              <w:top w:val="nil"/>
              <w:left w:val="nil"/>
              <w:bottom w:val="single" w:sz="4" w:space="0" w:color="auto"/>
              <w:right w:val="single" w:sz="4" w:space="0" w:color="auto"/>
            </w:tcBorders>
            <w:shd w:val="clear" w:color="auto" w:fill="C6EFCE"/>
            <w:noWrap/>
          </w:tcPr>
          <w:p w14:paraId="00D652B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39304F8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Järgmise põlvkonna koostalitlusvõime keskuse tegevuse lõpuleviimine</w:t>
            </w:r>
          </w:p>
        </w:tc>
        <w:tc>
          <w:tcPr>
            <w:tcW w:w="1529" w:type="dxa"/>
            <w:tcBorders>
              <w:top w:val="nil"/>
              <w:left w:val="nil"/>
              <w:bottom w:val="single" w:sz="4" w:space="0" w:color="auto"/>
              <w:right w:val="single" w:sz="4" w:space="0" w:color="auto"/>
            </w:tcBorders>
            <w:shd w:val="clear" w:color="auto" w:fill="C6EFCE"/>
            <w:noWrap/>
          </w:tcPr>
          <w:p w14:paraId="0D68FE5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juhtimise ministeeriumi aruanne, milles dokumenteeritakse järgmise põlvkonna koostalitlusvõime keskuse projekti lõpuleviimine.</w:t>
            </w:r>
          </w:p>
        </w:tc>
        <w:tc>
          <w:tcPr>
            <w:tcW w:w="945" w:type="dxa"/>
            <w:tcBorders>
              <w:top w:val="nil"/>
              <w:left w:val="nil"/>
              <w:bottom w:val="single" w:sz="4" w:space="0" w:color="auto"/>
              <w:right w:val="single" w:sz="4" w:space="0" w:color="auto"/>
            </w:tcBorders>
            <w:shd w:val="clear" w:color="auto" w:fill="C6EFCE"/>
            <w:noWrap/>
          </w:tcPr>
          <w:p w14:paraId="0FF10E72"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14:paraId="2DC3D48D"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14:paraId="4CBDF459"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14:paraId="2E53CCF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kv</w:t>
            </w:r>
          </w:p>
        </w:tc>
        <w:tc>
          <w:tcPr>
            <w:tcW w:w="694" w:type="dxa"/>
            <w:tcBorders>
              <w:top w:val="nil"/>
              <w:left w:val="nil"/>
              <w:bottom w:val="single" w:sz="4" w:space="0" w:color="auto"/>
              <w:right w:val="single" w:sz="4" w:space="0" w:color="auto"/>
            </w:tcBorders>
            <w:shd w:val="clear" w:color="auto" w:fill="C6EFCE"/>
            <w:noWrap/>
          </w:tcPr>
          <w:p w14:paraId="5FEB7A1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204" w:type="dxa"/>
            <w:tcBorders>
              <w:top w:val="nil"/>
              <w:left w:val="nil"/>
              <w:bottom w:val="single" w:sz="4" w:space="0" w:color="auto"/>
              <w:right w:val="single" w:sz="4" w:space="0" w:color="auto"/>
            </w:tcBorders>
            <w:shd w:val="clear" w:color="auto" w:fill="C6EFCE"/>
            <w:noWrap/>
          </w:tcPr>
          <w:p w14:paraId="67B6E9E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Järgmise põlvkonna koostalitlusvõime keskuse (KED) lõpuleviimine, sealhulgas teostatavus- ja turvauuringu lõpuleviimine, andmebaaside ja hübriidpilvandmetöötluse rakendusplatvormi jaoks nõutavate litsentside tarnimine ja paigaldamine ning keskuse loomine ja asjakohaste veebiteenuste rakendamine.</w:t>
            </w:r>
          </w:p>
        </w:tc>
      </w:tr>
      <w:tr w:rsidR="00AD3F7A" w:rsidRPr="003B132A" w14:paraId="3B33985D"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6C51773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117</w:t>
            </w:r>
          </w:p>
        </w:tc>
        <w:tc>
          <w:tcPr>
            <w:tcW w:w="1873" w:type="dxa"/>
            <w:tcBorders>
              <w:top w:val="nil"/>
              <w:left w:val="nil"/>
              <w:bottom w:val="single" w:sz="4" w:space="0" w:color="auto"/>
              <w:right w:val="single" w:sz="4" w:space="0" w:color="auto"/>
            </w:tcBorders>
            <w:shd w:val="clear" w:color="auto" w:fill="C6EFCE"/>
            <w:noWrap/>
          </w:tcPr>
          <w:p w14:paraId="0C569AC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16785_Turismiregister e-MHTE</w:t>
            </w:r>
          </w:p>
        </w:tc>
        <w:tc>
          <w:tcPr>
            <w:tcW w:w="1127" w:type="dxa"/>
            <w:tcBorders>
              <w:top w:val="nil"/>
              <w:left w:val="nil"/>
              <w:bottom w:val="single" w:sz="4" w:space="0" w:color="auto"/>
              <w:right w:val="single" w:sz="4" w:space="0" w:color="auto"/>
            </w:tcBorders>
            <w:shd w:val="clear" w:color="auto" w:fill="C6EFCE"/>
            <w:noWrap/>
          </w:tcPr>
          <w:p w14:paraId="717D51A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nil"/>
              <w:left w:val="nil"/>
              <w:bottom w:val="single" w:sz="4" w:space="0" w:color="auto"/>
              <w:right w:val="single" w:sz="4" w:space="0" w:color="auto"/>
            </w:tcBorders>
            <w:shd w:val="clear" w:color="auto" w:fill="C6EFCE"/>
            <w:noWrap/>
          </w:tcPr>
          <w:p w14:paraId="6FB29A2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Digitaalse turismi registri lõpuleviimine </w:t>
            </w:r>
          </w:p>
        </w:tc>
        <w:tc>
          <w:tcPr>
            <w:tcW w:w="1529" w:type="dxa"/>
            <w:tcBorders>
              <w:top w:val="nil"/>
              <w:left w:val="nil"/>
              <w:bottom w:val="single" w:sz="4" w:space="0" w:color="auto"/>
              <w:right w:val="single" w:sz="4" w:space="0" w:color="auto"/>
            </w:tcBorders>
            <w:shd w:val="clear" w:color="auto" w:fill="C6EFCE"/>
            <w:noWrap/>
          </w:tcPr>
          <w:p w14:paraId="31D0E1C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Turismiministeeriumi lõpparuanne, milles dokumenteeritakse platvormi „New e-MHTE“ käivitamine</w:t>
            </w:r>
          </w:p>
        </w:tc>
        <w:tc>
          <w:tcPr>
            <w:tcW w:w="945" w:type="dxa"/>
            <w:tcBorders>
              <w:top w:val="nil"/>
              <w:left w:val="nil"/>
              <w:bottom w:val="single" w:sz="4" w:space="0" w:color="auto"/>
              <w:right w:val="single" w:sz="4" w:space="0" w:color="auto"/>
            </w:tcBorders>
            <w:shd w:val="clear" w:color="auto" w:fill="C6EFCE"/>
            <w:noWrap/>
          </w:tcPr>
          <w:p w14:paraId="357147E9"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33" w:type="dxa"/>
            <w:tcBorders>
              <w:top w:val="nil"/>
              <w:left w:val="nil"/>
              <w:bottom w:val="single" w:sz="4" w:space="0" w:color="auto"/>
              <w:right w:val="single" w:sz="4" w:space="0" w:color="auto"/>
            </w:tcBorders>
            <w:shd w:val="clear" w:color="auto" w:fill="C6EFCE"/>
            <w:noWrap/>
          </w:tcPr>
          <w:p w14:paraId="55E08238"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95" w:type="dxa"/>
            <w:tcBorders>
              <w:top w:val="nil"/>
              <w:left w:val="nil"/>
              <w:bottom w:val="single" w:sz="4" w:space="0" w:color="auto"/>
              <w:right w:val="single" w:sz="4" w:space="0" w:color="auto"/>
            </w:tcBorders>
            <w:shd w:val="clear" w:color="auto" w:fill="C6EFCE"/>
            <w:noWrap/>
          </w:tcPr>
          <w:p w14:paraId="20F0909D"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69" w:type="dxa"/>
            <w:tcBorders>
              <w:top w:val="nil"/>
              <w:left w:val="nil"/>
              <w:bottom w:val="single" w:sz="4" w:space="0" w:color="auto"/>
              <w:right w:val="single" w:sz="4" w:space="0" w:color="auto"/>
            </w:tcBorders>
            <w:shd w:val="clear" w:color="auto" w:fill="C6EFCE"/>
            <w:noWrap/>
          </w:tcPr>
          <w:p w14:paraId="47E88A9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kv</w:t>
            </w:r>
          </w:p>
        </w:tc>
        <w:tc>
          <w:tcPr>
            <w:tcW w:w="694" w:type="dxa"/>
            <w:tcBorders>
              <w:top w:val="nil"/>
              <w:left w:val="nil"/>
              <w:bottom w:val="single" w:sz="4" w:space="0" w:color="auto"/>
              <w:right w:val="single" w:sz="4" w:space="0" w:color="auto"/>
            </w:tcBorders>
            <w:shd w:val="clear" w:color="auto" w:fill="C6EFCE"/>
            <w:noWrap/>
          </w:tcPr>
          <w:p w14:paraId="3F19752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204" w:type="dxa"/>
            <w:tcBorders>
              <w:top w:val="nil"/>
              <w:left w:val="nil"/>
              <w:bottom w:val="single" w:sz="4" w:space="0" w:color="auto"/>
              <w:right w:val="single" w:sz="4" w:space="0" w:color="auto"/>
            </w:tcBorders>
            <w:shd w:val="clear" w:color="auto" w:fill="C6EFCE"/>
            <w:noWrap/>
          </w:tcPr>
          <w:p w14:paraId="4EAF6E9F" w14:textId="77FCD110" w:rsidR="00AD3F7A" w:rsidRPr="00E02B5D" w:rsidRDefault="00AD3F7A" w:rsidP="00D163C5">
            <w:pPr>
              <w:spacing w:after="0" w:line="240" w:lineRule="auto"/>
              <w:rPr>
                <w:rFonts w:eastAsia="Times New Roman" w:cs="Calibri"/>
                <w:noProof/>
                <w:color w:val="006100"/>
                <w:sz w:val="18"/>
                <w:szCs w:val="18"/>
              </w:rPr>
            </w:pPr>
            <w:r>
              <w:rPr>
                <w:noProof/>
                <w:color w:val="006100"/>
                <w:sz w:val="18"/>
              </w:rPr>
              <w:t>Turismiregistri e-MHTE platvormi lõpuleviimine, sealhulgas arhiivi digiteerimise lõpuleviimine (1 875 000 ruumiplaneerimise ja infrastruktuuri osakonna toimikut), sealhulgas metamärgistamine ja säilitamine.</w:t>
            </w:r>
          </w:p>
        </w:tc>
      </w:tr>
      <w:tr w:rsidR="00AD3F7A" w:rsidRPr="003B132A" w14:paraId="0F43ECCE" w14:textId="77777777" w:rsidTr="0077132C">
        <w:trPr>
          <w:trHeight w:val="313"/>
          <w:jc w:val="center"/>
        </w:trPr>
        <w:tc>
          <w:tcPr>
            <w:tcW w:w="1106" w:type="dxa"/>
            <w:tcBorders>
              <w:top w:val="nil"/>
              <w:left w:val="single" w:sz="4" w:space="0" w:color="auto"/>
              <w:bottom w:val="single" w:sz="4" w:space="0" w:color="auto"/>
              <w:right w:val="single" w:sz="4" w:space="0" w:color="auto"/>
            </w:tcBorders>
            <w:shd w:val="clear" w:color="auto" w:fill="C6EFCE"/>
            <w:noWrap/>
          </w:tcPr>
          <w:p w14:paraId="4568F00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118</w:t>
            </w:r>
          </w:p>
        </w:tc>
        <w:tc>
          <w:tcPr>
            <w:tcW w:w="1873" w:type="dxa"/>
            <w:tcBorders>
              <w:top w:val="nil"/>
              <w:left w:val="nil"/>
              <w:bottom w:val="single" w:sz="4" w:space="0" w:color="auto"/>
              <w:right w:val="single" w:sz="4" w:space="0" w:color="auto"/>
            </w:tcBorders>
            <w:shd w:val="clear" w:color="auto" w:fill="C6EFCE"/>
            <w:noWrap/>
          </w:tcPr>
          <w:p w14:paraId="65CCA73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16826_Digioskuste täiendamise programmid ajateenijatele</w:t>
            </w:r>
          </w:p>
        </w:tc>
        <w:tc>
          <w:tcPr>
            <w:tcW w:w="1127" w:type="dxa"/>
            <w:tcBorders>
              <w:top w:val="nil"/>
              <w:left w:val="nil"/>
              <w:bottom w:val="single" w:sz="4" w:space="0" w:color="auto"/>
              <w:right w:val="single" w:sz="4" w:space="0" w:color="auto"/>
            </w:tcBorders>
            <w:shd w:val="clear" w:color="auto" w:fill="C6EFCE"/>
            <w:noWrap/>
          </w:tcPr>
          <w:p w14:paraId="7736BF3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Siht</w:t>
            </w:r>
          </w:p>
        </w:tc>
        <w:tc>
          <w:tcPr>
            <w:tcW w:w="1227" w:type="dxa"/>
            <w:tcBorders>
              <w:top w:val="nil"/>
              <w:left w:val="nil"/>
              <w:bottom w:val="single" w:sz="4" w:space="0" w:color="auto"/>
              <w:right w:val="single" w:sz="4" w:space="0" w:color="auto"/>
            </w:tcBorders>
            <w:shd w:val="clear" w:color="auto" w:fill="C6EFCE"/>
            <w:noWrap/>
          </w:tcPr>
          <w:p w14:paraId="0A51A414"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529" w:type="dxa"/>
            <w:tcBorders>
              <w:top w:val="nil"/>
              <w:left w:val="nil"/>
              <w:bottom w:val="single" w:sz="4" w:space="0" w:color="auto"/>
              <w:right w:val="single" w:sz="4" w:space="0" w:color="auto"/>
            </w:tcBorders>
            <w:shd w:val="clear" w:color="auto" w:fill="C6EFCE"/>
            <w:noWrap/>
          </w:tcPr>
          <w:p w14:paraId="79104EAE"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45" w:type="dxa"/>
            <w:tcBorders>
              <w:top w:val="nil"/>
              <w:left w:val="nil"/>
              <w:bottom w:val="single" w:sz="4" w:space="0" w:color="auto"/>
              <w:right w:val="single" w:sz="4" w:space="0" w:color="auto"/>
            </w:tcBorders>
            <w:shd w:val="clear" w:color="auto" w:fill="C6EFCE"/>
            <w:noWrap/>
          </w:tcPr>
          <w:p w14:paraId="01A76AF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Koolitatud ajateenijate arv</w:t>
            </w:r>
          </w:p>
        </w:tc>
        <w:tc>
          <w:tcPr>
            <w:tcW w:w="1033" w:type="dxa"/>
            <w:tcBorders>
              <w:top w:val="nil"/>
              <w:left w:val="nil"/>
              <w:bottom w:val="single" w:sz="4" w:space="0" w:color="auto"/>
              <w:right w:val="single" w:sz="4" w:space="0" w:color="auto"/>
            </w:tcBorders>
            <w:shd w:val="clear" w:color="auto" w:fill="C6EFCE"/>
            <w:noWrap/>
          </w:tcPr>
          <w:p w14:paraId="0EC0367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0</w:t>
            </w:r>
          </w:p>
        </w:tc>
        <w:tc>
          <w:tcPr>
            <w:tcW w:w="795" w:type="dxa"/>
            <w:tcBorders>
              <w:top w:val="nil"/>
              <w:left w:val="nil"/>
              <w:bottom w:val="single" w:sz="4" w:space="0" w:color="auto"/>
              <w:right w:val="single" w:sz="4" w:space="0" w:color="auto"/>
            </w:tcBorders>
            <w:shd w:val="clear" w:color="auto" w:fill="C6EFCE"/>
            <w:noWrap/>
          </w:tcPr>
          <w:p w14:paraId="7EF642C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150 000</w:t>
            </w:r>
          </w:p>
        </w:tc>
        <w:tc>
          <w:tcPr>
            <w:tcW w:w="969" w:type="dxa"/>
            <w:tcBorders>
              <w:top w:val="nil"/>
              <w:left w:val="nil"/>
              <w:bottom w:val="single" w:sz="4" w:space="0" w:color="auto"/>
              <w:right w:val="single" w:sz="4" w:space="0" w:color="auto"/>
            </w:tcBorders>
            <w:shd w:val="clear" w:color="auto" w:fill="C6EFCE"/>
            <w:noWrap/>
          </w:tcPr>
          <w:p w14:paraId="486DBA6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kv</w:t>
            </w:r>
          </w:p>
        </w:tc>
        <w:tc>
          <w:tcPr>
            <w:tcW w:w="694" w:type="dxa"/>
            <w:tcBorders>
              <w:top w:val="nil"/>
              <w:left w:val="nil"/>
              <w:bottom w:val="single" w:sz="4" w:space="0" w:color="auto"/>
              <w:right w:val="single" w:sz="4" w:space="0" w:color="auto"/>
            </w:tcBorders>
            <w:shd w:val="clear" w:color="auto" w:fill="C6EFCE"/>
            <w:noWrap/>
          </w:tcPr>
          <w:p w14:paraId="3495EB3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204" w:type="dxa"/>
            <w:tcBorders>
              <w:top w:val="nil"/>
              <w:left w:val="nil"/>
              <w:bottom w:val="single" w:sz="4" w:space="0" w:color="auto"/>
              <w:right w:val="single" w:sz="4" w:space="0" w:color="auto"/>
            </w:tcBorders>
            <w:shd w:val="clear" w:color="auto" w:fill="C6EFCE"/>
            <w:noWrap/>
          </w:tcPr>
          <w:p w14:paraId="766EAF3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Ajateenijate digioskuste täiendamise programmi ajakohastamine, koolitades 150 000 ajateenijat. </w:t>
            </w:r>
          </w:p>
        </w:tc>
      </w:tr>
      <w:tr w:rsidR="00AD3F7A" w:rsidRPr="003B132A" w14:paraId="2D3DF8C5" w14:textId="77777777" w:rsidTr="0077132C">
        <w:trPr>
          <w:trHeight w:val="313"/>
          <w:jc w:val="center"/>
        </w:trPr>
        <w:tc>
          <w:tcPr>
            <w:tcW w:w="1106" w:type="dxa"/>
            <w:tcBorders>
              <w:top w:val="single" w:sz="4" w:space="0" w:color="auto"/>
              <w:left w:val="single" w:sz="4" w:space="0" w:color="auto"/>
              <w:bottom w:val="single" w:sz="4" w:space="0" w:color="auto"/>
              <w:right w:val="single" w:sz="4" w:space="0" w:color="auto"/>
            </w:tcBorders>
            <w:shd w:val="clear" w:color="auto" w:fill="C6EFCE"/>
            <w:noWrap/>
          </w:tcPr>
          <w:p w14:paraId="3BE0540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119</w:t>
            </w:r>
          </w:p>
        </w:tc>
        <w:tc>
          <w:tcPr>
            <w:tcW w:w="1873" w:type="dxa"/>
            <w:tcBorders>
              <w:top w:val="single" w:sz="4" w:space="0" w:color="auto"/>
              <w:left w:val="nil"/>
              <w:bottom w:val="single" w:sz="4" w:space="0" w:color="auto"/>
              <w:right w:val="single" w:sz="4" w:space="0" w:color="auto"/>
            </w:tcBorders>
            <w:shd w:val="clear" w:color="auto" w:fill="C6EFCE"/>
            <w:noWrap/>
          </w:tcPr>
          <w:p w14:paraId="28039AE8" w14:textId="309501AC"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16736_Uus riigihangete süsteem</w:t>
            </w:r>
          </w:p>
        </w:tc>
        <w:tc>
          <w:tcPr>
            <w:tcW w:w="1127" w:type="dxa"/>
            <w:tcBorders>
              <w:top w:val="single" w:sz="4" w:space="0" w:color="auto"/>
              <w:left w:val="nil"/>
              <w:bottom w:val="single" w:sz="4" w:space="0" w:color="auto"/>
              <w:right w:val="single" w:sz="4" w:space="0" w:color="auto"/>
            </w:tcBorders>
            <w:shd w:val="clear" w:color="auto" w:fill="C6EFCE"/>
            <w:noWrap/>
          </w:tcPr>
          <w:p w14:paraId="2D5A896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single" w:sz="4" w:space="0" w:color="auto"/>
              <w:left w:val="nil"/>
              <w:bottom w:val="single" w:sz="4" w:space="0" w:color="auto"/>
              <w:right w:val="single" w:sz="4" w:space="0" w:color="auto"/>
            </w:tcBorders>
            <w:shd w:val="clear" w:color="auto" w:fill="C6EFCE"/>
            <w:noWrap/>
          </w:tcPr>
          <w:p w14:paraId="0555129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Uue riigihangete süsteemi lõpuleviimine </w:t>
            </w:r>
          </w:p>
        </w:tc>
        <w:tc>
          <w:tcPr>
            <w:tcW w:w="1529" w:type="dxa"/>
            <w:tcBorders>
              <w:top w:val="single" w:sz="4" w:space="0" w:color="auto"/>
              <w:left w:val="nil"/>
              <w:bottom w:val="single" w:sz="4" w:space="0" w:color="auto"/>
              <w:right w:val="single" w:sz="4" w:space="0" w:color="auto"/>
            </w:tcBorders>
            <w:shd w:val="clear" w:color="auto" w:fill="C6EFCE"/>
            <w:noWrap/>
          </w:tcPr>
          <w:p w14:paraId="2BB65E0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halduse ministeeriumi aruanne projekti „Uus riigihangete süsteem“ rakendamise dokumenteerimise kohta</w:t>
            </w:r>
          </w:p>
        </w:tc>
        <w:tc>
          <w:tcPr>
            <w:tcW w:w="945" w:type="dxa"/>
            <w:tcBorders>
              <w:top w:val="single" w:sz="4" w:space="0" w:color="auto"/>
              <w:left w:val="nil"/>
              <w:bottom w:val="single" w:sz="4" w:space="0" w:color="auto"/>
              <w:right w:val="single" w:sz="4" w:space="0" w:color="auto"/>
            </w:tcBorders>
            <w:shd w:val="clear" w:color="auto" w:fill="C6EFCE"/>
            <w:noWrap/>
          </w:tcPr>
          <w:p w14:paraId="0E4311F6"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1033" w:type="dxa"/>
            <w:tcBorders>
              <w:top w:val="single" w:sz="4" w:space="0" w:color="auto"/>
              <w:left w:val="nil"/>
              <w:bottom w:val="single" w:sz="4" w:space="0" w:color="auto"/>
              <w:right w:val="single" w:sz="4" w:space="0" w:color="auto"/>
            </w:tcBorders>
            <w:shd w:val="clear" w:color="auto" w:fill="C6EFCE"/>
            <w:noWrap/>
          </w:tcPr>
          <w:p w14:paraId="3E14B9CC"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95" w:type="dxa"/>
            <w:tcBorders>
              <w:top w:val="single" w:sz="4" w:space="0" w:color="auto"/>
              <w:left w:val="nil"/>
              <w:bottom w:val="single" w:sz="4" w:space="0" w:color="auto"/>
              <w:right w:val="single" w:sz="4" w:space="0" w:color="auto"/>
            </w:tcBorders>
            <w:shd w:val="clear" w:color="auto" w:fill="C6EFCE"/>
            <w:noWrap/>
          </w:tcPr>
          <w:p w14:paraId="3C28A020"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9" w:type="dxa"/>
            <w:tcBorders>
              <w:top w:val="single" w:sz="4" w:space="0" w:color="auto"/>
              <w:left w:val="nil"/>
              <w:bottom w:val="single" w:sz="4" w:space="0" w:color="auto"/>
              <w:right w:val="single" w:sz="4" w:space="0" w:color="auto"/>
            </w:tcBorders>
            <w:shd w:val="clear" w:color="auto" w:fill="C6EFCE"/>
            <w:noWrap/>
          </w:tcPr>
          <w:p w14:paraId="7D93BD5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single" w:sz="4" w:space="0" w:color="auto"/>
              <w:left w:val="nil"/>
              <w:bottom w:val="single" w:sz="4" w:space="0" w:color="auto"/>
              <w:right w:val="single" w:sz="4" w:space="0" w:color="auto"/>
            </w:tcBorders>
            <w:shd w:val="clear" w:color="auto" w:fill="C6EFCE"/>
            <w:noWrap/>
          </w:tcPr>
          <w:p w14:paraId="27D4C5D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204" w:type="dxa"/>
            <w:tcBorders>
              <w:top w:val="single" w:sz="4" w:space="0" w:color="auto"/>
              <w:left w:val="nil"/>
              <w:bottom w:val="single" w:sz="4" w:space="0" w:color="auto"/>
              <w:right w:val="single" w:sz="4" w:space="0" w:color="auto"/>
            </w:tcBorders>
            <w:shd w:val="clear" w:color="auto" w:fill="C6EFCE"/>
            <w:noWrap/>
          </w:tcPr>
          <w:p w14:paraId="28B7C64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Uue riigihangete süsteemi valmimine, sealhulgas 1) tegevussüsteemide versioonide ajakohastamine ja uue süsteemi integreerimine olemasolevatesse süsteemidesse, 2) uute süsteemifunktsioonide ja süsteemiaruannete kättesaadavus, 3) riikliku elektroonilise riigihangete süsteemi ja elektroonilise riigihangete keskregistri (KIMDIS) ümberkujundamise lõpuleviimine, 4) koostalitlusteenuste kättesaadavus koos gov.gr-iga; ning 5) andmete krüpteerimise mehhanismi, 6) virtuaalassistendi, 7) elektroonilise arhiveerimissüsteemi, 8) riikliku tsentraliseeritud tervishoiuhangete ameti (EKAPY) uue süsteemi ja 9) ehitusteabe modelleerimise süsteemi kasutuselevõtmine.</w:t>
            </w:r>
          </w:p>
        </w:tc>
      </w:tr>
      <w:tr w:rsidR="00AD3F7A" w:rsidRPr="003B132A" w14:paraId="3C67EB08" w14:textId="77777777" w:rsidTr="0077132C">
        <w:trPr>
          <w:trHeight w:val="313"/>
          <w:jc w:val="center"/>
        </w:trPr>
        <w:tc>
          <w:tcPr>
            <w:tcW w:w="1106" w:type="dxa"/>
            <w:tcBorders>
              <w:top w:val="single" w:sz="4" w:space="0" w:color="auto"/>
              <w:left w:val="single" w:sz="4" w:space="0" w:color="auto"/>
              <w:bottom w:val="single" w:sz="4" w:space="0" w:color="auto"/>
              <w:right w:val="single" w:sz="4" w:space="0" w:color="auto"/>
            </w:tcBorders>
            <w:shd w:val="clear" w:color="auto" w:fill="C6EFCE"/>
            <w:noWrap/>
          </w:tcPr>
          <w:p w14:paraId="3D7D5DC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120</w:t>
            </w:r>
          </w:p>
        </w:tc>
        <w:tc>
          <w:tcPr>
            <w:tcW w:w="1873" w:type="dxa"/>
            <w:tcBorders>
              <w:top w:val="single" w:sz="4" w:space="0" w:color="auto"/>
              <w:left w:val="nil"/>
              <w:bottom w:val="single" w:sz="4" w:space="0" w:color="auto"/>
              <w:right w:val="single" w:sz="4" w:space="0" w:color="auto"/>
            </w:tcBorders>
            <w:shd w:val="clear" w:color="auto" w:fill="C6EFCE"/>
            <w:noWrap/>
          </w:tcPr>
          <w:p w14:paraId="0D838EB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16824_Ettekanded</w:t>
            </w:r>
          </w:p>
        </w:tc>
        <w:tc>
          <w:tcPr>
            <w:tcW w:w="1127" w:type="dxa"/>
            <w:tcBorders>
              <w:top w:val="single" w:sz="4" w:space="0" w:color="auto"/>
              <w:left w:val="nil"/>
              <w:bottom w:val="single" w:sz="4" w:space="0" w:color="auto"/>
              <w:right w:val="single" w:sz="4" w:space="0" w:color="auto"/>
            </w:tcBorders>
            <w:shd w:val="clear" w:color="auto" w:fill="C6EFCE"/>
            <w:noWrap/>
          </w:tcPr>
          <w:p w14:paraId="0B059EE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227" w:type="dxa"/>
            <w:tcBorders>
              <w:top w:val="single" w:sz="4" w:space="0" w:color="auto"/>
              <w:left w:val="nil"/>
              <w:bottom w:val="single" w:sz="4" w:space="0" w:color="auto"/>
              <w:right w:val="single" w:sz="4" w:space="0" w:color="auto"/>
            </w:tcBorders>
            <w:shd w:val="clear" w:color="auto" w:fill="C6EFCE"/>
            <w:noWrap/>
          </w:tcPr>
          <w:p w14:paraId="71AEAB4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Projekti „E-registrid“ lõpuleviimine </w:t>
            </w:r>
          </w:p>
        </w:tc>
        <w:tc>
          <w:tcPr>
            <w:tcW w:w="1529" w:type="dxa"/>
            <w:tcBorders>
              <w:top w:val="single" w:sz="4" w:space="0" w:color="auto"/>
              <w:left w:val="nil"/>
              <w:bottom w:val="single" w:sz="4" w:space="0" w:color="auto"/>
              <w:right w:val="single" w:sz="4" w:space="0" w:color="auto"/>
            </w:tcBorders>
            <w:shd w:val="clear" w:color="auto" w:fill="C6EFCE"/>
            <w:noWrap/>
          </w:tcPr>
          <w:p w14:paraId="54EDEA6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halduse ministeeriumi aruanne e-registrite rakendamise dokumenteerimise kohta</w:t>
            </w:r>
          </w:p>
        </w:tc>
        <w:tc>
          <w:tcPr>
            <w:tcW w:w="945" w:type="dxa"/>
            <w:tcBorders>
              <w:top w:val="single" w:sz="4" w:space="0" w:color="auto"/>
              <w:left w:val="nil"/>
              <w:bottom w:val="single" w:sz="4" w:space="0" w:color="auto"/>
              <w:right w:val="single" w:sz="4" w:space="0" w:color="auto"/>
            </w:tcBorders>
            <w:shd w:val="clear" w:color="auto" w:fill="C6EFCE"/>
            <w:noWrap/>
          </w:tcPr>
          <w:p w14:paraId="46467E5C"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33" w:type="dxa"/>
            <w:tcBorders>
              <w:top w:val="single" w:sz="4" w:space="0" w:color="auto"/>
              <w:left w:val="nil"/>
              <w:bottom w:val="single" w:sz="4" w:space="0" w:color="auto"/>
              <w:right w:val="single" w:sz="4" w:space="0" w:color="auto"/>
            </w:tcBorders>
            <w:shd w:val="clear" w:color="auto" w:fill="C6EFCE"/>
            <w:noWrap/>
          </w:tcPr>
          <w:p w14:paraId="196A5C73"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95" w:type="dxa"/>
            <w:tcBorders>
              <w:top w:val="single" w:sz="4" w:space="0" w:color="auto"/>
              <w:left w:val="nil"/>
              <w:bottom w:val="single" w:sz="4" w:space="0" w:color="auto"/>
              <w:right w:val="single" w:sz="4" w:space="0" w:color="auto"/>
            </w:tcBorders>
            <w:shd w:val="clear" w:color="auto" w:fill="C6EFCE"/>
            <w:noWrap/>
          </w:tcPr>
          <w:p w14:paraId="20697721"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69" w:type="dxa"/>
            <w:tcBorders>
              <w:top w:val="single" w:sz="4" w:space="0" w:color="auto"/>
              <w:left w:val="nil"/>
              <w:bottom w:val="single" w:sz="4" w:space="0" w:color="auto"/>
              <w:right w:val="single" w:sz="4" w:space="0" w:color="auto"/>
            </w:tcBorders>
            <w:shd w:val="clear" w:color="auto" w:fill="C6EFCE"/>
            <w:noWrap/>
          </w:tcPr>
          <w:p w14:paraId="090BEE2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single" w:sz="4" w:space="0" w:color="auto"/>
              <w:left w:val="nil"/>
              <w:bottom w:val="single" w:sz="4" w:space="0" w:color="auto"/>
              <w:right w:val="single" w:sz="4" w:space="0" w:color="auto"/>
            </w:tcBorders>
            <w:shd w:val="clear" w:color="auto" w:fill="C6EFCE"/>
            <w:noWrap/>
          </w:tcPr>
          <w:p w14:paraId="29BD0F3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204" w:type="dxa"/>
            <w:tcBorders>
              <w:top w:val="single" w:sz="4" w:space="0" w:color="auto"/>
              <w:left w:val="nil"/>
              <w:bottom w:val="single" w:sz="4" w:space="0" w:color="auto"/>
              <w:right w:val="single" w:sz="4" w:space="0" w:color="auto"/>
            </w:tcBorders>
            <w:shd w:val="clear" w:color="auto" w:fill="C6EFCE"/>
            <w:noWrap/>
          </w:tcPr>
          <w:p w14:paraId="54FE574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Projekti „E-registrid“ lõpuleviimine, sealhulgas nende koostalitlusvõime ja liidesed avaliku halduse olemasolevate registritega.</w:t>
            </w:r>
          </w:p>
        </w:tc>
      </w:tr>
    </w:tbl>
    <w:p w14:paraId="79B06560" w14:textId="77777777" w:rsidR="00AD3F7A" w:rsidRPr="00AD4052" w:rsidRDefault="00AD3F7A" w:rsidP="00645BC7">
      <w:pPr>
        <w:spacing w:before="120" w:after="120" w:line="240" w:lineRule="auto"/>
        <w:ind w:left="709"/>
        <w:rPr>
          <w:rFonts w:ascii="Times New Roman" w:hAnsi="Times New Roman" w:cs="Times New Roman"/>
          <w:noProof/>
          <w:sz w:val="24"/>
        </w:rPr>
      </w:pPr>
    </w:p>
    <w:p w14:paraId="7F2DFB0C" w14:textId="77777777" w:rsidR="00AD3F7A" w:rsidRPr="00E02B5D" w:rsidRDefault="00AD3F7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10: Algatused, mis on seotud uute tehnoloogiate kasutuselevõtuga avaliku halduse digiüleminekul ja ajakohastamisel</w:t>
      </w:r>
    </w:p>
    <w:p w14:paraId="22050036" w14:textId="77777777" w:rsidR="00AD3F7A" w:rsidRPr="00E02B5D" w:rsidRDefault="00AD3F7A" w:rsidP="00DE1EE5">
      <w:pPr>
        <w:numPr>
          <w:ilvl w:val="0"/>
          <w:numId w:val="44"/>
        </w:numPr>
        <w:spacing w:before="120" w:after="0" w:line="240" w:lineRule="auto"/>
        <w:jc w:val="both"/>
        <w:rPr>
          <w:rFonts w:ascii="Times New Roman" w:hAnsi="Times New Roman" w:cs="Times New Roman"/>
          <w:noProof/>
        </w:rPr>
      </w:pPr>
      <w:r>
        <w:rPr>
          <w:rFonts w:ascii="Times New Roman" w:hAnsi="Times New Roman"/>
          <w:noProof/>
          <w:sz w:val="24"/>
        </w:rPr>
        <w:t>Uute tehnoloogiate ja suundumuste kaasamine avaliku halduse kõrgetasemelistesse teenustesse, tõhususe ja tulemuslikkuse suurendamine ning süsteemide kasutus-, uuendus- ja hoolduskulude vähendamine (ID: 16928)</w:t>
      </w:r>
    </w:p>
    <w:p w14:paraId="34E5CD0B" w14:textId="77777777" w:rsidR="00AD3F7A" w:rsidRPr="00E02B5D" w:rsidRDefault="00AD3F7A" w:rsidP="00DE1EE5">
      <w:pPr>
        <w:numPr>
          <w:ilvl w:val="0"/>
          <w:numId w:val="44"/>
        </w:numPr>
        <w:spacing w:before="120" w:after="0" w:line="240" w:lineRule="auto"/>
        <w:jc w:val="both"/>
        <w:rPr>
          <w:rFonts w:ascii="Times New Roman" w:hAnsi="Times New Roman" w:cs="Times New Roman"/>
          <w:noProof/>
          <w:sz w:val="24"/>
        </w:rPr>
      </w:pPr>
      <w:r>
        <w:rPr>
          <w:rFonts w:ascii="Times New Roman" w:hAnsi="Times New Roman"/>
          <w:noProof/>
          <w:sz w:val="24"/>
        </w:rPr>
        <w:t>Arukad linnad (ID: 16854)</w:t>
      </w:r>
    </w:p>
    <w:p w14:paraId="6EF7E607" w14:textId="77777777" w:rsidR="00AD3F7A" w:rsidRPr="00E02B5D" w:rsidRDefault="00AD3F7A" w:rsidP="00DE1EE5">
      <w:pPr>
        <w:numPr>
          <w:ilvl w:val="0"/>
          <w:numId w:val="44"/>
        </w:numPr>
        <w:spacing w:before="120" w:after="0" w:line="240" w:lineRule="auto"/>
        <w:jc w:val="both"/>
        <w:rPr>
          <w:rFonts w:ascii="Times New Roman" w:hAnsi="Times New Roman" w:cs="Times New Roman"/>
          <w:noProof/>
          <w:sz w:val="24"/>
        </w:rPr>
      </w:pPr>
      <w:r>
        <w:rPr>
          <w:rFonts w:ascii="Times New Roman" w:hAnsi="Times New Roman"/>
          <w:noProof/>
          <w:sz w:val="24"/>
        </w:rPr>
        <w:t>Keskse pilvandmetöötluse taristu ja teenuse osutamine (ID: 16853)</w:t>
      </w:r>
    </w:p>
    <w:p w14:paraId="37407BE0" w14:textId="77777777" w:rsidR="00AD3F7A" w:rsidRPr="00E02B5D" w:rsidRDefault="00AD3F7A" w:rsidP="00DE1EE5">
      <w:pPr>
        <w:numPr>
          <w:ilvl w:val="0"/>
          <w:numId w:val="44"/>
        </w:numPr>
        <w:spacing w:before="120" w:after="0" w:line="240" w:lineRule="auto"/>
        <w:jc w:val="both"/>
        <w:rPr>
          <w:rFonts w:ascii="Times New Roman" w:hAnsi="Times New Roman" w:cs="Times New Roman"/>
          <w:noProof/>
          <w:sz w:val="24"/>
        </w:rPr>
      </w:pPr>
      <w:r>
        <w:rPr>
          <w:rFonts w:ascii="Times New Roman" w:hAnsi="Times New Roman"/>
          <w:noProof/>
          <w:sz w:val="24"/>
        </w:rPr>
        <w:t>Pilvandmetöötluse infrastruktuuri ning riiklike teadusuuringute ja tehnoloogia infrastruktuuride (GRNET) teenuste ajakohastamine (ID: 16955)</w:t>
      </w:r>
    </w:p>
    <w:p w14:paraId="3FDD186B" w14:textId="77777777" w:rsidR="00AD3F7A" w:rsidRPr="00E02B5D" w:rsidRDefault="00AD3F7A" w:rsidP="00DE1EE5">
      <w:pPr>
        <w:numPr>
          <w:ilvl w:val="0"/>
          <w:numId w:val="44"/>
        </w:numPr>
        <w:spacing w:before="120" w:after="0" w:line="240" w:lineRule="auto"/>
        <w:jc w:val="both"/>
        <w:rPr>
          <w:rFonts w:ascii="Times New Roman" w:hAnsi="Times New Roman" w:cs="Times New Roman"/>
          <w:noProof/>
          <w:sz w:val="24"/>
        </w:rPr>
      </w:pPr>
      <w:r>
        <w:rPr>
          <w:rFonts w:ascii="Times New Roman" w:hAnsi="Times New Roman"/>
          <w:noProof/>
          <w:sz w:val="24"/>
        </w:rPr>
        <w:t>Syzefksis II laiendamine (ID: 16956)</w:t>
      </w:r>
    </w:p>
    <w:p w14:paraId="1FFE84C2" w14:textId="77777777" w:rsidR="00AD3F7A" w:rsidRPr="00E02B5D" w:rsidRDefault="00AD3F7A" w:rsidP="00DE1EE5">
      <w:pPr>
        <w:numPr>
          <w:ilvl w:val="0"/>
          <w:numId w:val="44"/>
        </w:numPr>
        <w:spacing w:before="120" w:after="0" w:line="240" w:lineRule="auto"/>
        <w:jc w:val="both"/>
        <w:rPr>
          <w:rFonts w:ascii="Times New Roman" w:hAnsi="Times New Roman" w:cs="Times New Roman"/>
          <w:noProof/>
          <w:sz w:val="24"/>
        </w:rPr>
      </w:pPr>
      <w:r>
        <w:rPr>
          <w:rFonts w:ascii="Times New Roman" w:hAnsi="Times New Roman"/>
          <w:noProof/>
          <w:sz w:val="24"/>
        </w:rPr>
        <w:t>Avaliku sektori andmehalduse strateegia ja poliitika (ID: 16827)</w:t>
      </w:r>
    </w:p>
    <w:p w14:paraId="0237CFB0" w14:textId="77777777" w:rsidR="00AD3F7A" w:rsidRPr="00E02B5D" w:rsidRDefault="00AD3F7A" w:rsidP="00DE1EE5">
      <w:pPr>
        <w:numPr>
          <w:ilvl w:val="0"/>
          <w:numId w:val="44"/>
        </w:numPr>
        <w:spacing w:before="120" w:after="120" w:line="240" w:lineRule="auto"/>
        <w:jc w:val="both"/>
        <w:rPr>
          <w:rFonts w:ascii="Times New Roman" w:hAnsi="Times New Roman" w:cs="Times New Roman"/>
          <w:noProof/>
          <w:sz w:val="24"/>
        </w:rPr>
      </w:pPr>
      <w:r>
        <w:rPr>
          <w:rFonts w:ascii="Times New Roman" w:hAnsi="Times New Roman"/>
          <w:noProof/>
          <w:sz w:val="24"/>
        </w:rPr>
        <w:t>Keskne BI – andmeanalüüs (ID: 16842)</w:t>
      </w:r>
    </w:p>
    <w:tbl>
      <w:tblPr>
        <w:tblW w:w="16443" w:type="dxa"/>
        <w:jc w:val="center"/>
        <w:tblLayout w:type="fixed"/>
        <w:tblLook w:val="04A0" w:firstRow="1" w:lastRow="0" w:firstColumn="1" w:lastColumn="0" w:noHBand="0" w:noVBand="1"/>
      </w:tblPr>
      <w:tblGrid>
        <w:gridCol w:w="1134"/>
        <w:gridCol w:w="1953"/>
        <w:gridCol w:w="966"/>
        <w:gridCol w:w="1976"/>
        <w:gridCol w:w="1954"/>
        <w:gridCol w:w="1020"/>
        <w:gridCol w:w="966"/>
        <w:gridCol w:w="946"/>
        <w:gridCol w:w="709"/>
        <w:gridCol w:w="709"/>
        <w:gridCol w:w="4110"/>
      </w:tblGrid>
      <w:tr w:rsidR="00AD3F7A" w:rsidRPr="003B132A" w14:paraId="4CABCC32" w14:textId="77777777" w:rsidTr="00AE6F03">
        <w:trPr>
          <w:trHeight w:val="939"/>
          <w:tblHeader/>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2731CF" w14:textId="5F6DFFDF"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AE6F03">
              <w:rPr>
                <w:rFonts w:ascii="Times New Roman" w:hAnsi="Times New Roman"/>
                <w:b/>
                <w:noProof/>
                <w:sz w:val="18"/>
              </w:rPr>
              <w:t>-</w:t>
            </w:r>
            <w:r>
              <w:rPr>
                <w:rFonts w:ascii="Times New Roman" w:hAnsi="Times New Roman"/>
                <w:b/>
                <w:noProof/>
                <w:sz w:val="18"/>
              </w:rPr>
              <w:t>number</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8906C3" w14:textId="77777777" w:rsidR="00AC1A5D" w:rsidRDefault="00AD3F7A" w:rsidP="00D16F13">
            <w:pPr>
              <w:spacing w:after="0" w:line="240" w:lineRule="auto"/>
              <w:jc w:val="center"/>
              <w:rPr>
                <w:rFonts w:ascii="Times New Roman" w:hAnsi="Times New Roman"/>
                <w:b/>
                <w:noProof/>
                <w:sz w:val="18"/>
              </w:rPr>
            </w:pPr>
            <w:r>
              <w:rPr>
                <w:rFonts w:ascii="Times New Roman" w:hAnsi="Times New Roman"/>
                <w:b/>
                <w:noProof/>
                <w:sz w:val="18"/>
              </w:rPr>
              <w:t xml:space="preserve">Seotud meede </w:t>
            </w:r>
          </w:p>
          <w:p w14:paraId="24AEA5C0" w14:textId="49939A08"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(Reform või investeering)</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196F2B"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976" w:type="dxa"/>
            <w:vMerge w:val="restart"/>
            <w:tcBorders>
              <w:top w:val="single" w:sz="4" w:space="0" w:color="auto"/>
              <w:left w:val="nil"/>
              <w:bottom w:val="single" w:sz="4" w:space="0" w:color="auto"/>
              <w:right w:val="single" w:sz="4" w:space="0" w:color="auto"/>
            </w:tcBorders>
            <w:shd w:val="clear" w:color="auto" w:fill="BDD7EE"/>
            <w:vAlign w:val="center"/>
            <w:hideMark/>
          </w:tcPr>
          <w:p w14:paraId="79CABC34"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A31332"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932" w:type="dxa"/>
            <w:gridSpan w:val="3"/>
            <w:tcBorders>
              <w:top w:val="single" w:sz="4" w:space="0" w:color="auto"/>
              <w:left w:val="nil"/>
              <w:bottom w:val="single" w:sz="4" w:space="0" w:color="auto"/>
              <w:right w:val="single" w:sz="4" w:space="0" w:color="auto"/>
            </w:tcBorders>
            <w:shd w:val="clear" w:color="auto" w:fill="BDD7EE"/>
            <w:vAlign w:val="center"/>
            <w:hideMark/>
          </w:tcPr>
          <w:p w14:paraId="18244C31"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418" w:type="dxa"/>
            <w:gridSpan w:val="2"/>
            <w:tcBorders>
              <w:top w:val="single" w:sz="4" w:space="0" w:color="auto"/>
              <w:left w:val="nil"/>
              <w:bottom w:val="single" w:sz="4" w:space="0" w:color="auto"/>
              <w:right w:val="single" w:sz="4" w:space="0" w:color="auto"/>
            </w:tcBorders>
            <w:shd w:val="clear" w:color="auto" w:fill="BDD7EE"/>
            <w:vAlign w:val="center"/>
            <w:hideMark/>
          </w:tcPr>
          <w:p w14:paraId="438BC459"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F86E49"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62119656" w14:textId="77777777" w:rsidTr="00AE6F03">
        <w:trPr>
          <w:trHeight w:val="356"/>
          <w:tblHeade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C586A8" w14:textId="77777777" w:rsidR="00AD3F7A" w:rsidRPr="00AD4052" w:rsidRDefault="00AD3F7A" w:rsidP="00D16F13">
            <w:pPr>
              <w:spacing w:after="0" w:line="240" w:lineRule="auto"/>
              <w:rPr>
                <w:rFonts w:ascii="Times New Roman" w:eastAsia="Times New Roman" w:hAnsi="Times New Roman" w:cs="Times New Roman"/>
                <w:b/>
                <w:noProof/>
                <w:sz w:val="18"/>
                <w:szCs w:val="18"/>
                <w:lang w:eastAsia="en-GB"/>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35CBDBD5" w14:textId="77777777" w:rsidR="00AD3F7A" w:rsidRPr="00AD4052" w:rsidRDefault="00AD3F7A" w:rsidP="00D16F13">
            <w:pPr>
              <w:spacing w:after="0" w:line="240" w:lineRule="auto"/>
              <w:rPr>
                <w:rFonts w:ascii="Times New Roman" w:eastAsia="Times New Roman" w:hAnsi="Times New Roman" w:cs="Times New Roman"/>
                <w:b/>
                <w:noProof/>
                <w:sz w:val="18"/>
                <w:szCs w:val="18"/>
                <w:lang w:eastAsia="en-GB"/>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68BD5D82" w14:textId="77777777" w:rsidR="00AD3F7A" w:rsidRPr="00AD4052" w:rsidRDefault="00AD3F7A" w:rsidP="00D16F13">
            <w:pPr>
              <w:spacing w:after="0" w:line="240" w:lineRule="auto"/>
              <w:rPr>
                <w:rFonts w:ascii="Times New Roman" w:eastAsia="Times New Roman" w:hAnsi="Times New Roman" w:cs="Times New Roman"/>
                <w:b/>
                <w:noProof/>
                <w:sz w:val="18"/>
                <w:szCs w:val="18"/>
                <w:lang w:eastAsia="en-GB"/>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43B929FB" w14:textId="77777777" w:rsidR="00AD3F7A" w:rsidRPr="00AD4052" w:rsidRDefault="00AD3F7A" w:rsidP="00D16F13">
            <w:pPr>
              <w:spacing w:after="0" w:line="240" w:lineRule="auto"/>
              <w:rPr>
                <w:rFonts w:ascii="Times New Roman" w:eastAsia="Times New Roman" w:hAnsi="Times New Roman" w:cs="Times New Roman"/>
                <w:b/>
                <w:noProof/>
                <w:sz w:val="18"/>
                <w:szCs w:val="18"/>
                <w:lang w:eastAsia="en-GB"/>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14:paraId="318C4F49" w14:textId="77777777" w:rsidR="00AD3F7A" w:rsidRPr="00AD4052" w:rsidRDefault="00AD3F7A" w:rsidP="00D16F13">
            <w:pPr>
              <w:spacing w:after="0" w:line="240" w:lineRule="auto"/>
              <w:rPr>
                <w:rFonts w:ascii="Times New Roman" w:eastAsia="Times New Roman" w:hAnsi="Times New Roman" w:cs="Times New Roman"/>
                <w:b/>
                <w:noProof/>
                <w:sz w:val="18"/>
                <w:szCs w:val="18"/>
                <w:lang w:eastAsia="en-GB"/>
              </w:rPr>
            </w:pPr>
          </w:p>
        </w:tc>
        <w:tc>
          <w:tcPr>
            <w:tcW w:w="10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ECA79D6"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tcBorders>
              <w:top w:val="single" w:sz="4" w:space="0" w:color="auto"/>
              <w:left w:val="nil"/>
              <w:bottom w:val="single" w:sz="4" w:space="0" w:color="auto"/>
              <w:right w:val="single" w:sz="4" w:space="0" w:color="auto"/>
            </w:tcBorders>
            <w:shd w:val="clear" w:color="auto" w:fill="BDD7EE"/>
            <w:vAlign w:val="center"/>
            <w:hideMark/>
          </w:tcPr>
          <w:p w14:paraId="68B0EA2B"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46" w:type="dxa"/>
            <w:tcBorders>
              <w:top w:val="single" w:sz="4" w:space="0" w:color="auto"/>
              <w:left w:val="nil"/>
              <w:bottom w:val="single" w:sz="4" w:space="0" w:color="auto"/>
              <w:right w:val="single" w:sz="4" w:space="0" w:color="auto"/>
            </w:tcBorders>
            <w:shd w:val="clear" w:color="auto" w:fill="BDD7EE"/>
            <w:vAlign w:val="center"/>
            <w:hideMark/>
          </w:tcPr>
          <w:p w14:paraId="66147552"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39E5B4BD"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9" w:type="dxa"/>
            <w:tcBorders>
              <w:top w:val="single" w:sz="4" w:space="0" w:color="auto"/>
              <w:left w:val="nil"/>
              <w:bottom w:val="single" w:sz="4" w:space="0" w:color="auto"/>
              <w:right w:val="single" w:sz="4" w:space="0" w:color="auto"/>
            </w:tcBorders>
            <w:shd w:val="clear" w:color="auto" w:fill="BDD7EE"/>
            <w:vAlign w:val="center"/>
          </w:tcPr>
          <w:p w14:paraId="3C538A5B"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110" w:type="dxa"/>
            <w:vMerge/>
            <w:tcBorders>
              <w:top w:val="single" w:sz="4" w:space="0" w:color="auto"/>
              <w:bottom w:val="single" w:sz="4" w:space="0" w:color="auto"/>
              <w:right w:val="single" w:sz="4" w:space="0" w:color="auto"/>
            </w:tcBorders>
            <w:vAlign w:val="center"/>
            <w:hideMark/>
          </w:tcPr>
          <w:p w14:paraId="6BEF9AC6" w14:textId="77777777" w:rsidR="00AD3F7A" w:rsidRPr="00E02B5D" w:rsidRDefault="00AD3F7A" w:rsidP="00D16F13">
            <w:pPr>
              <w:spacing w:after="0" w:line="240" w:lineRule="auto"/>
              <w:ind w:right="690"/>
              <w:rPr>
                <w:rFonts w:ascii="Times New Roman" w:eastAsia="Times New Roman" w:hAnsi="Times New Roman" w:cs="Times New Roman"/>
                <w:b/>
                <w:noProof/>
                <w:sz w:val="18"/>
                <w:szCs w:val="18"/>
                <w:lang w:val="en-GB" w:eastAsia="en-GB"/>
              </w:rPr>
            </w:pPr>
          </w:p>
        </w:tc>
      </w:tr>
      <w:tr w:rsidR="007B4D63" w:rsidRPr="003B132A" w14:paraId="6179488E" w14:textId="77777777" w:rsidTr="00AE6F03">
        <w:trPr>
          <w:trHeight w:val="313"/>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57C15D8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121</w:t>
            </w:r>
          </w:p>
        </w:tc>
        <w:tc>
          <w:tcPr>
            <w:tcW w:w="1953" w:type="dxa"/>
            <w:tcBorders>
              <w:top w:val="single" w:sz="4" w:space="0" w:color="auto"/>
              <w:left w:val="nil"/>
              <w:bottom w:val="single" w:sz="4" w:space="0" w:color="auto"/>
              <w:right w:val="single" w:sz="4" w:space="0" w:color="auto"/>
            </w:tcBorders>
            <w:shd w:val="clear" w:color="auto" w:fill="C6EFCE"/>
            <w:noWrap/>
          </w:tcPr>
          <w:p w14:paraId="302EAAD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16842_Central BI – Data Analytics</w:t>
            </w:r>
          </w:p>
        </w:tc>
        <w:tc>
          <w:tcPr>
            <w:tcW w:w="966" w:type="dxa"/>
            <w:tcBorders>
              <w:top w:val="single" w:sz="4" w:space="0" w:color="auto"/>
              <w:left w:val="nil"/>
              <w:bottom w:val="single" w:sz="4" w:space="0" w:color="auto"/>
              <w:right w:val="single" w:sz="4" w:space="0" w:color="auto"/>
            </w:tcBorders>
            <w:shd w:val="clear" w:color="auto" w:fill="C6EFCE"/>
            <w:noWrap/>
          </w:tcPr>
          <w:p w14:paraId="095BB71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976" w:type="dxa"/>
            <w:tcBorders>
              <w:top w:val="single" w:sz="4" w:space="0" w:color="auto"/>
              <w:left w:val="nil"/>
              <w:bottom w:val="single" w:sz="4" w:space="0" w:color="auto"/>
              <w:right w:val="single" w:sz="4" w:space="0" w:color="auto"/>
            </w:tcBorders>
            <w:shd w:val="clear" w:color="auto" w:fill="C6EFCE"/>
            <w:noWrap/>
          </w:tcPr>
          <w:p w14:paraId="1E8AE84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Keskse äriteabe (BIS) lepingu sõlmimine </w:t>
            </w:r>
          </w:p>
        </w:tc>
        <w:tc>
          <w:tcPr>
            <w:tcW w:w="1954" w:type="dxa"/>
            <w:tcBorders>
              <w:top w:val="single" w:sz="4" w:space="0" w:color="auto"/>
              <w:left w:val="nil"/>
              <w:bottom w:val="single" w:sz="4" w:space="0" w:color="auto"/>
              <w:right w:val="single" w:sz="4" w:space="0" w:color="auto"/>
            </w:tcBorders>
            <w:shd w:val="clear" w:color="auto" w:fill="C6EFCE"/>
            <w:noWrap/>
          </w:tcPr>
          <w:p w14:paraId="51FDFB9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Teade lepingu sõlmimise kohta</w:t>
            </w:r>
          </w:p>
        </w:tc>
        <w:tc>
          <w:tcPr>
            <w:tcW w:w="1020" w:type="dxa"/>
            <w:tcBorders>
              <w:top w:val="single" w:sz="4" w:space="0" w:color="auto"/>
              <w:left w:val="nil"/>
              <w:bottom w:val="single" w:sz="4" w:space="0" w:color="auto"/>
              <w:right w:val="single" w:sz="4" w:space="0" w:color="auto"/>
            </w:tcBorders>
            <w:shd w:val="clear" w:color="auto" w:fill="C6EFCE"/>
            <w:noWrap/>
          </w:tcPr>
          <w:p w14:paraId="17A94C69"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54E52458"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46" w:type="dxa"/>
            <w:tcBorders>
              <w:top w:val="nil"/>
              <w:left w:val="nil"/>
              <w:bottom w:val="single" w:sz="4" w:space="0" w:color="auto"/>
              <w:right w:val="single" w:sz="4" w:space="0" w:color="auto"/>
            </w:tcBorders>
            <w:shd w:val="clear" w:color="auto" w:fill="C6EFCE"/>
            <w:noWrap/>
          </w:tcPr>
          <w:p w14:paraId="75B039C1"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09" w:type="dxa"/>
            <w:tcBorders>
              <w:top w:val="nil"/>
              <w:left w:val="nil"/>
              <w:bottom w:val="single" w:sz="4" w:space="0" w:color="auto"/>
              <w:right w:val="single" w:sz="4" w:space="0" w:color="auto"/>
            </w:tcBorders>
            <w:shd w:val="clear" w:color="auto" w:fill="C6EFCE"/>
            <w:noWrap/>
          </w:tcPr>
          <w:p w14:paraId="04A48FA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382710B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4110" w:type="dxa"/>
            <w:tcBorders>
              <w:top w:val="single" w:sz="4" w:space="0" w:color="auto"/>
              <w:left w:val="nil"/>
              <w:bottom w:val="single" w:sz="4" w:space="0" w:color="auto"/>
              <w:right w:val="single" w:sz="4" w:space="0" w:color="auto"/>
            </w:tcBorders>
            <w:shd w:val="clear" w:color="auto" w:fill="C6EFCE"/>
            <w:noWrap/>
          </w:tcPr>
          <w:p w14:paraId="4DB8442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juhtimise ministeerium sõlmib lepingu keskse BI – Data kohta. Analüüs, mis hõlmab järgmist:</w:t>
            </w:r>
          </w:p>
          <w:p w14:paraId="311B2439" w14:textId="77777777" w:rsidR="00AD3F7A" w:rsidRPr="00E02B5D" w:rsidRDefault="00AD3F7A" w:rsidP="00D16F13">
            <w:pPr>
              <w:spacing w:after="0" w:line="240" w:lineRule="auto"/>
              <w:ind w:left="383" w:hanging="284"/>
              <w:rPr>
                <w:rFonts w:eastAsia="Times New Roman" w:cs="Calibri"/>
                <w:noProof/>
                <w:color w:val="006100"/>
                <w:sz w:val="18"/>
                <w:szCs w:val="18"/>
              </w:rPr>
            </w:pPr>
            <w:r>
              <w:rPr>
                <w:noProof/>
                <w:color w:val="006100"/>
                <w:sz w:val="18"/>
              </w:rPr>
              <w:t>a)</w:t>
            </w:r>
            <w:r>
              <w:rPr>
                <w:noProof/>
              </w:rPr>
              <w:tab/>
            </w:r>
            <w:r>
              <w:rPr>
                <w:noProof/>
                <w:color w:val="006100"/>
                <w:sz w:val="18"/>
              </w:rPr>
              <w:t>Andmehalduse raamistiku ja andmesõnastiku väljatöötamine ja valideerimine ning võtmetähtsusega tulemuslikkuse põhinäitajate kindlaksmääramine</w:t>
            </w:r>
          </w:p>
          <w:p w14:paraId="79495DF1" w14:textId="77777777" w:rsidR="00AD3F7A" w:rsidRPr="00E02B5D" w:rsidRDefault="00AD3F7A" w:rsidP="00D16F13">
            <w:pPr>
              <w:spacing w:after="0" w:line="240" w:lineRule="auto"/>
              <w:ind w:left="383" w:hanging="284"/>
              <w:rPr>
                <w:rFonts w:eastAsia="Times New Roman" w:cs="Calibri"/>
                <w:noProof/>
                <w:color w:val="006100"/>
                <w:sz w:val="18"/>
                <w:szCs w:val="18"/>
              </w:rPr>
            </w:pPr>
            <w:r>
              <w:rPr>
                <w:noProof/>
                <w:color w:val="006100"/>
                <w:sz w:val="18"/>
              </w:rPr>
              <w:t>b)</w:t>
            </w:r>
            <w:r>
              <w:rPr>
                <w:noProof/>
              </w:rPr>
              <w:tab/>
            </w:r>
            <w:r>
              <w:rPr>
                <w:noProof/>
                <w:color w:val="006100"/>
                <w:sz w:val="18"/>
              </w:rPr>
              <w:t>Peamiste tulemusnäitajate kindlakstegemine</w:t>
            </w:r>
          </w:p>
          <w:p w14:paraId="0EA5F272" w14:textId="77777777" w:rsidR="00AD3F7A" w:rsidRPr="00E02B5D" w:rsidRDefault="00AD3F7A" w:rsidP="00D16F13">
            <w:pPr>
              <w:spacing w:after="0" w:line="240" w:lineRule="auto"/>
              <w:ind w:left="383" w:hanging="284"/>
              <w:rPr>
                <w:rFonts w:eastAsia="Times New Roman" w:cs="Calibri"/>
                <w:noProof/>
                <w:color w:val="006100"/>
                <w:sz w:val="18"/>
                <w:szCs w:val="18"/>
              </w:rPr>
            </w:pPr>
            <w:r>
              <w:rPr>
                <w:noProof/>
                <w:color w:val="006100"/>
                <w:sz w:val="18"/>
              </w:rPr>
              <w:t>c)</w:t>
            </w:r>
            <w:r>
              <w:rPr>
                <w:noProof/>
              </w:rPr>
              <w:tab/>
            </w:r>
            <w:r>
              <w:rPr>
                <w:noProof/>
                <w:color w:val="006100"/>
                <w:sz w:val="18"/>
              </w:rPr>
              <w:t>Andmesõnastik</w:t>
            </w:r>
          </w:p>
          <w:p w14:paraId="0F52B7B0" w14:textId="77777777" w:rsidR="00AD3F7A" w:rsidRPr="00E02B5D" w:rsidRDefault="00AD3F7A" w:rsidP="00D16F13">
            <w:pPr>
              <w:spacing w:after="0" w:line="240" w:lineRule="auto"/>
              <w:ind w:left="383" w:hanging="284"/>
              <w:rPr>
                <w:rFonts w:eastAsia="Times New Roman" w:cs="Calibri"/>
                <w:noProof/>
                <w:color w:val="006100"/>
                <w:sz w:val="18"/>
                <w:szCs w:val="18"/>
              </w:rPr>
            </w:pPr>
            <w:r>
              <w:rPr>
                <w:noProof/>
                <w:color w:val="006100"/>
                <w:sz w:val="18"/>
              </w:rPr>
              <w:t>d)</w:t>
            </w:r>
            <w:r>
              <w:rPr>
                <w:noProof/>
              </w:rPr>
              <w:tab/>
            </w:r>
            <w:r>
              <w:rPr>
                <w:noProof/>
                <w:color w:val="006100"/>
                <w:sz w:val="18"/>
              </w:rPr>
              <w:t>Andmehalduse raamistik</w:t>
            </w:r>
          </w:p>
          <w:p w14:paraId="735D9E38" w14:textId="77777777" w:rsidR="00AD3F7A" w:rsidRPr="00E02B5D" w:rsidRDefault="00AD3F7A" w:rsidP="00D16F13">
            <w:pPr>
              <w:spacing w:after="0" w:line="240" w:lineRule="auto"/>
              <w:ind w:left="383" w:hanging="284"/>
              <w:rPr>
                <w:rFonts w:eastAsia="Times New Roman" w:cs="Calibri"/>
                <w:noProof/>
                <w:color w:val="006100"/>
                <w:sz w:val="18"/>
                <w:szCs w:val="18"/>
              </w:rPr>
            </w:pPr>
            <w:r>
              <w:rPr>
                <w:noProof/>
                <w:color w:val="006100"/>
                <w:sz w:val="18"/>
              </w:rPr>
              <w:t>e)</w:t>
            </w:r>
            <w:r>
              <w:rPr>
                <w:noProof/>
              </w:rPr>
              <w:tab/>
            </w:r>
            <w:r>
              <w:rPr>
                <w:noProof/>
                <w:color w:val="006100"/>
                <w:sz w:val="18"/>
              </w:rPr>
              <w:t>Arhitektuurilise lähenemise ja integratsioonipunktide projekteerimine</w:t>
            </w:r>
          </w:p>
          <w:p w14:paraId="698BCEE4" w14:textId="77777777" w:rsidR="00AD3F7A" w:rsidRPr="00E02B5D" w:rsidRDefault="00AD3F7A" w:rsidP="00D16F13">
            <w:pPr>
              <w:spacing w:after="0" w:line="240" w:lineRule="auto"/>
              <w:ind w:left="383" w:hanging="284"/>
              <w:rPr>
                <w:rFonts w:eastAsia="Times New Roman" w:cs="Calibri"/>
                <w:noProof/>
                <w:color w:val="006100"/>
                <w:sz w:val="18"/>
                <w:szCs w:val="18"/>
              </w:rPr>
            </w:pPr>
            <w:r>
              <w:rPr>
                <w:noProof/>
                <w:color w:val="006100"/>
                <w:sz w:val="18"/>
              </w:rPr>
              <w:t>f)</w:t>
            </w:r>
            <w:r>
              <w:rPr>
                <w:noProof/>
              </w:rPr>
              <w:tab/>
            </w:r>
            <w:r>
              <w:rPr>
                <w:noProof/>
                <w:color w:val="006100"/>
                <w:sz w:val="18"/>
              </w:rPr>
              <w:t>Andmelao konfiguratsioon</w:t>
            </w:r>
          </w:p>
          <w:p w14:paraId="338CE71B" w14:textId="77777777" w:rsidR="00AD3F7A" w:rsidRPr="00E02B5D" w:rsidRDefault="00AD3F7A" w:rsidP="00D16F13">
            <w:pPr>
              <w:spacing w:after="0" w:line="240" w:lineRule="auto"/>
              <w:ind w:left="383" w:hanging="284"/>
              <w:rPr>
                <w:rFonts w:eastAsia="Times New Roman" w:cs="Calibri"/>
                <w:noProof/>
                <w:color w:val="006100"/>
                <w:sz w:val="18"/>
                <w:szCs w:val="18"/>
              </w:rPr>
            </w:pPr>
            <w:r>
              <w:rPr>
                <w:noProof/>
                <w:color w:val="006100"/>
                <w:sz w:val="18"/>
              </w:rPr>
              <w:t>g)</w:t>
            </w:r>
            <w:r>
              <w:rPr>
                <w:noProof/>
              </w:rPr>
              <w:tab/>
            </w:r>
            <w:r>
              <w:rPr>
                <w:noProof/>
                <w:color w:val="006100"/>
                <w:sz w:val="18"/>
              </w:rPr>
              <w:t>Integratsioon back-office’i infosüsteemidega</w:t>
            </w:r>
          </w:p>
          <w:p w14:paraId="3F8ACE53" w14:textId="77777777" w:rsidR="00AD3F7A" w:rsidRPr="00E02B5D" w:rsidRDefault="00AD3F7A" w:rsidP="00D16F13">
            <w:pPr>
              <w:spacing w:after="0" w:line="240" w:lineRule="auto"/>
              <w:ind w:left="383" w:hanging="284"/>
              <w:rPr>
                <w:rFonts w:eastAsia="Times New Roman" w:cs="Calibri"/>
                <w:noProof/>
                <w:color w:val="006100"/>
                <w:sz w:val="18"/>
                <w:szCs w:val="18"/>
              </w:rPr>
            </w:pPr>
            <w:r>
              <w:rPr>
                <w:noProof/>
                <w:color w:val="006100"/>
                <w:sz w:val="18"/>
              </w:rPr>
              <w:t>h)</w:t>
            </w:r>
            <w:r>
              <w:rPr>
                <w:noProof/>
              </w:rPr>
              <w:tab/>
            </w:r>
            <w:r>
              <w:rPr>
                <w:noProof/>
                <w:color w:val="006100"/>
                <w:sz w:val="18"/>
              </w:rPr>
              <w:t>Põhiteabe aruannete ja analüüsi koostamine</w:t>
            </w:r>
          </w:p>
          <w:p w14:paraId="4B1A25FC" w14:textId="77777777" w:rsidR="00AD3F7A" w:rsidRPr="00E02B5D" w:rsidRDefault="00AD3F7A" w:rsidP="00D16F13">
            <w:pPr>
              <w:spacing w:after="0" w:line="240" w:lineRule="auto"/>
              <w:ind w:left="383" w:hanging="284"/>
              <w:rPr>
                <w:rFonts w:eastAsia="Times New Roman" w:cs="Calibri"/>
                <w:noProof/>
                <w:color w:val="006100"/>
                <w:sz w:val="18"/>
                <w:szCs w:val="18"/>
              </w:rPr>
            </w:pPr>
            <w:r>
              <w:rPr>
                <w:noProof/>
                <w:color w:val="006100"/>
                <w:sz w:val="18"/>
              </w:rPr>
              <w:t>i)</w:t>
            </w:r>
            <w:r>
              <w:rPr>
                <w:noProof/>
              </w:rPr>
              <w:tab/>
            </w:r>
            <w:r>
              <w:rPr>
                <w:noProof/>
                <w:color w:val="006100"/>
                <w:sz w:val="18"/>
              </w:rPr>
              <w:t>BI ökosüsteemi tegevuse toetamine 3 aasta jooksul</w:t>
            </w:r>
          </w:p>
          <w:p w14:paraId="45301A99" w14:textId="77777777" w:rsidR="00AD3F7A" w:rsidRPr="00E02B5D" w:rsidRDefault="00AD3F7A" w:rsidP="00D16F13">
            <w:pPr>
              <w:spacing w:after="0" w:line="240" w:lineRule="auto"/>
              <w:ind w:left="383" w:hanging="284"/>
              <w:rPr>
                <w:rFonts w:eastAsia="Times New Roman" w:cs="Calibri"/>
                <w:noProof/>
                <w:color w:val="006100"/>
                <w:sz w:val="18"/>
                <w:szCs w:val="18"/>
              </w:rPr>
            </w:pPr>
            <w:r>
              <w:rPr>
                <w:noProof/>
                <w:color w:val="006100"/>
                <w:sz w:val="18"/>
              </w:rPr>
              <w:t>j)</w:t>
            </w:r>
            <w:r>
              <w:rPr>
                <w:noProof/>
              </w:rPr>
              <w:tab/>
            </w:r>
            <w:r>
              <w:rPr>
                <w:noProof/>
                <w:color w:val="006100"/>
                <w:sz w:val="18"/>
              </w:rPr>
              <w:t>Litsentsilõivud 200 administraatori õigustega kasutaja ja 200 TB talletamise eest.</w:t>
            </w:r>
          </w:p>
        </w:tc>
      </w:tr>
      <w:tr w:rsidR="00AD3F7A" w:rsidRPr="003B132A" w14:paraId="12395F12" w14:textId="77777777" w:rsidTr="00AE6F03">
        <w:trPr>
          <w:trHeight w:val="313"/>
          <w:jc w:val="center"/>
        </w:trPr>
        <w:tc>
          <w:tcPr>
            <w:tcW w:w="1134" w:type="dxa"/>
            <w:tcBorders>
              <w:top w:val="nil"/>
              <w:left w:val="single" w:sz="4" w:space="0" w:color="auto"/>
              <w:bottom w:val="single" w:sz="4" w:space="0" w:color="auto"/>
              <w:right w:val="single" w:sz="4" w:space="0" w:color="auto"/>
            </w:tcBorders>
            <w:shd w:val="clear" w:color="auto" w:fill="C6EFCE"/>
            <w:noWrap/>
          </w:tcPr>
          <w:p w14:paraId="04E15BC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122</w:t>
            </w:r>
          </w:p>
        </w:tc>
        <w:tc>
          <w:tcPr>
            <w:tcW w:w="1953" w:type="dxa"/>
            <w:tcBorders>
              <w:top w:val="nil"/>
              <w:left w:val="nil"/>
              <w:bottom w:val="single" w:sz="4" w:space="0" w:color="auto"/>
              <w:right w:val="single" w:sz="4" w:space="0" w:color="auto"/>
            </w:tcBorders>
            <w:shd w:val="clear" w:color="auto" w:fill="C6EFCE"/>
            <w:noWrap/>
          </w:tcPr>
          <w:p w14:paraId="548AEC9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16853 Pilvandmetöötluse kesktaristu ja -teenuste pakkumine</w:t>
            </w:r>
          </w:p>
        </w:tc>
        <w:tc>
          <w:tcPr>
            <w:tcW w:w="966" w:type="dxa"/>
            <w:tcBorders>
              <w:top w:val="nil"/>
              <w:left w:val="nil"/>
              <w:bottom w:val="single" w:sz="4" w:space="0" w:color="auto"/>
              <w:right w:val="single" w:sz="4" w:space="0" w:color="auto"/>
            </w:tcBorders>
            <w:shd w:val="clear" w:color="auto" w:fill="C6EFCE"/>
            <w:noWrap/>
          </w:tcPr>
          <w:p w14:paraId="70A303A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976" w:type="dxa"/>
            <w:tcBorders>
              <w:top w:val="nil"/>
              <w:left w:val="nil"/>
              <w:bottom w:val="single" w:sz="4" w:space="0" w:color="auto"/>
              <w:right w:val="single" w:sz="4" w:space="0" w:color="auto"/>
            </w:tcBorders>
            <w:shd w:val="clear" w:color="auto" w:fill="C6EFCE"/>
            <w:noWrap/>
          </w:tcPr>
          <w:p w14:paraId="38D0946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Keskse pilvandmetöötlustaristu ja -teenuse lõpuleviimine</w:t>
            </w:r>
          </w:p>
        </w:tc>
        <w:tc>
          <w:tcPr>
            <w:tcW w:w="1954" w:type="dxa"/>
            <w:tcBorders>
              <w:top w:val="nil"/>
              <w:left w:val="nil"/>
              <w:bottom w:val="single" w:sz="4" w:space="0" w:color="auto"/>
              <w:right w:val="single" w:sz="4" w:space="0" w:color="auto"/>
            </w:tcBorders>
            <w:shd w:val="clear" w:color="auto" w:fill="C6EFCE"/>
            <w:noWrap/>
          </w:tcPr>
          <w:p w14:paraId="34DA392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juhtimise ministeeriumi aruanne, milles dokumenteeritakse projekti kõigi komponentide lõpuleviimine ja kehtestatakse taristuparameetrid keskse pilvandmetöötluse taristu ja teenuste projektile</w:t>
            </w:r>
          </w:p>
        </w:tc>
        <w:tc>
          <w:tcPr>
            <w:tcW w:w="1020" w:type="dxa"/>
            <w:tcBorders>
              <w:top w:val="nil"/>
              <w:left w:val="nil"/>
              <w:bottom w:val="single" w:sz="4" w:space="0" w:color="auto"/>
              <w:right w:val="single" w:sz="4" w:space="0" w:color="auto"/>
            </w:tcBorders>
            <w:shd w:val="clear" w:color="auto" w:fill="C6EFCE"/>
            <w:noWrap/>
          </w:tcPr>
          <w:p w14:paraId="32CFE2DD"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6C3F139F"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46" w:type="dxa"/>
            <w:tcBorders>
              <w:top w:val="nil"/>
              <w:left w:val="nil"/>
              <w:bottom w:val="single" w:sz="4" w:space="0" w:color="auto"/>
              <w:right w:val="single" w:sz="4" w:space="0" w:color="auto"/>
            </w:tcBorders>
            <w:shd w:val="clear" w:color="auto" w:fill="C6EFCE"/>
            <w:noWrap/>
          </w:tcPr>
          <w:p w14:paraId="4AE0A4B6"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271BADF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kv</w:t>
            </w:r>
          </w:p>
        </w:tc>
        <w:tc>
          <w:tcPr>
            <w:tcW w:w="709" w:type="dxa"/>
            <w:tcBorders>
              <w:top w:val="nil"/>
              <w:left w:val="nil"/>
              <w:bottom w:val="single" w:sz="4" w:space="0" w:color="auto"/>
              <w:right w:val="single" w:sz="4" w:space="0" w:color="auto"/>
            </w:tcBorders>
            <w:shd w:val="clear" w:color="auto" w:fill="C6EFCE"/>
            <w:noWrap/>
          </w:tcPr>
          <w:p w14:paraId="6BED9A0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2024</w:t>
            </w:r>
          </w:p>
        </w:tc>
        <w:tc>
          <w:tcPr>
            <w:tcW w:w="4110" w:type="dxa"/>
            <w:tcBorders>
              <w:top w:val="nil"/>
              <w:left w:val="nil"/>
              <w:bottom w:val="single" w:sz="4" w:space="0" w:color="auto"/>
              <w:right w:val="single" w:sz="4" w:space="0" w:color="auto"/>
            </w:tcBorders>
            <w:shd w:val="clear" w:color="auto" w:fill="C6EFCE"/>
            <w:noWrap/>
          </w:tcPr>
          <w:p w14:paraId="153AA1F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Kõigi keskse pilvandmetöötluse taristu ja teenuste projekti komponentide ja parametriseeritud taristu rajamise täielik lõpuleviimine. Võtta kasutusele ja rakendada keskse pilvandmetöötluse taristu ja teenuste projekt. Uus paigaldatud taristu hõlmab virtuaalseid masinaid ja vastavaid virtuaalseid võrke (infrastruktuur kui teenus), platvormi kui teenust, kolme servandmemaatriksit, kolme kiire optilise kiu eriliidest ning koolitus- ja tugiteenuseid kogu projekti jaoks.</w:t>
            </w:r>
          </w:p>
          <w:p w14:paraId="0565173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Pilveteenuste osutaja andmekeskused peavad järgima Euroopa andmekeskuse energiatõhususe tegevusjuhendit.</w:t>
            </w:r>
          </w:p>
        </w:tc>
      </w:tr>
      <w:tr w:rsidR="00AD3F7A" w:rsidRPr="003B132A" w14:paraId="09938C57" w14:textId="77777777" w:rsidTr="00AE6F03">
        <w:trPr>
          <w:trHeight w:val="313"/>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3E00FC3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123</w:t>
            </w:r>
          </w:p>
        </w:tc>
        <w:tc>
          <w:tcPr>
            <w:tcW w:w="1953" w:type="dxa"/>
            <w:tcBorders>
              <w:top w:val="single" w:sz="4" w:space="0" w:color="auto"/>
              <w:left w:val="nil"/>
              <w:bottom w:val="single" w:sz="4" w:space="0" w:color="auto"/>
              <w:right w:val="single" w:sz="4" w:space="0" w:color="auto"/>
            </w:tcBorders>
            <w:shd w:val="clear" w:color="auto" w:fill="C6EFCE"/>
            <w:noWrap/>
          </w:tcPr>
          <w:p w14:paraId="46D7EF0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16854_Arukad linnad</w:t>
            </w:r>
          </w:p>
        </w:tc>
        <w:tc>
          <w:tcPr>
            <w:tcW w:w="966" w:type="dxa"/>
            <w:tcBorders>
              <w:top w:val="single" w:sz="4" w:space="0" w:color="auto"/>
              <w:left w:val="nil"/>
              <w:bottom w:val="single" w:sz="4" w:space="0" w:color="auto"/>
              <w:right w:val="single" w:sz="4" w:space="0" w:color="auto"/>
            </w:tcBorders>
            <w:shd w:val="clear" w:color="auto" w:fill="C6EFCE"/>
            <w:noWrap/>
          </w:tcPr>
          <w:p w14:paraId="64F9590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Siht</w:t>
            </w:r>
          </w:p>
        </w:tc>
        <w:tc>
          <w:tcPr>
            <w:tcW w:w="1976" w:type="dxa"/>
            <w:tcBorders>
              <w:top w:val="single" w:sz="4" w:space="0" w:color="auto"/>
              <w:left w:val="nil"/>
              <w:bottom w:val="single" w:sz="4" w:space="0" w:color="auto"/>
              <w:right w:val="single" w:sz="4" w:space="0" w:color="auto"/>
            </w:tcBorders>
            <w:shd w:val="clear" w:color="auto" w:fill="C6EFCE"/>
            <w:noWrap/>
          </w:tcPr>
          <w:p w14:paraId="4CD91C9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Arukate linnade projektide täielik rakendamine</w:t>
            </w:r>
          </w:p>
        </w:tc>
        <w:tc>
          <w:tcPr>
            <w:tcW w:w="1954" w:type="dxa"/>
            <w:tcBorders>
              <w:top w:val="single" w:sz="4" w:space="0" w:color="auto"/>
              <w:left w:val="nil"/>
              <w:bottom w:val="single" w:sz="4" w:space="0" w:color="auto"/>
              <w:right w:val="single" w:sz="4" w:space="0" w:color="auto"/>
            </w:tcBorders>
            <w:shd w:val="clear" w:color="auto" w:fill="C6EFCE"/>
            <w:noWrap/>
          </w:tcPr>
          <w:p w14:paraId="402A856D"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20" w:type="dxa"/>
            <w:tcBorders>
              <w:top w:val="single" w:sz="4" w:space="0" w:color="auto"/>
              <w:left w:val="nil"/>
              <w:bottom w:val="single" w:sz="4" w:space="0" w:color="auto"/>
              <w:right w:val="single" w:sz="4" w:space="0" w:color="auto"/>
            </w:tcBorders>
            <w:shd w:val="clear" w:color="auto" w:fill="C6EFCE"/>
            <w:noWrap/>
          </w:tcPr>
          <w:p w14:paraId="3A4D85C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Nende linnade arv, kes rakendasid taristuid, platvorme ja süsteeme, et toetada nende muutumist arukateks linnadeks </w:t>
            </w:r>
          </w:p>
        </w:tc>
        <w:tc>
          <w:tcPr>
            <w:tcW w:w="966" w:type="dxa"/>
            <w:tcBorders>
              <w:top w:val="single" w:sz="4" w:space="0" w:color="auto"/>
              <w:left w:val="nil"/>
              <w:bottom w:val="single" w:sz="4" w:space="0" w:color="auto"/>
              <w:right w:val="single" w:sz="4" w:space="0" w:color="auto"/>
            </w:tcBorders>
            <w:shd w:val="clear" w:color="auto" w:fill="C6EFCE"/>
            <w:noWrap/>
          </w:tcPr>
          <w:p w14:paraId="4B11312D"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46" w:type="dxa"/>
            <w:tcBorders>
              <w:top w:val="single" w:sz="4" w:space="0" w:color="auto"/>
              <w:left w:val="nil"/>
              <w:bottom w:val="single" w:sz="4" w:space="0" w:color="auto"/>
              <w:right w:val="single" w:sz="4" w:space="0" w:color="auto"/>
            </w:tcBorders>
            <w:shd w:val="clear" w:color="auto" w:fill="C6EFCE"/>
            <w:noWrap/>
          </w:tcPr>
          <w:p w14:paraId="6D98730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11</w:t>
            </w:r>
          </w:p>
          <w:p w14:paraId="0C827C30"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709" w:type="dxa"/>
            <w:tcBorders>
              <w:top w:val="single" w:sz="4" w:space="0" w:color="auto"/>
              <w:left w:val="nil"/>
              <w:bottom w:val="single" w:sz="4" w:space="0" w:color="auto"/>
              <w:right w:val="single" w:sz="4" w:space="0" w:color="auto"/>
            </w:tcBorders>
            <w:shd w:val="clear" w:color="auto" w:fill="C6EFCE"/>
            <w:noWrap/>
          </w:tcPr>
          <w:p w14:paraId="04E2F56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11ED8AE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110" w:type="dxa"/>
            <w:tcBorders>
              <w:top w:val="single" w:sz="4" w:space="0" w:color="auto"/>
              <w:left w:val="nil"/>
              <w:bottom w:val="single" w:sz="4" w:space="0" w:color="auto"/>
              <w:right w:val="single" w:sz="4" w:space="0" w:color="auto"/>
            </w:tcBorders>
            <w:shd w:val="clear" w:color="auto" w:fill="C6EFCE"/>
            <w:noWrap/>
          </w:tcPr>
          <w:p w14:paraId="60F7480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Rakendada projekte, et hõlbustada 11 Kreeka linna üleminekut arukateks linnadeks, investeerides arukatesse säästvatesse linnadesse ja taristutesse &amp; süsteemidesse kestliku &amp; rohelisse linnatulevikusse. Selliste investeeringute hulka kuuluvad: a) avatud andmete kättesaadavus ja kasutamine, mis edendab uuenduslike lahenduste ja toodete turuarendust arukate linnade jaoks (nt asjade interneti rakendused, suurandmed ja pilv); b) olemasolevate püsi- ja traadita võrkude kasutamine; c) teadus- ja akadeemiliste ringkondade aktiveerimine täiendavate uuenduslike meetmete organiseerimiseks; d) platvormid, mis aitavad kaasa avatud linnaandmete aegridade loomisele; e) digitaalse kaksiku loomine", samuti muud kodanikekesksed lahendused ja teenused, mis on kaasatud algusest peale. </w:t>
            </w:r>
          </w:p>
        </w:tc>
      </w:tr>
      <w:tr w:rsidR="00AD3F7A" w:rsidRPr="003B132A" w14:paraId="50EC0C75" w14:textId="77777777" w:rsidTr="00AE6F03">
        <w:trPr>
          <w:trHeight w:val="313"/>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7C7B9DE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124</w:t>
            </w:r>
          </w:p>
        </w:tc>
        <w:tc>
          <w:tcPr>
            <w:tcW w:w="1953" w:type="dxa"/>
            <w:tcBorders>
              <w:top w:val="single" w:sz="4" w:space="0" w:color="auto"/>
              <w:left w:val="nil"/>
              <w:bottom w:val="single" w:sz="4" w:space="0" w:color="auto"/>
              <w:right w:val="single" w:sz="4" w:space="0" w:color="auto"/>
            </w:tcBorders>
            <w:shd w:val="clear" w:color="auto" w:fill="C6EFCE"/>
            <w:noWrap/>
          </w:tcPr>
          <w:p w14:paraId="2D648406" w14:textId="77777777" w:rsidR="00AD3F7A" w:rsidRPr="00E02B5D" w:rsidRDefault="00AD3F7A" w:rsidP="00D16F13">
            <w:pPr>
              <w:spacing w:after="0" w:line="240" w:lineRule="auto"/>
              <w:rPr>
                <w:rFonts w:eastAsia="Times New Roman"/>
                <w:noProof/>
                <w:color w:val="006100"/>
                <w:sz w:val="18"/>
                <w:szCs w:val="18"/>
                <w:highlight w:val="yellow"/>
              </w:rPr>
            </w:pPr>
            <w:r>
              <w:rPr>
                <w:noProof/>
                <w:color w:val="006100"/>
                <w:sz w:val="18"/>
              </w:rPr>
              <w:t>6-2.2. Moderniseerimine – 16928_ Uute tehnoloogiate kaasamine ja suundumused avaliku halduse kõrgetasemeliste teenuste suunas, tõhususe ja tulemuslikkuse suurendamine ning süsteemide kasutus-, uuendus- ja hoolduskulude vähendamine</w:t>
            </w:r>
          </w:p>
        </w:tc>
        <w:tc>
          <w:tcPr>
            <w:tcW w:w="966" w:type="dxa"/>
            <w:tcBorders>
              <w:top w:val="single" w:sz="4" w:space="0" w:color="auto"/>
              <w:left w:val="nil"/>
              <w:bottom w:val="single" w:sz="4" w:space="0" w:color="auto"/>
              <w:right w:val="single" w:sz="4" w:space="0" w:color="auto"/>
            </w:tcBorders>
            <w:shd w:val="clear" w:color="auto" w:fill="C6EFCE"/>
            <w:noWrap/>
          </w:tcPr>
          <w:p w14:paraId="0429B88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p w14:paraId="4F986DBA"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976" w:type="dxa"/>
            <w:tcBorders>
              <w:top w:val="single" w:sz="4" w:space="0" w:color="auto"/>
              <w:left w:val="nil"/>
              <w:bottom w:val="single" w:sz="4" w:space="0" w:color="auto"/>
              <w:right w:val="single" w:sz="4" w:space="0" w:color="auto"/>
            </w:tcBorders>
            <w:shd w:val="clear" w:color="auto" w:fill="C6EFCE"/>
            <w:noWrap/>
          </w:tcPr>
          <w:p w14:paraId="25B6673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Avaliku halduse uute tehnoloogiate lõpuleviimine</w:t>
            </w:r>
          </w:p>
        </w:tc>
        <w:tc>
          <w:tcPr>
            <w:tcW w:w="1954" w:type="dxa"/>
            <w:tcBorders>
              <w:top w:val="single" w:sz="4" w:space="0" w:color="auto"/>
              <w:left w:val="nil"/>
              <w:bottom w:val="single" w:sz="4" w:space="0" w:color="auto"/>
              <w:right w:val="single" w:sz="4" w:space="0" w:color="auto"/>
            </w:tcBorders>
            <w:shd w:val="clear" w:color="auto" w:fill="C6EFCE"/>
            <w:noWrap/>
          </w:tcPr>
          <w:p w14:paraId="61A373D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Digivaldkonna juhtimise ministeeriumi aruanne, milles tehakse kokkuvõte sellest, kuidas on kõrvaldatud avaliku halduse tehnoloogiliste lahenduste vajadused ja lüngad</w:t>
            </w:r>
          </w:p>
        </w:tc>
        <w:tc>
          <w:tcPr>
            <w:tcW w:w="1020" w:type="dxa"/>
            <w:tcBorders>
              <w:top w:val="single" w:sz="4" w:space="0" w:color="auto"/>
              <w:left w:val="nil"/>
              <w:bottom w:val="single" w:sz="4" w:space="0" w:color="auto"/>
              <w:right w:val="single" w:sz="4" w:space="0" w:color="auto"/>
            </w:tcBorders>
            <w:shd w:val="clear" w:color="auto" w:fill="C6EFCE"/>
            <w:noWrap/>
          </w:tcPr>
          <w:p w14:paraId="56A0C3EB"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7088F804"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46" w:type="dxa"/>
            <w:tcBorders>
              <w:top w:val="single" w:sz="4" w:space="0" w:color="auto"/>
              <w:left w:val="nil"/>
              <w:bottom w:val="single" w:sz="4" w:space="0" w:color="auto"/>
              <w:right w:val="single" w:sz="4" w:space="0" w:color="auto"/>
            </w:tcBorders>
            <w:shd w:val="clear" w:color="auto" w:fill="C6EFCE"/>
            <w:noWrap/>
          </w:tcPr>
          <w:p w14:paraId="519FB600"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14:paraId="7716044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22AEEF5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110" w:type="dxa"/>
            <w:tcBorders>
              <w:top w:val="single" w:sz="4" w:space="0" w:color="auto"/>
              <w:left w:val="nil"/>
              <w:bottom w:val="single" w:sz="4" w:space="0" w:color="auto"/>
              <w:right w:val="single" w:sz="4" w:space="0" w:color="auto"/>
            </w:tcBorders>
            <w:shd w:val="clear" w:color="auto" w:fill="C6EFCE"/>
            <w:noWrap/>
          </w:tcPr>
          <w:p w14:paraId="2C1F898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Rakendada uusi tehnoloogiaid ja vahendeid, et hõlbustada avaliku halduse üleminekut digitehnoloogiale ja selle ajakohastamist, vähendada tegevuskulusid ja suurendada pakutavate avalike teenuste väärtust. </w:t>
            </w:r>
          </w:p>
        </w:tc>
      </w:tr>
      <w:tr w:rsidR="00AD3F7A" w:rsidRPr="003B132A" w14:paraId="19A9935E" w14:textId="77777777" w:rsidTr="00AE6F03">
        <w:trPr>
          <w:trHeight w:val="313"/>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0AA6CD7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125</w:t>
            </w:r>
          </w:p>
        </w:tc>
        <w:tc>
          <w:tcPr>
            <w:tcW w:w="1953" w:type="dxa"/>
            <w:tcBorders>
              <w:top w:val="single" w:sz="4" w:space="0" w:color="auto"/>
              <w:left w:val="nil"/>
              <w:bottom w:val="single" w:sz="4" w:space="0" w:color="auto"/>
              <w:right w:val="single" w:sz="4" w:space="0" w:color="auto"/>
            </w:tcBorders>
            <w:shd w:val="clear" w:color="auto" w:fill="C6EFCE"/>
            <w:noWrap/>
          </w:tcPr>
          <w:p w14:paraId="3C25AD8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16955_Pilvandmetöötluse infrastruktuuri ja riiklike teadusuuringute ja tehnoloogia infrastruktuuride teenuste uuendamine GRNET</w:t>
            </w:r>
          </w:p>
        </w:tc>
        <w:tc>
          <w:tcPr>
            <w:tcW w:w="966" w:type="dxa"/>
            <w:tcBorders>
              <w:top w:val="single" w:sz="4" w:space="0" w:color="auto"/>
              <w:left w:val="nil"/>
              <w:bottom w:val="single" w:sz="4" w:space="0" w:color="auto"/>
              <w:right w:val="single" w:sz="4" w:space="0" w:color="auto"/>
            </w:tcBorders>
            <w:shd w:val="clear" w:color="auto" w:fill="C6EFCE"/>
            <w:noWrap/>
          </w:tcPr>
          <w:p w14:paraId="0C7E85E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976" w:type="dxa"/>
            <w:tcBorders>
              <w:top w:val="single" w:sz="4" w:space="0" w:color="auto"/>
              <w:left w:val="nil"/>
              <w:bottom w:val="single" w:sz="4" w:space="0" w:color="auto"/>
              <w:right w:val="single" w:sz="4" w:space="0" w:color="auto"/>
            </w:tcBorders>
            <w:shd w:val="clear" w:color="auto" w:fill="C6EFCE"/>
            <w:noWrap/>
          </w:tcPr>
          <w:p w14:paraId="6CE2FC4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GRNETi lõpuleviimine </w:t>
            </w:r>
          </w:p>
        </w:tc>
        <w:tc>
          <w:tcPr>
            <w:tcW w:w="1954" w:type="dxa"/>
            <w:tcBorders>
              <w:top w:val="single" w:sz="4" w:space="0" w:color="auto"/>
              <w:left w:val="nil"/>
              <w:bottom w:val="single" w:sz="4" w:space="0" w:color="auto"/>
              <w:right w:val="single" w:sz="4" w:space="0" w:color="auto"/>
            </w:tcBorders>
            <w:shd w:val="clear" w:color="auto" w:fill="C6EFCE"/>
            <w:noWrap/>
          </w:tcPr>
          <w:p w14:paraId="5AF50D1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halduse ministeeriumi lõpparuanne, millega viiakse lõpule riiklike teadus- ja tehnoloogiataristute (GRNET) pilvandmetöötluse taristu ja teenuste ajakohastamise kõigi allprojektide täielik rakendamine</w:t>
            </w:r>
          </w:p>
        </w:tc>
        <w:tc>
          <w:tcPr>
            <w:tcW w:w="1020" w:type="dxa"/>
            <w:tcBorders>
              <w:top w:val="single" w:sz="4" w:space="0" w:color="auto"/>
              <w:left w:val="nil"/>
              <w:bottom w:val="single" w:sz="4" w:space="0" w:color="auto"/>
              <w:right w:val="single" w:sz="4" w:space="0" w:color="auto"/>
            </w:tcBorders>
            <w:shd w:val="clear" w:color="auto" w:fill="C6EFCE"/>
            <w:noWrap/>
          </w:tcPr>
          <w:p w14:paraId="060397A7"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52DD9DE9"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46" w:type="dxa"/>
            <w:tcBorders>
              <w:top w:val="single" w:sz="4" w:space="0" w:color="auto"/>
              <w:left w:val="nil"/>
              <w:bottom w:val="single" w:sz="4" w:space="0" w:color="auto"/>
              <w:right w:val="single" w:sz="4" w:space="0" w:color="auto"/>
            </w:tcBorders>
            <w:shd w:val="clear" w:color="auto" w:fill="C6EFCE"/>
            <w:noWrap/>
          </w:tcPr>
          <w:p w14:paraId="1AFFCEFC"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14:paraId="62B45D2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3C65B50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110" w:type="dxa"/>
            <w:tcBorders>
              <w:top w:val="single" w:sz="4" w:space="0" w:color="auto"/>
              <w:left w:val="nil"/>
              <w:bottom w:val="single" w:sz="4" w:space="0" w:color="auto"/>
              <w:right w:val="single" w:sz="4" w:space="0" w:color="auto"/>
            </w:tcBorders>
            <w:shd w:val="clear" w:color="auto" w:fill="C6EFCE"/>
            <w:noWrap/>
          </w:tcPr>
          <w:p w14:paraId="24DF631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Pilvandmetöötluse infrastruktuuri ning riiklike teadusuuringute ja tehnoloogia infrastruktuuride (GRNET) teenuste ajakohastamise lõpuleviimine.</w:t>
            </w:r>
          </w:p>
          <w:p w14:paraId="28E8C850" w14:textId="77777777" w:rsidR="00AD3F7A" w:rsidRPr="00AD4052" w:rsidRDefault="00AD3F7A" w:rsidP="00D16F13">
            <w:pPr>
              <w:spacing w:after="0" w:line="240" w:lineRule="auto"/>
              <w:rPr>
                <w:rFonts w:eastAsia="Times New Roman" w:cs="Calibri"/>
                <w:noProof/>
                <w:color w:val="006100"/>
                <w:sz w:val="18"/>
                <w:szCs w:val="18"/>
                <w:lang w:eastAsia="en-GB"/>
              </w:rPr>
            </w:pPr>
          </w:p>
          <w:p w14:paraId="05597AE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Superarvuti tarnimine/olemasoleva riikliku süsteemi osa asendamine</w:t>
            </w:r>
          </w:p>
          <w:p w14:paraId="54CDDC7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Andmekeskuse ajakohastamine/muutmine uue superarvuti toetamiseks</w:t>
            </w:r>
          </w:p>
          <w:p w14:paraId="788ECF0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Tarkvara installeerimine, konfigureerimine, migratsioon, katseline käitamine, riistvara jõudluse kontrollimine ja hindamine.</w:t>
            </w:r>
          </w:p>
        </w:tc>
      </w:tr>
      <w:tr w:rsidR="00AD3F7A" w:rsidRPr="003B132A" w14:paraId="14B08CDF" w14:textId="77777777" w:rsidTr="00AE6F03">
        <w:trPr>
          <w:trHeight w:val="313"/>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198743C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127</w:t>
            </w:r>
          </w:p>
        </w:tc>
        <w:tc>
          <w:tcPr>
            <w:tcW w:w="1953" w:type="dxa"/>
            <w:tcBorders>
              <w:top w:val="single" w:sz="4" w:space="0" w:color="auto"/>
              <w:left w:val="nil"/>
              <w:bottom w:val="single" w:sz="4" w:space="0" w:color="auto"/>
              <w:right w:val="single" w:sz="4" w:space="0" w:color="auto"/>
            </w:tcBorders>
            <w:shd w:val="clear" w:color="auto" w:fill="C6EFCE"/>
            <w:noWrap/>
          </w:tcPr>
          <w:p w14:paraId="75411AB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16956_Syzefksis II laiendamine</w:t>
            </w:r>
          </w:p>
        </w:tc>
        <w:tc>
          <w:tcPr>
            <w:tcW w:w="966" w:type="dxa"/>
            <w:tcBorders>
              <w:top w:val="single" w:sz="4" w:space="0" w:color="auto"/>
              <w:left w:val="nil"/>
              <w:bottom w:val="single" w:sz="4" w:space="0" w:color="auto"/>
              <w:right w:val="single" w:sz="4" w:space="0" w:color="auto"/>
            </w:tcBorders>
            <w:shd w:val="clear" w:color="auto" w:fill="C6EFCE"/>
            <w:noWrap/>
          </w:tcPr>
          <w:p w14:paraId="5DA9BE8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976" w:type="dxa"/>
            <w:tcBorders>
              <w:top w:val="single" w:sz="4" w:space="0" w:color="auto"/>
              <w:left w:val="nil"/>
              <w:bottom w:val="single" w:sz="4" w:space="0" w:color="auto"/>
              <w:right w:val="single" w:sz="4" w:space="0" w:color="auto"/>
            </w:tcBorders>
            <w:shd w:val="clear" w:color="auto" w:fill="C6EFCE"/>
            <w:noWrap/>
          </w:tcPr>
          <w:p w14:paraId="53FE62B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Programmi „Syzefksis II“ lõpuleviimine</w:t>
            </w:r>
          </w:p>
        </w:tc>
        <w:tc>
          <w:tcPr>
            <w:tcW w:w="1954" w:type="dxa"/>
            <w:tcBorders>
              <w:top w:val="single" w:sz="4" w:space="0" w:color="auto"/>
              <w:left w:val="nil"/>
              <w:bottom w:val="single" w:sz="4" w:space="0" w:color="auto"/>
              <w:right w:val="single" w:sz="4" w:space="0" w:color="auto"/>
            </w:tcBorders>
            <w:shd w:val="clear" w:color="auto" w:fill="C6EFCE"/>
            <w:noWrap/>
          </w:tcPr>
          <w:p w14:paraId="611D9FA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Digitaalse halduse ministeeriumi kokkuvõtlik dokument, mis tõendab uue taristu rakendamist, avaliku sektori võrgu üksuste registrit, turbehaldussüsteemi, uuringut, järelevalvemehhanismi, seadmete tarnimist Syzefksis II laiendamise raames</w:t>
            </w:r>
          </w:p>
        </w:tc>
        <w:tc>
          <w:tcPr>
            <w:tcW w:w="1020" w:type="dxa"/>
            <w:tcBorders>
              <w:top w:val="single" w:sz="4" w:space="0" w:color="auto"/>
              <w:left w:val="nil"/>
              <w:bottom w:val="single" w:sz="4" w:space="0" w:color="auto"/>
              <w:right w:val="single" w:sz="4" w:space="0" w:color="auto"/>
            </w:tcBorders>
            <w:shd w:val="clear" w:color="auto" w:fill="C6EFCE"/>
            <w:noWrap/>
          </w:tcPr>
          <w:p w14:paraId="4882CB12"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5CB53F9D"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46" w:type="dxa"/>
            <w:tcBorders>
              <w:top w:val="single" w:sz="4" w:space="0" w:color="auto"/>
              <w:left w:val="nil"/>
              <w:bottom w:val="single" w:sz="4" w:space="0" w:color="auto"/>
              <w:right w:val="single" w:sz="4" w:space="0" w:color="auto"/>
            </w:tcBorders>
            <w:shd w:val="clear" w:color="auto" w:fill="C6EFCE"/>
            <w:noWrap/>
          </w:tcPr>
          <w:p w14:paraId="30564E37"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14:paraId="7A03683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6FC14CA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110" w:type="dxa"/>
            <w:tcBorders>
              <w:top w:val="single" w:sz="4" w:space="0" w:color="auto"/>
              <w:left w:val="nil"/>
              <w:bottom w:val="single" w:sz="4" w:space="0" w:color="auto"/>
              <w:right w:val="single" w:sz="4" w:space="0" w:color="auto"/>
            </w:tcBorders>
            <w:shd w:val="clear" w:color="auto" w:fill="C6EFCE"/>
            <w:noWrap/>
          </w:tcPr>
          <w:p w14:paraId="65A6CB0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Syzefksis II laiendamise lõpuleviimine. </w:t>
            </w:r>
          </w:p>
          <w:p w14:paraId="4AC7D171" w14:textId="77777777" w:rsidR="00AD3F7A" w:rsidRPr="00AD4052" w:rsidRDefault="00AD3F7A" w:rsidP="00D16F13">
            <w:pPr>
              <w:spacing w:after="0" w:line="240" w:lineRule="auto"/>
              <w:rPr>
                <w:rFonts w:eastAsia="Times New Roman" w:cs="Calibri"/>
                <w:noProof/>
                <w:color w:val="006100"/>
                <w:sz w:val="18"/>
                <w:szCs w:val="18"/>
                <w:lang w:eastAsia="en-GB"/>
              </w:rPr>
            </w:pPr>
          </w:p>
          <w:p w14:paraId="6EBAA63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Rakenduskavva on lisatud järgmised allprojektid:</w:t>
            </w:r>
          </w:p>
          <w:p w14:paraId="0987F88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 Avaliku sektori võrkude vaheliste ühenduste ajakohastamine </w:t>
            </w:r>
          </w:p>
          <w:p w14:paraId="40563DD1"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 Üksuste teenuste ühendamine/eraldamine/ümberpaigutamine/ühinemine ja ajakohastamine </w:t>
            </w:r>
          </w:p>
          <w:p w14:paraId="478E4E8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 Avaliku sektori võrgustiku üksuste registri (Site Survey) toetamine/haldamine </w:t>
            </w:r>
          </w:p>
          <w:p w14:paraId="39681F9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Avaliku sektori võrgustiku reklaami- ja müügiedendusmeetmed (valmimine 2024. aasta kolmandaks kvartaliks)</w:t>
            </w:r>
          </w:p>
          <w:p w14:paraId="6A9179D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Avaliku sektori võrgu julgeolekuinspektor ja infoturbe haldamise süsteem (SIS)</w:t>
            </w:r>
          </w:p>
          <w:p w14:paraId="69FC029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 Järelevalve, kvaliteedikontroll, rakendamise toetamine ja abistamine avaliku sektori võrgustiku struktureeritud kaabelsüsteemide lõplikul heakskiitmisel </w:t>
            </w:r>
          </w:p>
          <w:p w14:paraId="03FC8B1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 SYZEFXIS II asukohauuringu και kasutuselevõtuetapi toetamine ja seire. </w:t>
            </w:r>
          </w:p>
          <w:p w14:paraId="0A70AD3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 Seadmete tarnimine elektrienergia katkestatud tarnimiseks valitud avaliku sektori üksustes – avaliku sektori võrgustik. </w:t>
            </w:r>
          </w:p>
          <w:p w14:paraId="1FB2429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 Järgmise põlvkonna avaliku sektori võrgukujundusteenused (PSN next Gen) – Panhellenic School Network’i (SchoolNet) infrastruktuuri ajakohastamine. </w:t>
            </w:r>
          </w:p>
        </w:tc>
      </w:tr>
      <w:tr w:rsidR="00AD3F7A" w:rsidRPr="003B132A" w14:paraId="1046766E" w14:textId="77777777" w:rsidTr="00AE6F03">
        <w:trPr>
          <w:trHeight w:val="313"/>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5418F27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128</w:t>
            </w:r>
          </w:p>
        </w:tc>
        <w:tc>
          <w:tcPr>
            <w:tcW w:w="1953" w:type="dxa"/>
            <w:tcBorders>
              <w:top w:val="single" w:sz="4" w:space="0" w:color="auto"/>
              <w:left w:val="nil"/>
              <w:bottom w:val="single" w:sz="4" w:space="0" w:color="auto"/>
              <w:right w:val="single" w:sz="4" w:space="0" w:color="auto"/>
            </w:tcBorders>
            <w:shd w:val="clear" w:color="auto" w:fill="C6EFCE"/>
            <w:noWrap/>
          </w:tcPr>
          <w:p w14:paraId="5C1ACCE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Ajakohastamine – 16827_Andmehaldusstrateegia &amp; avaliku sektori poliitika</w:t>
            </w:r>
          </w:p>
        </w:tc>
        <w:tc>
          <w:tcPr>
            <w:tcW w:w="966" w:type="dxa"/>
            <w:tcBorders>
              <w:top w:val="single" w:sz="4" w:space="0" w:color="auto"/>
              <w:left w:val="nil"/>
              <w:bottom w:val="single" w:sz="4" w:space="0" w:color="auto"/>
              <w:right w:val="single" w:sz="4" w:space="0" w:color="auto"/>
            </w:tcBorders>
            <w:shd w:val="clear" w:color="auto" w:fill="C6EFCE"/>
            <w:noWrap/>
          </w:tcPr>
          <w:p w14:paraId="0B343FB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976" w:type="dxa"/>
            <w:tcBorders>
              <w:top w:val="single" w:sz="4" w:space="0" w:color="auto"/>
              <w:left w:val="nil"/>
              <w:bottom w:val="single" w:sz="4" w:space="0" w:color="auto"/>
              <w:right w:val="single" w:sz="4" w:space="0" w:color="auto"/>
            </w:tcBorders>
            <w:shd w:val="clear" w:color="auto" w:fill="C6EFCE"/>
            <w:noWrap/>
          </w:tcPr>
          <w:p w14:paraId="6E7D425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Andmehaldusstrateegia lõpuleviimine</w:t>
            </w:r>
          </w:p>
        </w:tc>
        <w:tc>
          <w:tcPr>
            <w:tcW w:w="1954" w:type="dxa"/>
            <w:tcBorders>
              <w:top w:val="single" w:sz="4" w:space="0" w:color="auto"/>
              <w:left w:val="nil"/>
              <w:bottom w:val="single" w:sz="4" w:space="0" w:color="auto"/>
              <w:right w:val="single" w:sz="4" w:space="0" w:color="auto"/>
            </w:tcBorders>
            <w:shd w:val="clear" w:color="auto" w:fill="C6EFCE"/>
            <w:noWrap/>
          </w:tcPr>
          <w:p w14:paraId="5667154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Digitaalse juhtimise ministeeriumi projekti lõpparuanne, milles tehakse kokkuvõte sellest, kuidas avaliku sektori andmehalduse strateegia ja poliitika abil on saavutatud valitsuse pilveandmete haldamise strateegia ning avatud ja taaskasutatavate andmete ökosüsteemi väljatöötamine avalikus ja erasektoris. </w:t>
            </w:r>
          </w:p>
        </w:tc>
        <w:tc>
          <w:tcPr>
            <w:tcW w:w="1020" w:type="dxa"/>
            <w:tcBorders>
              <w:top w:val="single" w:sz="4" w:space="0" w:color="auto"/>
              <w:left w:val="nil"/>
              <w:bottom w:val="single" w:sz="4" w:space="0" w:color="auto"/>
              <w:right w:val="single" w:sz="4" w:space="0" w:color="auto"/>
            </w:tcBorders>
            <w:shd w:val="clear" w:color="auto" w:fill="C6EFCE"/>
            <w:noWrap/>
          </w:tcPr>
          <w:p w14:paraId="4BA7AFBD" w14:textId="77777777" w:rsidR="00AD3F7A" w:rsidRPr="00AD4052" w:rsidRDefault="00AD3F7A" w:rsidP="00D16F13">
            <w:pPr>
              <w:spacing w:after="0" w:line="240" w:lineRule="auto"/>
              <w:rPr>
                <w:rFonts w:eastAsia="Times New Roman" w:cs="Calibri"/>
                <w:noProof/>
                <w:color w:val="006100"/>
                <w:sz w:val="18"/>
                <w:szCs w:val="18"/>
                <w:lang w:eastAsia="en-GB"/>
              </w:rPr>
            </w:pPr>
          </w:p>
          <w:p w14:paraId="7B0DBDEC"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593C05E3"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46" w:type="dxa"/>
            <w:tcBorders>
              <w:top w:val="single" w:sz="4" w:space="0" w:color="auto"/>
              <w:left w:val="nil"/>
              <w:bottom w:val="single" w:sz="4" w:space="0" w:color="auto"/>
              <w:right w:val="single" w:sz="4" w:space="0" w:color="auto"/>
            </w:tcBorders>
            <w:shd w:val="clear" w:color="auto" w:fill="C6EFCE"/>
            <w:noWrap/>
          </w:tcPr>
          <w:p w14:paraId="6EBAB8BE"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14:paraId="0C4E44B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31AEE55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110" w:type="dxa"/>
            <w:tcBorders>
              <w:top w:val="single" w:sz="4" w:space="0" w:color="auto"/>
              <w:left w:val="nil"/>
              <w:bottom w:val="single" w:sz="4" w:space="0" w:color="auto"/>
              <w:right w:val="single" w:sz="4" w:space="0" w:color="auto"/>
            </w:tcBorders>
            <w:shd w:val="clear" w:color="auto" w:fill="C6EFCE"/>
            <w:noWrap/>
          </w:tcPr>
          <w:p w14:paraId="1DA111AD"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Avaliku sektori andmehaldusstrateegia ja -poliitika projekti lõpuleviimine. </w:t>
            </w:r>
          </w:p>
          <w:p w14:paraId="472FCFDF"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 peab olema saavutanud järgmised tulemused: valitsuse pilveandmete haldamise strateegia ja poliitika väljatöötamine ning b) raamistiku, infrastruktuuri, suutlikkuse ja suutlikkuse loomine avalike andmete haldamiseks, avatud ja taaskasutatavate andmete poliitika ning asjakohaste teenuste osutamine avalikule ja erasektorile.</w:t>
            </w:r>
          </w:p>
        </w:tc>
      </w:tr>
      <w:tr w:rsidR="00AD3F7A" w:rsidRPr="003B132A" w14:paraId="0F7F64AA" w14:textId="77777777" w:rsidTr="00AE6F03">
        <w:trPr>
          <w:trHeight w:val="313"/>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7A3A1A5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129</w:t>
            </w:r>
          </w:p>
        </w:tc>
        <w:tc>
          <w:tcPr>
            <w:tcW w:w="1953" w:type="dxa"/>
            <w:tcBorders>
              <w:top w:val="single" w:sz="4" w:space="0" w:color="auto"/>
              <w:left w:val="nil"/>
              <w:bottom w:val="single" w:sz="4" w:space="0" w:color="auto"/>
              <w:right w:val="single" w:sz="4" w:space="0" w:color="auto"/>
            </w:tcBorders>
            <w:shd w:val="clear" w:color="auto" w:fill="C6EFCE"/>
            <w:noWrap/>
          </w:tcPr>
          <w:p w14:paraId="2210BD1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6-2.2. Moderniseerimine – 16842_Central BI – Data Analytics</w:t>
            </w:r>
          </w:p>
        </w:tc>
        <w:tc>
          <w:tcPr>
            <w:tcW w:w="966" w:type="dxa"/>
            <w:tcBorders>
              <w:top w:val="single" w:sz="4" w:space="0" w:color="auto"/>
              <w:left w:val="nil"/>
              <w:bottom w:val="single" w:sz="4" w:space="0" w:color="auto"/>
              <w:right w:val="single" w:sz="4" w:space="0" w:color="auto"/>
            </w:tcBorders>
            <w:shd w:val="clear" w:color="auto" w:fill="C6EFCE"/>
            <w:noWrap/>
          </w:tcPr>
          <w:p w14:paraId="7733EF2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976" w:type="dxa"/>
            <w:tcBorders>
              <w:top w:val="single" w:sz="4" w:space="0" w:color="auto"/>
              <w:left w:val="nil"/>
              <w:bottom w:val="single" w:sz="4" w:space="0" w:color="auto"/>
              <w:right w:val="single" w:sz="4" w:space="0" w:color="auto"/>
            </w:tcBorders>
            <w:shd w:val="clear" w:color="auto" w:fill="C6EFCE"/>
            <w:noWrap/>
          </w:tcPr>
          <w:p w14:paraId="1E6AA16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Keskse BI lõpuleviimine</w:t>
            </w:r>
          </w:p>
        </w:tc>
        <w:tc>
          <w:tcPr>
            <w:tcW w:w="1954" w:type="dxa"/>
            <w:tcBorders>
              <w:top w:val="single" w:sz="4" w:space="0" w:color="auto"/>
              <w:left w:val="nil"/>
              <w:bottom w:val="single" w:sz="4" w:space="0" w:color="auto"/>
              <w:right w:val="single" w:sz="4" w:space="0" w:color="auto"/>
            </w:tcBorders>
            <w:shd w:val="clear" w:color="auto" w:fill="C6EFCE"/>
            <w:noWrap/>
          </w:tcPr>
          <w:p w14:paraId="7BBEDE8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 Digitaalse juhtimise ministeeriumi projektiaruanne, milles kirjeldatakse, kuidas keskse ehitusteabe projektiga on loodud keskne äriteabe ja andmeanalüüsi platvorm ning kuidas avalikus halduses seda kasutatakse. </w:t>
            </w:r>
          </w:p>
        </w:tc>
        <w:tc>
          <w:tcPr>
            <w:tcW w:w="1020" w:type="dxa"/>
            <w:tcBorders>
              <w:top w:val="single" w:sz="4" w:space="0" w:color="auto"/>
              <w:left w:val="nil"/>
              <w:bottom w:val="single" w:sz="4" w:space="0" w:color="auto"/>
              <w:right w:val="single" w:sz="4" w:space="0" w:color="auto"/>
            </w:tcBorders>
            <w:shd w:val="clear" w:color="auto" w:fill="C6EFCE"/>
            <w:noWrap/>
          </w:tcPr>
          <w:p w14:paraId="646BF9BF"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1D58F56C"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46" w:type="dxa"/>
            <w:tcBorders>
              <w:top w:val="single" w:sz="4" w:space="0" w:color="auto"/>
              <w:left w:val="nil"/>
              <w:bottom w:val="single" w:sz="4" w:space="0" w:color="auto"/>
              <w:right w:val="single" w:sz="4" w:space="0" w:color="auto"/>
            </w:tcBorders>
            <w:shd w:val="clear" w:color="auto" w:fill="C6EFCE"/>
            <w:noWrap/>
          </w:tcPr>
          <w:p w14:paraId="78CBEC53"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14:paraId="42361FE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31734646"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4110" w:type="dxa"/>
            <w:tcBorders>
              <w:top w:val="single" w:sz="4" w:space="0" w:color="auto"/>
              <w:left w:val="nil"/>
              <w:bottom w:val="single" w:sz="4" w:space="0" w:color="auto"/>
              <w:right w:val="single" w:sz="4" w:space="0" w:color="auto"/>
            </w:tcBorders>
            <w:shd w:val="clear" w:color="auto" w:fill="C6EFCE"/>
            <w:noWrap/>
          </w:tcPr>
          <w:p w14:paraId="2E5BC55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Järgmise projekti lõpuleviimine: Central BI – Data Analytics.</w:t>
            </w:r>
          </w:p>
          <w:p w14:paraId="11AE999D" w14:textId="77777777" w:rsidR="00AD3F7A" w:rsidRPr="00AD4052" w:rsidRDefault="00AD3F7A" w:rsidP="00D16F13">
            <w:pPr>
              <w:spacing w:after="0" w:line="240" w:lineRule="auto"/>
              <w:rPr>
                <w:rFonts w:eastAsia="Times New Roman" w:cs="Calibri"/>
                <w:noProof/>
                <w:color w:val="006100"/>
                <w:sz w:val="18"/>
                <w:szCs w:val="18"/>
                <w:lang w:eastAsia="en-GB"/>
              </w:rPr>
            </w:pPr>
          </w:p>
          <w:p w14:paraId="7247CAF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Ühtse riikliku tulemustabeli rakendamine ja selle tulemuslikkuse hindamine.</w:t>
            </w:r>
          </w:p>
          <w:p w14:paraId="47414E2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Projekt peab olema saavutanud järgmised tulemused:</w:t>
            </w:r>
          </w:p>
          <w:p w14:paraId="2F5FF67A"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keskse ettevõtlusteabe – andmeanalüüsi platvormi rakendamine, mis võimaldab haldusasutustel saada, integreerida ja tõlgendada mis tahes allikatest pärit andmeid ning kasutada neid oma tegevust ja töövooge mõjutava teabe analüüsimiseks ning strateegia ja otsuste tegemise hõlbustamiseks.</w:t>
            </w:r>
          </w:p>
        </w:tc>
      </w:tr>
    </w:tbl>
    <w:p w14:paraId="25458608" w14:textId="77777777" w:rsidR="00AD3F7A" w:rsidRPr="00AD4052" w:rsidRDefault="00AD3F7A" w:rsidP="00645BC7">
      <w:pPr>
        <w:spacing w:before="120" w:after="120" w:line="240" w:lineRule="auto"/>
        <w:ind w:left="709"/>
        <w:rPr>
          <w:rFonts w:ascii="Times New Roman" w:hAnsi="Times New Roman" w:cs="Times New Roman"/>
          <w:noProof/>
          <w:sz w:val="24"/>
        </w:rPr>
        <w:sectPr w:rsidR="00AD3F7A" w:rsidRPr="00AD4052" w:rsidSect="00271D33">
          <w:headerReference w:type="even" r:id="rId152"/>
          <w:headerReference w:type="default" r:id="rId153"/>
          <w:footerReference w:type="even" r:id="rId154"/>
          <w:footerReference w:type="default" r:id="rId155"/>
          <w:headerReference w:type="first" r:id="rId156"/>
          <w:footerReference w:type="first" r:id="rId157"/>
          <w:pgSz w:w="16839" w:h="11907" w:orient="landscape"/>
          <w:pgMar w:top="720" w:right="720" w:bottom="720" w:left="720" w:header="709" w:footer="709" w:gutter="0"/>
          <w:cols w:space="720"/>
          <w:docGrid w:linePitch="360"/>
        </w:sectPr>
      </w:pPr>
    </w:p>
    <w:p w14:paraId="7733A430" w14:textId="77777777" w:rsidR="00AD3F7A" w:rsidRPr="00E02B5D" w:rsidRDefault="00AD3F7A"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G. KOMPONENT 2.3. ETTEVÕTLUSE DIGITEERIMINE</w:t>
      </w:r>
    </w:p>
    <w:p w14:paraId="132EC9FD"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See Kreeka majanduse elavdamise ja vastupanuvõime komponent hõlmab kapitali andmist Kreeka väikestele ja keskmise suurusega ettevõtjatele, et rahastada investeeringuid digitehnoloogiasse ja nendega seotud teenuste ostmist. Selle eesmärk on tegeleda nende praeguse madala digitaalse küpsuse tasemega, sealhulgas madalate digioskuste tõttu, edendades samal ajal tootlikkust ja innovaatiliste ettevõtete arengut. Samal ajal loodetakse, et see aitab sellistel ettevõtetel kohaneda uute väljakutsetega ja kasutada ära tekkivaid ärisuundumusi. Eelkõige nähakse komponendiga ette ühtse digitaalse turu loomine, millele on juurdepääs nii kõnealuste toodete tarnijatel kui ka teenuste osutajatel. Selle komponendi peamised sihtmärgid on elektrooniliste maksete ja müügi kasutamise edendamine, kassaaparaatide ja müügikohtade ökosüsteemi ajakohastamine ning tööstuslike andmeplatvormide loomine. Lisaks pakub see komponent maksusoodustusi, mis aitavad luua digitaalse ettevõtluse ökosüsteemi, mis soodustab väikeste ja keskmise suurusega ettevõtjate üleminekut digitehnoloogiale. Samuti kavandatakse väikeste ja keskmise suurusega ettevõtjate jaoks keskset toetusmehhanismi, mis hõlbustab koolitus- ja teadlikkuse tõstmise programmide pakkumist, et nad saaksid digitaalse turu kaudu pakutavaid vahendeid ja teenuseid maksimaalselt ära kasutada. </w:t>
      </w:r>
    </w:p>
    <w:p w14:paraId="0507AED4" w14:textId="77777777" w:rsidR="00AD3F7A" w:rsidRPr="00E02B5D" w:rsidRDefault="00AD3F7A"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Meetmed peaksid reageerima digiüleminekule ja sellest tulenevatele väljakutsetele, kuna need aitavad eeldatavasti kaasa digitaaltehnoloogia kasutuselevõtule ning väikeste ja keskmise suurusega ettevõtjate oskuste täiendamisele Kreekas. Lisaks peaksid meetmed soodustama arukat ja jätkusuutlikku majanduskasvu, stimuleerides veelgi erainvesteeringuid, aidates seega järgida riigipõhist soovitust avaliku ja erasektori investeeringute kohta (riigipõhised soovitused 3/2020).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12CAAC2C" w14:textId="77777777" w:rsidR="00AD3F7A" w:rsidRPr="00E02B5D" w:rsidRDefault="00AD3F7A" w:rsidP="00645BC7">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G.1. </w:t>
      </w:r>
      <w:r>
        <w:rPr>
          <w:noProof/>
        </w:rPr>
        <w:tab/>
      </w:r>
      <w:r>
        <w:rPr>
          <w:rFonts w:ascii="Times New Roman" w:hAnsi="Times New Roman"/>
          <w:b/>
          <w:noProof/>
          <w:sz w:val="24"/>
          <w:u w:val="single"/>
        </w:rPr>
        <w:t>Tagastamatu rahalise toetusega seotud reformide ja investeeringute kirjeldus</w:t>
      </w:r>
    </w:p>
    <w:p w14:paraId="043BCD75"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Digitaalse ettevõtluse ökosüsteemi loomine ja maksusoodustuste kehtestamine VKEde digiülemineku hõlbustamiseks (meetme ID 16973)</w:t>
      </w:r>
    </w:p>
    <w:p w14:paraId="5DC6F856" w14:textId="77777777" w:rsidR="00486DC4" w:rsidRDefault="15B19A31" w:rsidP="00645BC7">
      <w:pPr>
        <w:spacing w:before="120" w:after="120" w:line="240" w:lineRule="auto"/>
        <w:jc w:val="both"/>
        <w:rPr>
          <w:rFonts w:ascii="Times New Roman" w:hAnsi="Times New Roman"/>
          <w:noProof/>
          <w:sz w:val="24"/>
          <w:szCs w:val="24"/>
        </w:rPr>
      </w:pPr>
      <w:r>
        <w:rPr>
          <w:rFonts w:ascii="Times New Roman" w:hAnsi="Times New Roman"/>
          <w:noProof/>
          <w:sz w:val="24"/>
        </w:rPr>
        <w:t>Reformi eesmärk on luua digitaalne ettevõtluskeskkond, mis edendab VKEde üleminekut digitehnoloogiale. Täpsemalt koosneb see järgmisest: a) luua digitaalne turg selliste kõrgetasemeliste digiteenuste ja -vahendite pakkumiseks ja ostmiseks, mis on kohandatud VKEde digiüleminekuks, ning suurendada ärijuhtide digitaalset teadlikkust, b) ergutada otseselt investeeringuid kaasaegsesse digitehnoloogiasse, kasutades maksusoodustusi materiaalse ja immateriaalse vara puhul, et muuta ärikeskkonda, ning c) ajakohastada kassaaparaatide ja müügipunktide ökosüsteemi. Tagamaks, et meede vastab tehnilistele suunistele põhimõtte „ei kahjusta oluliselt“ kohaldamise kohta (2021/C58/01), jäetakse maksusoodustuste saamise kriteeriumide hulgast välja järgmised tegevused:</w:t>
      </w:r>
      <w:r>
        <w:rPr>
          <w:rFonts w:ascii="Times New Roman" w:hAnsi="Times New Roman"/>
          <w:noProof/>
          <w:color w:val="FF0000"/>
          <w:sz w:val="24"/>
        </w:rPr>
        <w:t xml:space="preserve"> </w:t>
      </w:r>
      <w:r>
        <w:rPr>
          <w:rFonts w:ascii="Times New Roman" w:hAnsi="Times New Roman"/>
          <w:noProof/>
          <w:sz w:val="24"/>
        </w:rPr>
        <w:t>i) fossiilkütustega seotud tegevus, sealhulgas allkasutus tootmisahela järgmistes etappides</w:t>
      </w:r>
      <w:r w:rsidR="00AD3F7A" w:rsidRPr="008AECE0">
        <w:rPr>
          <w:rFonts w:ascii="Times New Roman" w:hAnsi="Times New Roman" w:cs="Times New Roman"/>
          <w:noProof/>
          <w:sz w:val="24"/>
          <w:szCs w:val="24"/>
          <w:vertAlign w:val="superscript"/>
          <w:lang w:val="en-GB"/>
        </w:rPr>
        <w:footnoteReference w:id="11"/>
      </w:r>
      <w:r>
        <w:rPr>
          <w:rFonts w:ascii="Times New Roman" w:hAnsi="Times New Roman"/>
          <w:noProof/>
          <w:sz w:val="24"/>
        </w:rPr>
        <w:t xml:space="preserve">; </w:t>
      </w:r>
    </w:p>
    <w:p w14:paraId="55C2418A" w14:textId="77777777" w:rsidR="00486DC4" w:rsidRDefault="00486DC4">
      <w:pPr>
        <w:rPr>
          <w:rFonts w:ascii="Times New Roman" w:hAnsi="Times New Roman"/>
          <w:noProof/>
          <w:sz w:val="24"/>
          <w:szCs w:val="24"/>
        </w:rPr>
      </w:pPr>
      <w:r>
        <w:rPr>
          <w:noProof/>
        </w:rPr>
        <w:br w:type="page"/>
      </w:r>
    </w:p>
    <w:p w14:paraId="0545C132" w14:textId="3531E245" w:rsidR="00AD3F7A" w:rsidRPr="00E02B5D" w:rsidRDefault="15B19A31" w:rsidP="00645BC7">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ii) ELi heitkogustega kauplemise süsteemi (HKS) raames toimuv tegevus, mille prognoositav kasvuhoonegaaside heide ei ole asjaomastest võrdlusalustest</w:t>
      </w:r>
      <w:r w:rsidR="00AD3F7A" w:rsidRPr="008AECE0">
        <w:rPr>
          <w:rFonts w:ascii="Times New Roman" w:hAnsi="Times New Roman" w:cs="Times New Roman"/>
          <w:noProof/>
          <w:sz w:val="24"/>
          <w:szCs w:val="24"/>
          <w:vertAlign w:val="superscript"/>
          <w:lang w:val="en-GB"/>
        </w:rPr>
        <w:footnoteReference w:id="12"/>
      </w:r>
      <w:r>
        <w:rPr>
          <w:rFonts w:ascii="Times New Roman" w:hAnsi="Times New Roman"/>
          <w:noProof/>
          <w:sz w:val="24"/>
        </w:rPr>
        <w:t xml:space="preserve"> madalam; iii) prügilate, jäätmepõletustehaste</w:t>
      </w:r>
      <w:r w:rsidR="00AD3F7A" w:rsidRPr="008AECE0">
        <w:rPr>
          <w:rFonts w:ascii="Times New Roman" w:hAnsi="Times New Roman" w:cs="Times New Roman"/>
          <w:noProof/>
          <w:sz w:val="24"/>
          <w:szCs w:val="24"/>
          <w:vertAlign w:val="superscript"/>
          <w:lang w:val="en-GB"/>
        </w:rPr>
        <w:footnoteReference w:id="13"/>
      </w:r>
      <w:r>
        <w:rPr>
          <w:rFonts w:ascii="Times New Roman" w:hAnsi="Times New Roman"/>
          <w:noProof/>
          <w:sz w:val="24"/>
        </w:rPr>
        <w:t xml:space="preserve"> ja mehhaanilis-bioloogilise töötlemise jaamadega</w:t>
      </w:r>
      <w:r w:rsidR="00AD3F7A" w:rsidRPr="008AECE0">
        <w:rPr>
          <w:rFonts w:ascii="Times New Roman" w:hAnsi="Times New Roman" w:cs="Times New Roman"/>
          <w:noProof/>
          <w:sz w:val="24"/>
          <w:szCs w:val="24"/>
          <w:vertAlign w:val="superscript"/>
          <w:lang w:val="en-GB"/>
        </w:rPr>
        <w:footnoteReference w:id="14"/>
      </w:r>
      <w:r>
        <w:rPr>
          <w:rFonts w:ascii="Times New Roman" w:hAnsi="Times New Roman"/>
          <w:noProof/>
          <w:sz w:val="24"/>
        </w:rPr>
        <w:t xml:space="preserve"> seotud tegevus; iv) tegevused, mille puhul jäätmete pikaajaline kõrvaldamine võib kahjustada keskkonda. Abikõlblikkuse kriteeriumides nõutakse lisaks, et valida võib ainult tegevusi, mis vastavad asjakohastele ELi ja riiklikele keskkonnaalastele õigusaktidele.</w:t>
      </w:r>
    </w:p>
    <w:p w14:paraId="46836F46"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Valiku-/kõlblikkuskriteeriumide eesmärk on ka stimuleerida investeeringuid digiüleminekusse, nimelt selliste toodete ja teenuste hankimisse, mis on seotud e-maksete, e-müügi ja e-arvete rakendustega, digitaalse reklaami vahenditega, kaugtöö süsteemidega, ärianalüüsiga, digioskuste täiendamisega, varu- ja avariitaasteteenustega, tehisintellektiga, asjade internetiga, kontaktivaba teenuse integreeritud lahendustega, küberturvalisuse süsteemidega, pilvetaristu ja -teenustega, tööstuslike andmeplatvormide mallide ja tarkvaraga, kassaaparaatide ja POSidega. Reformi rakendamine viiakse lõpule 30. juuni 2025.</w:t>
      </w:r>
    </w:p>
    <w:p w14:paraId="3B50BDAD"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VKEde digitaalne ümberkujundamine (meetme ID 16706)</w:t>
      </w:r>
    </w:p>
    <w:p w14:paraId="2389693F"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Investeeringud on seotud asjakohaste digitaalsete vahendite (toodete ja teenuste) väljatöötamise ja pakkumisega Kreeka VKEdele a) elektrooniliste maksete ja müügi, b) tööstusandmete platvormide ning c) kassaaparaatide ja müügikohtade ökosüsteemi uuendamise valdkonnas. See saavutatakse keskse toetusmehhanismi loomisega VKEde jaoks, mis hõlbustab koolitus- ja teadlikkuse tõstmise programmide pakkumist, et nad saaksid maksimaalselt ära kasutada digitaalse turu kaudu pakutavaid vahendeid ja teenuseid, mille lõppeesmärk on toetada Kreeka VKEde üleminekut digitehnoloogiale ning suurendada läbipaistvust ja tervet konkurentsi järgmise põlvkonna müügikohtade ja kassaaparaatide kaudu. Investeeringu rakendamine viiakse lõpule 30. juuniks 2025.</w:t>
      </w:r>
    </w:p>
    <w:p w14:paraId="2F64F0B3" w14:textId="77777777" w:rsidR="00486DC4" w:rsidRDefault="15B19A31" w:rsidP="00645BC7">
      <w:pPr>
        <w:spacing w:before="120" w:after="120" w:line="240" w:lineRule="auto"/>
        <w:jc w:val="both"/>
        <w:rPr>
          <w:rFonts w:ascii="Times New Roman" w:hAnsi="Times New Roman"/>
          <w:noProof/>
          <w:sz w:val="24"/>
          <w:szCs w:val="24"/>
        </w:rPr>
      </w:pPr>
      <w:r>
        <w:rPr>
          <w:rFonts w:ascii="Times New Roman" w:hAnsi="Times New Roman"/>
          <w:noProof/>
          <w:sz w:val="24"/>
        </w:rPr>
        <w:t>Tagamaks, et meede vastab tehnilistele suunistele põhimõtte „ei kahjusta oluliselt“ kohaldamise kohta (2021/C58/01), jäetakse projektikonkursi hankedokumentides esitatud abikõlblikkuse kriteeriumide hulgast välja järgmised tegevused:</w:t>
      </w:r>
      <w:r>
        <w:rPr>
          <w:rFonts w:ascii="Times New Roman" w:hAnsi="Times New Roman"/>
          <w:noProof/>
          <w:color w:val="FF0000"/>
          <w:sz w:val="24"/>
        </w:rPr>
        <w:t xml:space="preserve"> </w:t>
      </w:r>
      <w:r>
        <w:rPr>
          <w:rFonts w:ascii="Times New Roman" w:hAnsi="Times New Roman"/>
          <w:noProof/>
          <w:sz w:val="24"/>
        </w:rPr>
        <w:t>i) fossiilkütustega seotud tegevus, sealhulgas allkasutus tootmisahela järgmistes etappides</w:t>
      </w:r>
      <w:r w:rsidR="00AD3F7A" w:rsidRPr="008AECE0">
        <w:rPr>
          <w:rFonts w:ascii="Times New Roman" w:hAnsi="Times New Roman" w:cs="Times New Roman"/>
          <w:noProof/>
          <w:sz w:val="24"/>
          <w:szCs w:val="24"/>
          <w:vertAlign w:val="superscript"/>
          <w:lang w:val="en-GB"/>
        </w:rPr>
        <w:footnoteReference w:id="15"/>
      </w:r>
      <w:r>
        <w:rPr>
          <w:rFonts w:ascii="Times New Roman" w:hAnsi="Times New Roman"/>
          <w:noProof/>
          <w:sz w:val="24"/>
        </w:rPr>
        <w:t xml:space="preserve">; </w:t>
      </w:r>
    </w:p>
    <w:p w14:paraId="248DA4FB" w14:textId="77777777" w:rsidR="00486DC4" w:rsidRDefault="00486DC4">
      <w:pPr>
        <w:rPr>
          <w:rFonts w:ascii="Times New Roman" w:hAnsi="Times New Roman"/>
          <w:noProof/>
          <w:sz w:val="24"/>
          <w:szCs w:val="24"/>
        </w:rPr>
      </w:pPr>
      <w:r>
        <w:rPr>
          <w:noProof/>
        </w:rPr>
        <w:br w:type="page"/>
      </w:r>
    </w:p>
    <w:p w14:paraId="69974FBB" w14:textId="5098444E" w:rsidR="00AD3F7A" w:rsidRPr="00E02B5D" w:rsidRDefault="15B19A31" w:rsidP="00645BC7">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ii) ELi heitkogustega kauplemise süsteemi (HKS) raames toimuv tegevus, mille prognoositav kasvuhoonegaaside heide ei ole asjaomastest võrdlusalustest</w:t>
      </w:r>
      <w:r w:rsidR="00AD3F7A" w:rsidRPr="008AECE0">
        <w:rPr>
          <w:rFonts w:ascii="Times New Roman" w:hAnsi="Times New Roman" w:cs="Times New Roman"/>
          <w:noProof/>
          <w:sz w:val="24"/>
          <w:szCs w:val="24"/>
          <w:vertAlign w:val="superscript"/>
          <w:lang w:val="en-GB"/>
        </w:rPr>
        <w:footnoteReference w:id="16"/>
      </w:r>
      <w:r>
        <w:rPr>
          <w:rFonts w:ascii="Times New Roman" w:hAnsi="Times New Roman"/>
          <w:noProof/>
          <w:sz w:val="24"/>
        </w:rPr>
        <w:t xml:space="preserve"> madalam; iii) prügilate, jäätmepõletustehaste</w:t>
      </w:r>
      <w:r w:rsidR="00AD3F7A" w:rsidRPr="008AECE0">
        <w:rPr>
          <w:rFonts w:ascii="Times New Roman" w:hAnsi="Times New Roman" w:cs="Times New Roman"/>
          <w:noProof/>
          <w:sz w:val="24"/>
          <w:szCs w:val="24"/>
          <w:vertAlign w:val="superscript"/>
          <w:lang w:val="en-GB"/>
        </w:rPr>
        <w:footnoteReference w:id="17"/>
      </w:r>
      <w:r>
        <w:rPr>
          <w:rFonts w:ascii="Times New Roman" w:hAnsi="Times New Roman"/>
          <w:noProof/>
          <w:sz w:val="24"/>
        </w:rPr>
        <w:t xml:space="preserve"> ja mehhaanilis-bioloogilise töötlemise jaamadega</w:t>
      </w:r>
      <w:r w:rsidR="00AD3F7A" w:rsidRPr="008AECE0">
        <w:rPr>
          <w:rFonts w:ascii="Times New Roman" w:hAnsi="Times New Roman" w:cs="Times New Roman"/>
          <w:noProof/>
          <w:sz w:val="24"/>
          <w:szCs w:val="24"/>
          <w:vertAlign w:val="superscript"/>
          <w:lang w:val="en-GB"/>
        </w:rPr>
        <w:footnoteReference w:id="18"/>
      </w:r>
      <w:r>
        <w:rPr>
          <w:rFonts w:ascii="Times New Roman" w:hAnsi="Times New Roman"/>
          <w:noProof/>
          <w:sz w:val="24"/>
        </w:rPr>
        <w:t xml:space="preserve"> seotud tegevus; iv) tegevused, mille puhul jäätmete pikaajaline kõrvaldamine võib kahjustada keskkonda.</w:t>
      </w:r>
      <w:r w:rsidR="00AE6F03">
        <w:rPr>
          <w:rFonts w:ascii="Times New Roman" w:hAnsi="Times New Roman"/>
          <w:noProof/>
          <w:sz w:val="24"/>
        </w:rPr>
        <w:t xml:space="preserve"> </w:t>
      </w:r>
      <w:r>
        <w:rPr>
          <w:rFonts w:ascii="Times New Roman" w:hAnsi="Times New Roman"/>
          <w:noProof/>
          <w:sz w:val="24"/>
        </w:rPr>
        <w:t>Peale selle peab konkursitingimustes olema sätestatud, et valida võib ainult tegevusi, mis vastavad asjakohastele ELi ja riiklikele keskkonnaalastele õigusaktidele.</w:t>
      </w:r>
    </w:p>
    <w:p w14:paraId="190236EF" w14:textId="77777777" w:rsidR="00AD3F7A" w:rsidRPr="00E02B5D" w:rsidRDefault="00AD3F7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Valiku/rahastamiskõlblikkuse kriteeriumid on suunatud ka järgmistele tehnoloogiatele ja teenustele: e-maksed, e-müük ja e-arvete rakendused, digitaalse reklaami vahendid, kaugtöö süsteemid, ärianalüütika, digioskuste täiendamine, varundus- ja avariitaasteteenused, tehisintellekt, asjade internet, kontaktivaba teenuse integreeritud lahenduste pakkumine, küberturvalisuse süsteemid, pilvetaristud ja -teenused, tööstuslike andmeplatvormide mallid ja tarkvara, kassaaparaatide ja müügikohtade ökosüsteemide uuendamine. </w:t>
      </w:r>
    </w:p>
    <w:p w14:paraId="05022FF1" w14:textId="77777777" w:rsidR="00AD3F7A" w:rsidRPr="00AD4052" w:rsidRDefault="00AD3F7A" w:rsidP="00645BC7">
      <w:pPr>
        <w:spacing w:before="120" w:after="120" w:line="240" w:lineRule="auto"/>
        <w:ind w:left="709"/>
        <w:jc w:val="both"/>
        <w:rPr>
          <w:rFonts w:ascii="Times New Roman" w:hAnsi="Times New Roman" w:cs="Times New Roman"/>
          <w:noProof/>
          <w:sz w:val="24"/>
        </w:rPr>
      </w:pPr>
    </w:p>
    <w:p w14:paraId="72FD1456" w14:textId="77777777" w:rsidR="00AD3F7A" w:rsidRPr="00AD4052" w:rsidRDefault="00AD3F7A" w:rsidP="00645BC7">
      <w:pPr>
        <w:spacing w:before="120" w:after="120" w:line="240" w:lineRule="auto"/>
        <w:ind w:left="709"/>
        <w:jc w:val="both"/>
        <w:rPr>
          <w:rFonts w:ascii="Times New Roman" w:hAnsi="Times New Roman" w:cs="Times New Roman"/>
          <w:noProof/>
          <w:sz w:val="24"/>
        </w:rPr>
        <w:sectPr w:rsidR="00AD3F7A" w:rsidRPr="00AD4052" w:rsidSect="00271D33">
          <w:headerReference w:type="even" r:id="rId158"/>
          <w:headerReference w:type="default" r:id="rId159"/>
          <w:footerReference w:type="even" r:id="rId160"/>
          <w:footerReference w:type="default" r:id="rId161"/>
          <w:headerReference w:type="first" r:id="rId162"/>
          <w:footerReference w:type="first" r:id="rId163"/>
          <w:pgSz w:w="11907" w:h="16839"/>
          <w:pgMar w:top="1134" w:right="1418" w:bottom="1134" w:left="1418" w:header="709" w:footer="326" w:gutter="0"/>
          <w:cols w:space="720"/>
          <w:docGrid w:linePitch="360"/>
        </w:sectPr>
      </w:pPr>
    </w:p>
    <w:p w14:paraId="720210F7" w14:textId="77777777" w:rsidR="00AD3F7A" w:rsidRPr="00E02B5D" w:rsidRDefault="00AD3F7A" w:rsidP="00645BC7">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G.2. </w:t>
      </w:r>
      <w:r>
        <w:rPr>
          <w:noProof/>
        </w:rPr>
        <w:tab/>
      </w:r>
      <w:r>
        <w:rPr>
          <w:rFonts w:ascii="Times New Roman" w:hAnsi="Times New Roman"/>
          <w:b/>
          <w:noProof/>
          <w:sz w:val="24"/>
          <w:u w:val="single"/>
        </w:rPr>
        <w:t>Tagastamatu rahalise toetuse eesmärgid, sihid, näitajad ning seire ja rakendamise ajakava</w:t>
      </w:r>
    </w:p>
    <w:p w14:paraId="5451B8F5" w14:textId="77777777" w:rsidR="00AD3F7A" w:rsidRPr="00AD4052" w:rsidRDefault="00AD3F7A" w:rsidP="00645BC7">
      <w:pPr>
        <w:keepNext/>
        <w:keepLines/>
        <w:spacing w:before="40" w:after="0" w:line="240" w:lineRule="auto"/>
        <w:jc w:val="both"/>
        <w:outlineLvl w:val="4"/>
        <w:rPr>
          <w:rFonts w:ascii="Cambria" w:eastAsia="Times New Roman" w:hAnsi="Cambria"/>
          <w:noProof/>
          <w:color w:val="365F91"/>
          <w:sz w:val="24"/>
        </w:rPr>
      </w:pPr>
    </w:p>
    <w:p w14:paraId="5E317820" w14:textId="77777777" w:rsidR="00AD3F7A" w:rsidRDefault="00AD3F7A" w:rsidP="00645BC7">
      <w:pPr>
        <w:keepNext/>
        <w:keepLines/>
        <w:spacing w:before="40" w:after="0" w:line="240" w:lineRule="auto"/>
        <w:jc w:val="both"/>
        <w:outlineLvl w:val="4"/>
        <w:rPr>
          <w:rFonts w:ascii="Cambria" w:hAnsi="Cambria"/>
          <w:noProof/>
          <w:color w:val="365F91"/>
          <w:sz w:val="24"/>
        </w:rPr>
      </w:pPr>
      <w:r>
        <w:rPr>
          <w:rFonts w:ascii="Cambria" w:hAnsi="Cambria"/>
          <w:noProof/>
          <w:color w:val="365F91"/>
          <w:sz w:val="24"/>
        </w:rPr>
        <w:t>Suurimad investeeringud 4: VKEde digitaalne ümberkujundamine</w:t>
      </w:r>
    </w:p>
    <w:p w14:paraId="2ADA5DC2" w14:textId="77777777" w:rsidR="0052157A" w:rsidRPr="00E02B5D" w:rsidRDefault="0052157A" w:rsidP="00645BC7">
      <w:pPr>
        <w:keepNext/>
        <w:keepLines/>
        <w:spacing w:before="40" w:after="0" w:line="240" w:lineRule="auto"/>
        <w:jc w:val="both"/>
        <w:outlineLvl w:val="4"/>
        <w:rPr>
          <w:rFonts w:ascii="Cambria" w:eastAsia="Times New Roman" w:hAnsi="Cambria"/>
          <w:noProof/>
          <w:color w:val="365F91"/>
          <w:sz w:val="24"/>
          <w:lang w:val="en-GB"/>
        </w:rPr>
      </w:pPr>
    </w:p>
    <w:tbl>
      <w:tblPr>
        <w:tblW w:w="14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774"/>
        <w:gridCol w:w="982"/>
        <w:gridCol w:w="1387"/>
        <w:gridCol w:w="1897"/>
        <w:gridCol w:w="977"/>
        <w:gridCol w:w="966"/>
        <w:gridCol w:w="906"/>
        <w:gridCol w:w="1026"/>
        <w:gridCol w:w="750"/>
        <w:gridCol w:w="3622"/>
      </w:tblGrid>
      <w:tr w:rsidR="007B4D63" w:rsidRPr="003B132A" w14:paraId="199E5AF6" w14:textId="77777777" w:rsidTr="0052157A">
        <w:trPr>
          <w:trHeight w:val="695"/>
          <w:tblHeader/>
          <w:jc w:val="center"/>
        </w:trPr>
        <w:tc>
          <w:tcPr>
            <w:tcW w:w="1237" w:type="dxa"/>
            <w:vMerge w:val="restart"/>
            <w:shd w:val="clear" w:color="auto" w:fill="BDD7EE"/>
            <w:vAlign w:val="center"/>
            <w:hideMark/>
          </w:tcPr>
          <w:p w14:paraId="164BB82A"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774" w:type="dxa"/>
            <w:vMerge w:val="restart"/>
            <w:shd w:val="clear" w:color="auto" w:fill="BDD7EE"/>
            <w:vAlign w:val="center"/>
            <w:hideMark/>
          </w:tcPr>
          <w:p w14:paraId="71E4F12E"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82" w:type="dxa"/>
            <w:vMerge w:val="restart"/>
            <w:shd w:val="clear" w:color="auto" w:fill="BDD7EE"/>
            <w:vAlign w:val="center"/>
            <w:hideMark/>
          </w:tcPr>
          <w:p w14:paraId="77056E50"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308" w:type="dxa"/>
            <w:vMerge w:val="restart"/>
            <w:shd w:val="clear" w:color="auto" w:fill="BDD7EE"/>
            <w:vAlign w:val="center"/>
            <w:hideMark/>
          </w:tcPr>
          <w:p w14:paraId="2665F5F7"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376" w:type="dxa"/>
            <w:vMerge w:val="restart"/>
            <w:shd w:val="clear" w:color="auto" w:fill="BDD7EE"/>
            <w:vAlign w:val="center"/>
            <w:hideMark/>
          </w:tcPr>
          <w:p w14:paraId="3099C4CC"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599" w:type="dxa"/>
            <w:gridSpan w:val="3"/>
            <w:shd w:val="clear" w:color="auto" w:fill="BDD7EE"/>
            <w:vAlign w:val="center"/>
            <w:hideMark/>
          </w:tcPr>
          <w:p w14:paraId="161F8534"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776" w:type="dxa"/>
            <w:gridSpan w:val="2"/>
            <w:shd w:val="clear" w:color="auto" w:fill="BDD7EE"/>
            <w:vAlign w:val="center"/>
            <w:hideMark/>
          </w:tcPr>
          <w:p w14:paraId="5245CD1E"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622" w:type="dxa"/>
            <w:vMerge w:val="restart"/>
            <w:shd w:val="clear" w:color="auto" w:fill="BDD7EE"/>
            <w:vAlign w:val="center"/>
            <w:hideMark/>
          </w:tcPr>
          <w:p w14:paraId="5ADADEB3"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7B6B1175" w14:textId="77777777" w:rsidTr="0052157A">
        <w:trPr>
          <w:trHeight w:val="465"/>
          <w:tblHeader/>
          <w:jc w:val="center"/>
        </w:trPr>
        <w:tc>
          <w:tcPr>
            <w:tcW w:w="1237" w:type="dxa"/>
            <w:vMerge/>
            <w:vAlign w:val="center"/>
            <w:hideMark/>
          </w:tcPr>
          <w:p w14:paraId="6B14525A"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774" w:type="dxa"/>
            <w:vMerge/>
            <w:vAlign w:val="center"/>
            <w:hideMark/>
          </w:tcPr>
          <w:p w14:paraId="05A82F60"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982" w:type="dxa"/>
            <w:vMerge/>
            <w:vAlign w:val="center"/>
            <w:hideMark/>
          </w:tcPr>
          <w:p w14:paraId="202E1FE9"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308" w:type="dxa"/>
            <w:vMerge/>
            <w:vAlign w:val="center"/>
            <w:hideMark/>
          </w:tcPr>
          <w:p w14:paraId="248B03AA"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1376" w:type="dxa"/>
            <w:vMerge/>
            <w:vAlign w:val="center"/>
            <w:hideMark/>
          </w:tcPr>
          <w:p w14:paraId="04185851" w14:textId="77777777" w:rsidR="00AD3F7A" w:rsidRPr="00AD4052" w:rsidRDefault="00AD3F7A" w:rsidP="00D16F13">
            <w:pPr>
              <w:spacing w:after="0" w:line="240" w:lineRule="auto"/>
              <w:rPr>
                <w:rFonts w:ascii="Times New Roman" w:eastAsia="Times New Roman" w:hAnsi="Times New Roman" w:cs="Times New Roman"/>
                <w:b/>
                <w:bCs/>
                <w:noProof/>
                <w:sz w:val="18"/>
                <w:szCs w:val="18"/>
                <w:lang w:eastAsia="en-GB"/>
              </w:rPr>
            </w:pPr>
          </w:p>
        </w:tc>
        <w:tc>
          <w:tcPr>
            <w:tcW w:w="950" w:type="dxa"/>
            <w:shd w:val="clear" w:color="auto" w:fill="BDD7EE"/>
            <w:vAlign w:val="center"/>
            <w:hideMark/>
          </w:tcPr>
          <w:p w14:paraId="3500E0CF"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58" w:type="dxa"/>
            <w:shd w:val="clear" w:color="auto" w:fill="BDD7EE"/>
            <w:vAlign w:val="center"/>
            <w:hideMark/>
          </w:tcPr>
          <w:p w14:paraId="7DBD46AD"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691" w:type="dxa"/>
            <w:shd w:val="clear" w:color="auto" w:fill="BDD7EE"/>
            <w:vAlign w:val="center"/>
            <w:hideMark/>
          </w:tcPr>
          <w:p w14:paraId="614D671D"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1026" w:type="dxa"/>
            <w:shd w:val="clear" w:color="auto" w:fill="BDD7EE"/>
            <w:vAlign w:val="center"/>
            <w:hideMark/>
          </w:tcPr>
          <w:p w14:paraId="71799E92"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50" w:type="dxa"/>
            <w:shd w:val="clear" w:color="auto" w:fill="BDD7EE"/>
            <w:vAlign w:val="center"/>
            <w:hideMark/>
          </w:tcPr>
          <w:p w14:paraId="61C53B7A" w14:textId="77777777" w:rsidR="00AD3F7A" w:rsidRPr="00E02B5D" w:rsidRDefault="00AD3F7A"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622" w:type="dxa"/>
            <w:vMerge/>
            <w:vAlign w:val="center"/>
            <w:hideMark/>
          </w:tcPr>
          <w:p w14:paraId="66879BA6" w14:textId="77777777" w:rsidR="00AD3F7A" w:rsidRPr="00E02B5D" w:rsidRDefault="00AD3F7A" w:rsidP="00D16F13">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6437378B" w14:textId="77777777" w:rsidTr="00C95E90">
        <w:trPr>
          <w:trHeight w:val="309"/>
          <w:jc w:val="center"/>
        </w:trPr>
        <w:tc>
          <w:tcPr>
            <w:tcW w:w="1237" w:type="dxa"/>
            <w:shd w:val="clear" w:color="auto" w:fill="C6EFCE"/>
            <w:noWrap/>
          </w:tcPr>
          <w:p w14:paraId="5589B3C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130</w:t>
            </w:r>
          </w:p>
        </w:tc>
        <w:tc>
          <w:tcPr>
            <w:tcW w:w="1774" w:type="dxa"/>
            <w:shd w:val="clear" w:color="auto" w:fill="C6EFCE"/>
            <w:noWrap/>
          </w:tcPr>
          <w:p w14:paraId="1EC1F5DE"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7-2.3. Ettevõtete digitaliseerimine – 16706_VKEde digitaalne ümberkujundamine</w:t>
            </w:r>
          </w:p>
        </w:tc>
        <w:tc>
          <w:tcPr>
            <w:tcW w:w="982" w:type="dxa"/>
            <w:shd w:val="clear" w:color="auto" w:fill="C6EFCE"/>
            <w:noWrap/>
          </w:tcPr>
          <w:p w14:paraId="1201F7B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308" w:type="dxa"/>
            <w:shd w:val="clear" w:color="auto" w:fill="C6EFCE"/>
            <w:noWrap/>
          </w:tcPr>
          <w:p w14:paraId="708874C0" w14:textId="29D54939" w:rsidR="00AD3F7A" w:rsidRPr="00E02B5D" w:rsidRDefault="00AD3F7A" w:rsidP="00D16F13">
            <w:pPr>
              <w:spacing w:after="0" w:line="240" w:lineRule="auto"/>
              <w:rPr>
                <w:rFonts w:eastAsia="Times New Roman" w:cs="Calibri"/>
                <w:noProof/>
                <w:color w:val="006100"/>
                <w:sz w:val="18"/>
                <w:szCs w:val="18"/>
              </w:rPr>
            </w:pPr>
            <w:r>
              <w:rPr>
                <w:noProof/>
                <w:color w:val="006100"/>
                <w:sz w:val="18"/>
              </w:rPr>
              <w:t>VKEde digiüleminek – konkursikutsed</w:t>
            </w:r>
          </w:p>
        </w:tc>
        <w:tc>
          <w:tcPr>
            <w:tcW w:w="1376" w:type="dxa"/>
            <w:shd w:val="clear" w:color="auto" w:fill="C6EFCE"/>
            <w:noWrap/>
          </w:tcPr>
          <w:p w14:paraId="3DF3EB1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Avaldatud konkursikutse</w:t>
            </w:r>
          </w:p>
        </w:tc>
        <w:tc>
          <w:tcPr>
            <w:tcW w:w="950" w:type="dxa"/>
            <w:shd w:val="clear" w:color="auto" w:fill="C6EFCE"/>
            <w:noWrap/>
          </w:tcPr>
          <w:p w14:paraId="518E2586"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58" w:type="dxa"/>
            <w:shd w:val="clear" w:color="auto" w:fill="C6EFCE"/>
            <w:noWrap/>
          </w:tcPr>
          <w:p w14:paraId="5542558D"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691" w:type="dxa"/>
            <w:shd w:val="clear" w:color="auto" w:fill="C6EFCE"/>
            <w:noWrap/>
          </w:tcPr>
          <w:p w14:paraId="6CD8F430"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26" w:type="dxa"/>
            <w:shd w:val="clear" w:color="auto" w:fill="C6EFCE"/>
            <w:noWrap/>
          </w:tcPr>
          <w:p w14:paraId="5A1CB9D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 kv</w:t>
            </w:r>
          </w:p>
        </w:tc>
        <w:tc>
          <w:tcPr>
            <w:tcW w:w="750" w:type="dxa"/>
            <w:shd w:val="clear" w:color="auto" w:fill="C6EFCE"/>
            <w:noWrap/>
          </w:tcPr>
          <w:p w14:paraId="1B12563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2022</w:t>
            </w:r>
          </w:p>
        </w:tc>
        <w:tc>
          <w:tcPr>
            <w:tcW w:w="3622" w:type="dxa"/>
            <w:shd w:val="clear" w:color="auto" w:fill="C6EFCE"/>
            <w:noWrap/>
          </w:tcPr>
          <w:p w14:paraId="2982E93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Kõigi konkurentsipõhiste projektikonkursside algatamine ettevõtete digitaalse ümberkujundamise vautšerite süsteemi (allprojektid 1), tööstusandmete platvormide ja andmeruumide (allprojektid 2) ning kassaaparaatide ja müügikohtade uuendamise (allprojektid 4) rahastamiseks koos tingimustega, sealhulgas kõlblikkuskriteeriumidega, millega tagatakse, et valitud projektid vastavad tehnilistele suunistele põhimõtte „ei kahjusta oluliselt“ kohaldamise kohta (2021/C58/01), kasutades kõrvalejätmise loetelu ning asjaomaste ELi ja riiklike keskkonnaalaste õigusaktide järgimise nõuet. </w:t>
            </w:r>
          </w:p>
          <w:p w14:paraId="1E394C94" w14:textId="77777777" w:rsidR="00AD3F7A" w:rsidRPr="00AD4052" w:rsidRDefault="00AD3F7A" w:rsidP="00D16F13">
            <w:pPr>
              <w:spacing w:after="0" w:line="240" w:lineRule="auto"/>
              <w:rPr>
                <w:rFonts w:eastAsia="Times New Roman" w:cs="Calibri"/>
                <w:noProof/>
                <w:color w:val="006100"/>
                <w:sz w:val="18"/>
                <w:szCs w:val="18"/>
                <w:lang w:eastAsia="en-GB"/>
              </w:rPr>
            </w:pPr>
          </w:p>
          <w:p w14:paraId="173B97B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Investeeringud suunatakse tehnoloogiatesse ja teenustesse, et edendada väikeste ja keskmise suurusega ettevõtjate digiteerimist, nimelt e-maksete, e-müügi ja e-arvete rakendustesse, digitaalse reklaami vahenditesse, kaugtöö süsteemidesse, ärianalüüsidesse, digioskuste täiendamisse, varundus- ja avariitaasteteenustesse, tehisintellekti, asjade internetti, kontaktivaba teenuse integreeritud lahenduste pakkumist, küberturvalisuse süsteemidesse, pilvetaristutesse ja teenustesse, tööstuslike andmeplatvormide mallidesse ja tarkvarasse, kassaaparaatide ja müügikohtade ökosüsteemi uuendusse. </w:t>
            </w:r>
          </w:p>
        </w:tc>
      </w:tr>
      <w:tr w:rsidR="00AD3F7A" w:rsidRPr="003B132A" w14:paraId="2E4DB77D" w14:textId="77777777" w:rsidTr="00C95E90">
        <w:trPr>
          <w:trHeight w:val="309"/>
          <w:jc w:val="center"/>
        </w:trPr>
        <w:tc>
          <w:tcPr>
            <w:tcW w:w="1237" w:type="dxa"/>
            <w:shd w:val="clear" w:color="auto" w:fill="C6EFCE"/>
            <w:noWrap/>
          </w:tcPr>
          <w:p w14:paraId="355AABF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131</w:t>
            </w:r>
          </w:p>
        </w:tc>
        <w:tc>
          <w:tcPr>
            <w:tcW w:w="1774" w:type="dxa"/>
            <w:shd w:val="clear" w:color="auto" w:fill="C6EFCE"/>
            <w:noWrap/>
          </w:tcPr>
          <w:p w14:paraId="7283B563"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7-2.3. Ettevõtete digitaliseerimine – 16706_VKEde digitaalne ümberkujundamine</w:t>
            </w:r>
          </w:p>
        </w:tc>
        <w:tc>
          <w:tcPr>
            <w:tcW w:w="982" w:type="dxa"/>
            <w:shd w:val="clear" w:color="auto" w:fill="C6EFCE"/>
            <w:noWrap/>
          </w:tcPr>
          <w:p w14:paraId="41D2799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308" w:type="dxa"/>
            <w:shd w:val="clear" w:color="auto" w:fill="C6EFCE"/>
            <w:noWrap/>
          </w:tcPr>
          <w:p w14:paraId="428EB160"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VKEde digiüleminek – toodete ja teenuste pakkumine</w:t>
            </w:r>
          </w:p>
        </w:tc>
        <w:tc>
          <w:tcPr>
            <w:tcW w:w="1376" w:type="dxa"/>
            <w:shd w:val="clear" w:color="auto" w:fill="C6EFCE"/>
            <w:noWrap/>
          </w:tcPr>
          <w:p w14:paraId="773799D2" w14:textId="0209E40D"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Digitaalvaldkonna juhtimise ministeeriumi aruanne, milles kinnitatakse kõigi 4 allprojekti täielikku rakendamist, sealhulgas järgmisi eesmärke: 100 000 VKEd, keda toetati digiteerimise vautšeriga (1. allprojekt), 1 000 VKEd, kes said vautšerisüsteemi kaudu toetust üksnes üleminekul pilvetehnoloogiale (2. allprojekt); 4 majaka tööstusandmete platvormi ja loodud Gaia X VKEde keskus (3. allprojekt). Allprojekti nr 4 lõpus ajakohastati 400 000 kassaaparaati ja asendati 100 000 POS-süsteemi. </w:t>
            </w:r>
          </w:p>
        </w:tc>
        <w:tc>
          <w:tcPr>
            <w:tcW w:w="950" w:type="dxa"/>
            <w:shd w:val="clear" w:color="auto" w:fill="C6EFCE"/>
            <w:noWrap/>
          </w:tcPr>
          <w:p w14:paraId="2B150759"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958" w:type="dxa"/>
            <w:shd w:val="clear" w:color="auto" w:fill="C6EFCE"/>
            <w:noWrap/>
          </w:tcPr>
          <w:p w14:paraId="60C7B720"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691" w:type="dxa"/>
            <w:shd w:val="clear" w:color="auto" w:fill="C6EFCE"/>
            <w:noWrap/>
          </w:tcPr>
          <w:p w14:paraId="68C91FA3" w14:textId="77777777" w:rsidR="00AD3F7A" w:rsidRPr="00E02B5D" w:rsidRDefault="00AD3F7A" w:rsidP="00D16F13">
            <w:pPr>
              <w:spacing w:after="0" w:line="240" w:lineRule="auto"/>
              <w:rPr>
                <w:rFonts w:eastAsia="Times New Roman" w:cs="Calibri"/>
                <w:noProof/>
                <w:color w:val="006100"/>
                <w:sz w:val="18"/>
                <w:szCs w:val="18"/>
                <w:lang w:val="en-GB" w:eastAsia="en-GB"/>
              </w:rPr>
            </w:pPr>
          </w:p>
        </w:tc>
        <w:tc>
          <w:tcPr>
            <w:tcW w:w="1026" w:type="dxa"/>
            <w:shd w:val="clear" w:color="auto" w:fill="C6EFCE"/>
            <w:noWrap/>
          </w:tcPr>
          <w:p w14:paraId="06CFA85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kv</w:t>
            </w:r>
          </w:p>
        </w:tc>
        <w:tc>
          <w:tcPr>
            <w:tcW w:w="750" w:type="dxa"/>
            <w:shd w:val="clear" w:color="auto" w:fill="C6EFCE"/>
            <w:noWrap/>
          </w:tcPr>
          <w:p w14:paraId="6779588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3622" w:type="dxa"/>
            <w:shd w:val="clear" w:color="auto" w:fill="C6EFCE"/>
            <w:noWrap/>
          </w:tcPr>
          <w:p w14:paraId="354563B2"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Toetusesaajate valimine ning seadmete ja teenuste tarnimine VKEdele konkursikutsete alusel kooskõlas tehniliste suunistega põhimõtte „ei kahjusta oluliselt“ kohaldamise kohta (2021/C58/01), kasutades kõrvalejätmise loetelu ning asjaomaste ELi ja riiklike keskkonnaalaste õigusaktide järgimise nõuet. Eelkõige tuleb saavutada järgmine: </w:t>
            </w:r>
          </w:p>
          <w:p w14:paraId="420E6FC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Allprojekti nr 1 raames: 100 000 VKEd said digiülemineku toetust, mida rahastati vautšerite süsteemi kaudu;</w:t>
            </w:r>
          </w:p>
          <w:p w14:paraId="3EE3873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Allprojekti nr 2 raames: lõpuleviidud pilvandmetöötlustaristu, 1 000 VKEd, kes saavad vautšerite süsteemi kaudu rahalist toetust üksnes pilvele üleminekul, esitatud tööstusandmete platvormi (IDP) mall ja loodud Kreeka Gaia-X VKEde keskus ning 4 Lighthouse IDP-d;</w:t>
            </w:r>
          </w:p>
          <w:p w14:paraId="39C6A22B"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Allprojekti 4 raames: 400 000 kassaaparaati on ajakohastatud või asendatud arvutipõhiste lahendustega, 100 000 vana POS-süsteemi on asendatud</w:t>
            </w:r>
          </w:p>
          <w:p w14:paraId="14482204"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(esitage toetusesaajate kinnitus uue tehnoloogia/toote integreerimise kohta/tõend toodete ja teenuste ostmise tõendamiseks tehtud makse kohta).</w:t>
            </w:r>
          </w:p>
        </w:tc>
      </w:tr>
      <w:tr w:rsidR="00AD3F7A" w:rsidRPr="003B132A" w14:paraId="37C2BC0C" w14:textId="77777777" w:rsidTr="00C95E90">
        <w:trPr>
          <w:trHeight w:val="309"/>
          <w:jc w:val="center"/>
        </w:trPr>
        <w:tc>
          <w:tcPr>
            <w:tcW w:w="1237" w:type="dxa"/>
            <w:shd w:val="clear" w:color="auto" w:fill="C6EFCE"/>
            <w:noWrap/>
            <w:hideMark/>
          </w:tcPr>
          <w:p w14:paraId="76850D8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132</w:t>
            </w:r>
          </w:p>
        </w:tc>
        <w:tc>
          <w:tcPr>
            <w:tcW w:w="1774" w:type="dxa"/>
            <w:shd w:val="clear" w:color="auto" w:fill="C6EFCE"/>
            <w:noWrap/>
            <w:hideMark/>
          </w:tcPr>
          <w:p w14:paraId="6965BD93" w14:textId="7666D623" w:rsidR="00AD3F7A" w:rsidRPr="00E02B5D" w:rsidRDefault="00AD3F7A" w:rsidP="00D16F13">
            <w:pPr>
              <w:spacing w:after="0" w:line="240" w:lineRule="auto"/>
              <w:rPr>
                <w:rFonts w:eastAsia="Times New Roman" w:cs="Calibri"/>
                <w:noProof/>
                <w:color w:val="006100"/>
                <w:sz w:val="18"/>
                <w:szCs w:val="18"/>
              </w:rPr>
            </w:pPr>
            <w:r>
              <w:rPr>
                <w:noProof/>
                <w:color w:val="006100"/>
                <w:sz w:val="18"/>
              </w:rPr>
              <w:t>7-2.3. Ettevõtete digiteerimine – 16973_Digitaalse ettevõtluse ökosüsteemi loomine ja maksusoodustuste kehtestamine VKEde digiülemineku hõlbustamiseks</w:t>
            </w:r>
          </w:p>
        </w:tc>
        <w:tc>
          <w:tcPr>
            <w:tcW w:w="982" w:type="dxa"/>
            <w:shd w:val="clear" w:color="auto" w:fill="C6EFCE"/>
            <w:noWrap/>
            <w:hideMark/>
          </w:tcPr>
          <w:p w14:paraId="7F26AB3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Eesmärk</w:t>
            </w:r>
          </w:p>
        </w:tc>
        <w:tc>
          <w:tcPr>
            <w:tcW w:w="1308" w:type="dxa"/>
            <w:shd w:val="clear" w:color="auto" w:fill="C6EFCE"/>
            <w:noWrap/>
            <w:hideMark/>
          </w:tcPr>
          <w:p w14:paraId="0983054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VKEde digiüleminek: seadusandlik reform, et stimuleerida tehnoloogiate kasutuselevõttu</w:t>
            </w:r>
          </w:p>
        </w:tc>
        <w:tc>
          <w:tcPr>
            <w:tcW w:w="1376" w:type="dxa"/>
            <w:shd w:val="clear" w:color="auto" w:fill="C6EFCE"/>
            <w:noWrap/>
            <w:hideMark/>
          </w:tcPr>
          <w:p w14:paraId="026EDD99"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 xml:space="preserve">Jõustunud on valitsuse esmased õigusaktid ja teisesed õigusaktid, mis on asjakohased digitaalinvesteeringute maksusoodustuste kehtestamiseks, ning digitaalse juhtimise ministeeriumi aruanded digitaalse ettevõtluse ökosüsteemi loomise kohta. </w:t>
            </w:r>
          </w:p>
        </w:tc>
        <w:tc>
          <w:tcPr>
            <w:tcW w:w="950" w:type="dxa"/>
            <w:shd w:val="clear" w:color="auto" w:fill="C6EFCE"/>
            <w:noWrap/>
          </w:tcPr>
          <w:p w14:paraId="7237F7C4"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958" w:type="dxa"/>
            <w:shd w:val="clear" w:color="auto" w:fill="C6EFCE"/>
            <w:noWrap/>
          </w:tcPr>
          <w:p w14:paraId="68291B74"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691" w:type="dxa"/>
            <w:shd w:val="clear" w:color="auto" w:fill="C6EFCE"/>
            <w:noWrap/>
          </w:tcPr>
          <w:p w14:paraId="0C0F2EA6" w14:textId="77777777" w:rsidR="00AD3F7A" w:rsidRPr="00AD4052" w:rsidRDefault="00AD3F7A" w:rsidP="00D16F13">
            <w:pPr>
              <w:spacing w:after="0" w:line="240" w:lineRule="auto"/>
              <w:rPr>
                <w:rFonts w:eastAsia="Times New Roman" w:cs="Calibri"/>
                <w:noProof/>
                <w:color w:val="006100"/>
                <w:sz w:val="18"/>
                <w:szCs w:val="18"/>
                <w:lang w:eastAsia="en-GB"/>
              </w:rPr>
            </w:pPr>
          </w:p>
        </w:tc>
        <w:tc>
          <w:tcPr>
            <w:tcW w:w="1026" w:type="dxa"/>
            <w:shd w:val="clear" w:color="auto" w:fill="C6EFCE"/>
            <w:noWrap/>
            <w:hideMark/>
          </w:tcPr>
          <w:p w14:paraId="3D7D534C"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 kv</w:t>
            </w:r>
          </w:p>
        </w:tc>
        <w:tc>
          <w:tcPr>
            <w:tcW w:w="750" w:type="dxa"/>
            <w:shd w:val="clear" w:color="auto" w:fill="C6EFCE"/>
            <w:noWrap/>
            <w:hideMark/>
          </w:tcPr>
          <w:p w14:paraId="0BF15EE8"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2025</w:t>
            </w:r>
          </w:p>
        </w:tc>
        <w:tc>
          <w:tcPr>
            <w:tcW w:w="3622" w:type="dxa"/>
            <w:shd w:val="clear" w:color="auto" w:fill="C6EFCE"/>
            <w:noWrap/>
            <w:hideMark/>
          </w:tcPr>
          <w:p w14:paraId="45D2AB0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Teha kindlaks ja rakendada meetmed sellise digitaalse ettevõtluse ökosüsteemi loomiseks, mis soodustab VKEde üleminekut digitehnoloogiale, eelkõige a) luues digitaristu digitaalsete vahendite ja protsesside pakkumise ja rakendamise rahastamise kaudu ning suurendades ettevõtete juhtide digitaalset teadlikkust ning b) stimuleerides otseselt investeeringuid digitehnoloogiale üleminekusse, kasutades materiaalsesse ja immateriaalsesse varasse tehtavate investeeringute suuremahulist mahaarvamist, et muuta ärikeskkonda ja suurendada investeeringuid nüüdisaegsesse digitehnoloogiasse.</w:t>
            </w:r>
          </w:p>
          <w:p w14:paraId="3DF7B642" w14:textId="77777777" w:rsidR="00AD3F7A" w:rsidRPr="00AD4052" w:rsidRDefault="00AD3F7A" w:rsidP="00D16F13">
            <w:pPr>
              <w:spacing w:after="0" w:line="240" w:lineRule="auto"/>
              <w:rPr>
                <w:rFonts w:eastAsia="Times New Roman" w:cs="Calibri"/>
                <w:noProof/>
                <w:color w:val="006100"/>
                <w:sz w:val="18"/>
                <w:szCs w:val="18"/>
                <w:lang w:eastAsia="en-GB"/>
              </w:rPr>
            </w:pPr>
          </w:p>
          <w:p w14:paraId="6317DAD7"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Majanduse keskkonnahoidlikumaks muutmist, energeetikat ja digiüleminekut toetavad maksusoodustusi käsitlevad õigusaktid peavad vastama rahastamiskõlblikkuse kriteeriumidele, millega tagatakse, et valitud projektid vastavad tehnilistele suunistele põhimõtte „ei kahjusta oluliselt“ kohaldamise kohta (2021/C58/01), kasutades erandite loetelu ning asjaomaste ELi ja riiklike keskkonnaalaste õigusaktide järgimise nõuet.</w:t>
            </w:r>
          </w:p>
          <w:p w14:paraId="25335448" w14:textId="77777777" w:rsidR="00AD3F7A" w:rsidRPr="00AD4052" w:rsidRDefault="00AD3F7A" w:rsidP="00D16F13">
            <w:pPr>
              <w:spacing w:after="0" w:line="240" w:lineRule="auto"/>
              <w:rPr>
                <w:rFonts w:eastAsia="Times New Roman" w:cs="Calibri"/>
                <w:noProof/>
                <w:color w:val="006100"/>
                <w:sz w:val="18"/>
                <w:szCs w:val="18"/>
                <w:lang w:eastAsia="en-GB"/>
              </w:rPr>
            </w:pPr>
          </w:p>
          <w:p w14:paraId="3D351065" w14:textId="77777777" w:rsidR="00AD3F7A" w:rsidRPr="00E02B5D" w:rsidRDefault="00AD3F7A" w:rsidP="00D16F13">
            <w:pPr>
              <w:spacing w:after="0" w:line="240" w:lineRule="auto"/>
              <w:rPr>
                <w:rFonts w:eastAsia="Times New Roman" w:cs="Calibri"/>
                <w:noProof/>
                <w:color w:val="006100"/>
                <w:sz w:val="18"/>
                <w:szCs w:val="18"/>
              </w:rPr>
            </w:pPr>
            <w:r>
              <w:rPr>
                <w:noProof/>
                <w:color w:val="006100"/>
                <w:sz w:val="18"/>
              </w:rPr>
              <w:t>Investeeringute eesmärk on stimuleerida investeeringuid digiüleminekusse, nimelt selliste toodete ja teenuste hankimisse, mis on seotud e-maksete, e-müügi ja e-arvete rakendustega, digitaalse reklaami vahenditega, kaugtöö süsteemidega, ärianalüüsiga, digioskuste täiendamise, varu- ja avariitaasteteenustega, tehisintellektiga, asjade internetiga, kontaktivaba teenuse integreeritud lahendustega, küberturvalisuse süsteemidega, pilvetaristute ja -teenustega, tööstuslike andmeplatvormide mallide ja tarkvaraga, kassaaparaatide ja müügikohtade ökosüsteemi uuendamisega.</w:t>
            </w:r>
          </w:p>
        </w:tc>
      </w:tr>
    </w:tbl>
    <w:p w14:paraId="697C8421" w14:textId="77777777" w:rsidR="00AD3F7A" w:rsidRPr="00AD4052" w:rsidRDefault="00AD3F7A" w:rsidP="00645BC7">
      <w:pPr>
        <w:spacing w:before="120" w:after="120" w:line="240" w:lineRule="auto"/>
        <w:jc w:val="both"/>
        <w:outlineLvl w:val="3"/>
        <w:rPr>
          <w:rFonts w:ascii="Times New Roman" w:hAnsi="Times New Roman" w:cs="Times New Roman"/>
          <w:b/>
          <w:bCs/>
          <w:noProof/>
          <w:sz w:val="24"/>
        </w:rPr>
        <w:sectPr w:rsidR="00AD3F7A" w:rsidRPr="00AD4052" w:rsidSect="00271D33">
          <w:headerReference w:type="even" r:id="rId164"/>
          <w:headerReference w:type="default" r:id="rId165"/>
          <w:footerReference w:type="even" r:id="rId166"/>
          <w:footerReference w:type="default" r:id="rId167"/>
          <w:headerReference w:type="first" r:id="rId168"/>
          <w:footerReference w:type="first" r:id="rId169"/>
          <w:pgSz w:w="16839" w:h="11907" w:orient="landscape"/>
          <w:pgMar w:top="1417" w:right="1134" w:bottom="1417" w:left="1134" w:header="709" w:footer="359" w:gutter="0"/>
          <w:cols w:space="720"/>
          <w:docGrid w:linePitch="360"/>
        </w:sectPr>
      </w:pPr>
    </w:p>
    <w:p w14:paraId="68E5D87A" w14:textId="77777777" w:rsidR="00AD3F7A" w:rsidRPr="00AD4052" w:rsidRDefault="00AD3F7A" w:rsidP="00645BC7">
      <w:pPr>
        <w:keepNext/>
        <w:spacing w:before="120" w:after="160" w:line="259" w:lineRule="auto"/>
        <w:ind w:hanging="360"/>
        <w:contextualSpacing/>
        <w:jc w:val="both"/>
        <w:rPr>
          <w:rFonts w:ascii="Times New Roman" w:eastAsia="Times New Roman" w:hAnsi="Times New Roman" w:cs="Times New Roman"/>
          <w:bCs/>
          <w:noProof/>
          <w:sz w:val="24"/>
          <w:szCs w:val="24"/>
        </w:rPr>
      </w:pPr>
    </w:p>
    <w:p w14:paraId="54AEAF23" w14:textId="77777777" w:rsidR="00764877" w:rsidRPr="00E02B5D" w:rsidRDefault="00645BC7" w:rsidP="0052157A">
      <w:pPr>
        <w:keepNext/>
        <w:spacing w:before="120" w:after="160" w:line="259" w:lineRule="auto"/>
        <w:ind w:hanging="360"/>
        <w:contextualSpacing/>
        <w:jc w:val="both"/>
        <w:rPr>
          <w:rFonts w:ascii="Times New Roman" w:hAnsi="Times New Roman" w:cs="Times New Roman"/>
          <w:b/>
          <w:bCs/>
          <w:noProof/>
          <w:sz w:val="24"/>
          <w:szCs w:val="24"/>
        </w:rPr>
      </w:pPr>
      <w:r>
        <w:rPr>
          <w:rFonts w:ascii="Times New Roman" w:hAnsi="Times New Roman"/>
          <w:noProof/>
          <w:sz w:val="24"/>
        </w:rPr>
        <w:t xml:space="preserve"> </w:t>
      </w:r>
      <w:r>
        <w:rPr>
          <w:rFonts w:ascii="Times New Roman" w:hAnsi="Times New Roman"/>
          <w:b/>
          <w:noProof/>
          <w:sz w:val="24"/>
        </w:rPr>
        <w:t>H. KOMPONENT 3.1. EDENDADA TÖÖKOHTADE LOOMIST JA TÖÖTURUL OSALEMIST</w:t>
      </w:r>
    </w:p>
    <w:p w14:paraId="4C81C45B" w14:textId="77777777" w:rsidR="00764877" w:rsidRPr="00E02B5D" w:rsidRDefault="00764877" w:rsidP="00645BC7">
      <w:pPr>
        <w:spacing w:before="120" w:after="120" w:line="240" w:lineRule="auto"/>
        <w:jc w:val="both"/>
        <w:rPr>
          <w:rFonts w:ascii="Times New Roman" w:hAnsi="Times New Roman" w:cs="Times New Roman"/>
          <w:noProof/>
          <w:color w:val="000000"/>
          <w:sz w:val="24"/>
          <w:szCs w:val="24"/>
          <w:shd w:val="clear" w:color="auto" w:fill="FFFFFF"/>
        </w:rPr>
      </w:pPr>
      <w:r>
        <w:rPr>
          <w:rFonts w:ascii="Times New Roman" w:hAnsi="Times New Roman"/>
          <w:noProof/>
          <w:color w:val="000000"/>
          <w:sz w:val="24"/>
          <w:shd w:val="clear" w:color="auto" w:fill="FFFFFF"/>
        </w:rPr>
        <w:t>Kreeka taaste- ja vastupidavuskava</w:t>
      </w:r>
      <w:r>
        <w:rPr>
          <w:rFonts w:ascii="Times New Roman" w:hAnsi="Times New Roman"/>
          <w:noProof/>
          <w:color w:val="000000"/>
          <w:sz w:val="24"/>
        </w:rPr>
        <w:t xml:space="preserve"> see komponent hõlmab</w:t>
      </w:r>
      <w:r>
        <w:rPr>
          <w:rFonts w:ascii="Times New Roman" w:hAnsi="Times New Roman"/>
          <w:noProof/>
          <w:sz w:val="24"/>
        </w:rPr>
        <w:t xml:space="preserve"> </w:t>
      </w:r>
      <w:r>
        <w:rPr>
          <w:rFonts w:ascii="Times New Roman" w:hAnsi="Times New Roman"/>
          <w:noProof/>
          <w:color w:val="000000"/>
          <w:sz w:val="24"/>
          <w:shd w:val="clear" w:color="auto" w:fill="FFFFFF"/>
        </w:rPr>
        <w:t>meetmeid aktiivse tööturupoliitika ümberkujundamiseks ja tugevdamiseks, riiklike tööturuasutuste tõhususe parandamiseks ja tõhusa turvavõrgu loomiseks töötuse vastu, tugevdades samal ajal stiimuleid tööturule naasmiseks.</w:t>
      </w:r>
      <w:r>
        <w:rPr>
          <w:rFonts w:ascii="Times New Roman" w:hAnsi="Times New Roman"/>
          <w:b/>
          <w:noProof/>
          <w:color w:val="000000"/>
          <w:sz w:val="24"/>
          <w:shd w:val="clear" w:color="auto" w:fill="FFFFFF"/>
        </w:rPr>
        <w:t xml:space="preserve"> </w:t>
      </w:r>
      <w:r>
        <w:rPr>
          <w:rFonts w:ascii="Times New Roman" w:hAnsi="Times New Roman"/>
          <w:noProof/>
          <w:color w:val="000000"/>
          <w:sz w:val="24"/>
          <w:shd w:val="clear" w:color="auto" w:fill="FFFFFF"/>
        </w:rPr>
        <w:t>Suurem osa meetmetest on suunatud aktiivsele tööturupoliitikale,</w:t>
      </w:r>
      <w:r>
        <w:rPr>
          <w:rFonts w:ascii="Times New Roman" w:hAnsi="Times New Roman"/>
          <w:noProof/>
          <w:sz w:val="24"/>
        </w:rPr>
        <w:t xml:space="preserve"> sealhulgas aktiveerimisprogrammidele, millega toetatakse tööhõivet erasektoris ning edendatakse tööjõu täiendus- ja ümberõpet, samuti investeeringutele, et suurendada avaliku tööturuasutuse suutlikkust (OAED kuni 18. aprillini 2022, seejärel DYPA), tõhustades digiteerimist ja nõustamisteenuseid.</w:t>
      </w:r>
      <w:r>
        <w:rPr>
          <w:rFonts w:ascii="Times New Roman" w:hAnsi="Times New Roman"/>
          <w:noProof/>
          <w:color w:val="000000"/>
          <w:sz w:val="24"/>
          <w:shd w:val="clear" w:color="auto" w:fill="FFFFFF"/>
        </w:rPr>
        <w:t xml:space="preserve"> Passiivse tööturupoliitika reformi raames on kava</w:t>
      </w:r>
      <w:r>
        <w:rPr>
          <w:rFonts w:ascii="Times New Roman" w:hAnsi="Times New Roman"/>
          <w:noProof/>
          <w:sz w:val="24"/>
        </w:rPr>
        <w:t xml:space="preserve"> eesmärk parandada töötushüvitiste katvust ja jaotust, tugevdada sotsiaalset turvavõrku, edendada tööturul osalemist, sealhulgas haavatavate rühmade hulgas, ning parandada sotsiaalkaitsesüsteemi tõhusust ja tulemuslikkust.</w:t>
      </w:r>
      <w:r>
        <w:rPr>
          <w:rFonts w:ascii="Times New Roman" w:hAnsi="Times New Roman"/>
          <w:noProof/>
          <w:color w:val="000000"/>
          <w:sz w:val="24"/>
          <w:shd w:val="clear" w:color="auto" w:fill="FFFFFF"/>
        </w:rPr>
        <w:t xml:space="preserve"> Komponent on kooskõlas riigipõhiste soovitustega, mille eesmärk on tagada tõhus tööturule aktiveerimise toetus, investeerida oskustesse ja tööalasesse konkurentsivõimesse ning parandada avaliku halduse digiteerimist</w:t>
      </w:r>
      <w:r>
        <w:rPr>
          <w:noProof/>
          <w:color w:val="000000"/>
          <w:sz w:val="24"/>
          <w:shd w:val="clear" w:color="auto" w:fill="FFFFFF"/>
        </w:rPr>
        <w:t xml:space="preserve"> </w:t>
      </w:r>
      <w:r>
        <w:rPr>
          <w:rFonts w:ascii="Times New Roman" w:hAnsi="Times New Roman"/>
          <w:noProof/>
          <w:color w:val="000000"/>
          <w:sz w:val="24"/>
          <w:shd w:val="clear" w:color="auto" w:fill="FFFFFF"/>
        </w:rPr>
        <w:t xml:space="preserve">(riigipõhised soovitused 2/2020 ja 3/2020 ning riigipõhine soovitus 2/2019). Lisaks toetab komponent digiüleminekut ja rohelist üleminekut, keskendudes muu hulgas oskuste ja tööhõive edendamisele digi- ja rohelises sektoris. </w:t>
      </w:r>
      <w:r>
        <w:rPr>
          <w:rFonts w:ascii="Times New Roman" w:hAnsi="Times New Roman"/>
          <w:noProof/>
          <w:sz w:val="24"/>
        </w:rPr>
        <w:t xml:space="preserve">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w:t>
      </w:r>
    </w:p>
    <w:p w14:paraId="2956AD74" w14:textId="77777777" w:rsidR="00764877" w:rsidRPr="00E02B5D" w:rsidRDefault="00764877" w:rsidP="00645BC7">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H.1. Tagastamatu rahalise toetusega seotud reformide ja investeeringute kirjeldus</w:t>
      </w:r>
    </w:p>
    <w:p w14:paraId="7D48FF2C"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Reform: </w:t>
      </w:r>
      <w:r>
        <w:rPr>
          <w:rFonts w:ascii="Times New Roman" w:hAnsi="Times New Roman"/>
          <w:noProof/>
          <w:sz w:val="24"/>
        </w:rPr>
        <w:t>Tööõiguse ajakohastamine ja lihtsustamine (meetme ID: 16744)</w:t>
      </w:r>
    </w:p>
    <w:p w14:paraId="7472387D"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 hõlmab tervikliku tööseaduse jõustumist, millega ühtlustatakse tööturu põhiaspekte, et parandada selle toimimist. Reformi eesmärk on eelkõige a) individuaalse töö seadus, b) kollektiivse töö seadus ja ametiühinguseadus, c) tööministeeriumi ERGANI IT-süsteem, mida kasutatakse tööturu jälgimiseks ning deklareerimata ja deklareerimata töö avastamiseks, ning d) töö- ja eraelu tasakaalustamise raamistik. Reformi üldeesmärgid on suurendada töökohtade loomist ja konkurentsivõimet, võidelda deklareerimata ja aladeklareeritud töö vastu, parandada töö- ja eraelu tasakaalu ning vähendada soolist tööhõivelõhet. Reformi rakendamine viiakse lõpule 30. september 2021.</w:t>
      </w:r>
    </w:p>
    <w:p w14:paraId="5CEDF6D7"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Töösüsteemide digiüleminek (meetme ID: 16750)</w:t>
      </w:r>
    </w:p>
    <w:p w14:paraId="30237172" w14:textId="77777777" w:rsidR="00764877" w:rsidRPr="00E02B5D" w:rsidRDefault="00764877"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Investeeringud keskenduvad avaliku halduse suutlikkuse ajakohastamisele, et pakkuda töötajatele ja tööandjatele paremaid ja kiiremaid teenuseid, eesmärgiga vähendada bürokraatiat, parandada tööturu järelevalvemehhanismide tõhusust, vähendada deklareerimata ja aladeklareeritud tööd ning saada õigeaegseid ja täpseid andmeid. Investeering seisneb eelkõige e-EFKA (ühtlustatud sotsiaalkindlustusfond), sealhulgas digitaalse pensioni auhinna süsteemi (ATLAS) ajakohastamises ning erinevate IT-süsteemide (ERGANI, EFKA ja SEPE) ühendamises ühtse süsteemiga (ARIADNE). Lisaks hõlmab investeering töötervishoiu ja tööohutuse küsimuste integreeritud IT-süsteemi (HERIDANOS) loomist. Investeeringu rakendamine viiakse lõpule 30. juuniks 2025.</w:t>
      </w:r>
    </w:p>
    <w:p w14:paraId="1A0F0599" w14:textId="77777777" w:rsidR="00486DC4" w:rsidRDefault="00486DC4">
      <w:pPr>
        <w:rPr>
          <w:rFonts w:ascii="Times New Roman" w:hAnsi="Times New Roman"/>
          <w:b/>
          <w:noProof/>
          <w:sz w:val="24"/>
        </w:rPr>
      </w:pPr>
      <w:r>
        <w:rPr>
          <w:noProof/>
        </w:rPr>
        <w:br w:type="page"/>
      </w:r>
    </w:p>
    <w:p w14:paraId="5AC3E600" w14:textId="68FF027B"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Aktiivse tööturupoliitika reform (meetme ID: 16747)</w:t>
      </w:r>
    </w:p>
    <w:p w14:paraId="285B61B2" w14:textId="03C286F7" w:rsidR="00764877" w:rsidRPr="00E02B5D" w:rsidRDefault="00764877"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Aktiivse tööturupoliitika reformi eesmärk on maksimeerida selle tõhusust, kujundades ümber ja tugevdades palgatoetusprogramme ning liikudes järk-järgult aktiivse tööturupoliitika uue rakendamismudeli suunas. Reformiga kaasnevad märkimisväärsed investeeringud. Need hõlmavad eelkõige järgmist: </w:t>
      </w:r>
      <w:r>
        <w:rPr>
          <w:rFonts w:ascii="Times New Roman" w:hAnsi="Times New Roman"/>
          <w:noProof/>
          <w:color w:val="000000"/>
          <w:sz w:val="24"/>
          <w:shd w:val="clear" w:color="auto" w:fill="FFFFFF"/>
        </w:rPr>
        <w:t>V</w:t>
      </w:r>
      <w:r>
        <w:rPr>
          <w:rFonts w:ascii="Times New Roman" w:hAnsi="Times New Roman"/>
          <w:noProof/>
          <w:color w:val="000000" w:themeColor="text1"/>
          <w:sz w:val="24"/>
          <w:shd w:val="clear" w:color="auto" w:fill="FFFFFF"/>
        </w:rPr>
        <w:t>iis lühiajalist sihtprogrammi, millega toetatakse tööhõivet erasektoris 41 500 töötu jaoks (sealhulgas koolitus- ja tööhõivetoetuse programm), b) uue katsetatud avatud raamistiku rakendusmudeli rakendamine aktiivsete tööturumeetmete jaoks veel kolmes geograafilises piirkonnas (kus osalejatele pakutakse 22 500 koolitusprogrammi, 7</w:t>
      </w:r>
      <w:r w:rsidR="00AE6F03">
        <w:rPr>
          <w:rFonts w:ascii="Times New Roman" w:hAnsi="Times New Roman"/>
          <w:noProof/>
          <w:color w:val="000000" w:themeColor="text1"/>
          <w:sz w:val="24"/>
          <w:shd w:val="clear" w:color="auto" w:fill="FFFFFF"/>
        </w:rPr>
        <w:t> </w:t>
      </w:r>
      <w:r>
        <w:rPr>
          <w:rFonts w:ascii="Times New Roman" w:hAnsi="Times New Roman"/>
          <w:noProof/>
          <w:color w:val="000000" w:themeColor="text1"/>
          <w:sz w:val="24"/>
          <w:shd w:val="clear" w:color="auto" w:fill="FFFFFF"/>
        </w:rPr>
        <w:t>000 tööhõivetoetust ja 850 ettevõtlustoetust), c) riikliku tööhõiveteenistuse nõustajaskonna ajutine tugevdamine (600 täiendavat nõustajat neljaks aastaks) ja d) nõustajate koolitus.</w:t>
      </w:r>
      <w:r>
        <w:rPr>
          <w:rFonts w:ascii="Times New Roman" w:hAnsi="Times New Roman"/>
          <w:noProof/>
          <w:color w:val="000000"/>
          <w:sz w:val="24"/>
          <w:shd w:val="clear" w:color="auto" w:fill="FFFFFF"/>
        </w:rPr>
        <w:t xml:space="preserve"> </w:t>
      </w:r>
      <w:r>
        <w:rPr>
          <w:rFonts w:ascii="Times New Roman" w:hAnsi="Times New Roman"/>
          <w:noProof/>
          <w:sz w:val="24"/>
        </w:rPr>
        <w:t>Sihtotstarbeline osa eraldatud toetustest aitab kaasa keskkonnahoidlike oskuste ja töökohtade loomisele rohelises majanduses. Reform ja investeeringud viiakse lõpule 31. detsembriks 2025.</w:t>
      </w:r>
    </w:p>
    <w:p w14:paraId="54BFBF62"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Passiivse tööturupoliitika reform, et toetada üleminekut tööhõivele (meetme ID: 16746)</w:t>
      </w:r>
    </w:p>
    <w:p w14:paraId="5B1DE4A6" w14:textId="1200C07D" w:rsidR="00764877" w:rsidRPr="00E02B5D" w:rsidRDefault="79238B2A" w:rsidP="00D16F13">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shd w:val="clear" w:color="auto" w:fill="FFFFFF"/>
        </w:rPr>
        <w:t>Reform hõlmab üht katseprojekti töötuskindlustussüsteemi reformimiseks. Projekti raames testitakse mõju, mida avaldab kombineeritud</w:t>
      </w:r>
      <w:r>
        <w:rPr>
          <w:rFonts w:ascii="Times New Roman" w:hAnsi="Times New Roman"/>
          <w:noProof/>
          <w:sz w:val="24"/>
        </w:rPr>
        <w:t xml:space="preserve"> </w:t>
      </w:r>
      <w:r>
        <w:rPr>
          <w:rFonts w:ascii="Times New Roman" w:hAnsi="Times New Roman"/>
          <w:noProof/>
          <w:color w:val="000000" w:themeColor="text1"/>
          <w:sz w:val="24"/>
        </w:rPr>
        <w:t>töötushüvitiste</w:t>
      </w:r>
      <w:r>
        <w:rPr>
          <w:rFonts w:ascii="Times New Roman" w:hAnsi="Times New Roman"/>
          <w:noProof/>
          <w:color w:val="000000"/>
          <w:sz w:val="24"/>
          <w:shd w:val="clear" w:color="auto" w:fill="FFFFFF"/>
        </w:rPr>
        <w:t xml:space="preserve"> indekseerimine viimase</w:t>
      </w:r>
      <w:r>
        <w:rPr>
          <w:rFonts w:ascii="Times New Roman" w:hAnsi="Times New Roman"/>
          <w:noProof/>
          <w:sz w:val="24"/>
        </w:rPr>
        <w:t xml:space="preserve"> päeva netopalga tasemele.</w:t>
      </w:r>
      <w:r>
        <w:rPr>
          <w:rFonts w:ascii="Times New Roman" w:hAnsi="Times New Roman"/>
          <w:noProof/>
          <w:color w:val="000000"/>
          <w:sz w:val="24"/>
          <w:shd w:val="clear" w:color="auto" w:fill="FFFFFF"/>
        </w:rPr>
        <w:t xml:space="preserve"> Lisaks sisaldab kava nullkuluga reforme, mille eesmärk on a) veelgi parandada vastastikuste kohustuste raamistikku, mida praegu kohaldatakse avaliku tööturuasutuse ja tööotsijate vahel, b) konsolideerida ja ühtlustada töötushüvitisi ja -toetusi, et parandada avaliku sektori kulutuste tõhusust, ning c) kõrvaldada motivatsiooni pärssivad tegurid töötute oskuste täiendamiseks/ümberõppeks, säilitades nende õiguse saada koolitusel osalemise ajal töötushüvitisi.</w:t>
      </w:r>
      <w:r>
        <w:rPr>
          <w:rFonts w:ascii="Times New Roman" w:hAnsi="Times New Roman"/>
          <w:noProof/>
          <w:sz w:val="24"/>
        </w:rPr>
        <w:t xml:space="preserve"> Reformi rakendamine viiakse lõpule 31. detsembriks 2025.</w:t>
      </w:r>
    </w:p>
    <w:p w14:paraId="24D98A2D" w14:textId="77777777" w:rsidR="00764877" w:rsidRPr="00E02B5D" w:rsidRDefault="00764877" w:rsidP="00645BC7">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Investeering:</w:t>
      </w:r>
      <w:r>
        <w:rPr>
          <w:rFonts w:ascii="Times New Roman" w:hAnsi="Times New Roman"/>
          <w:noProof/>
          <w:sz w:val="24"/>
        </w:rPr>
        <w:t xml:space="preserve"> DYPA kohaliku tööturuasutuse (KPA2) restruktureerimine ja ümbermärgistamine (meetme ID: 16941)</w:t>
      </w:r>
    </w:p>
    <w:p w14:paraId="489699F8" w14:textId="77777777" w:rsidR="00764877" w:rsidRPr="00E02B5D" w:rsidRDefault="00764877" w:rsidP="00645BC7">
      <w:pPr>
        <w:spacing w:before="120" w:after="120" w:line="240" w:lineRule="auto"/>
        <w:jc w:val="both"/>
        <w:rPr>
          <w:rFonts w:cs="Calibri"/>
          <w:noProof/>
          <w:color w:val="000000"/>
          <w:shd w:val="clear" w:color="auto" w:fill="FFFFFF"/>
        </w:rPr>
      </w:pPr>
      <w:r>
        <w:rPr>
          <w:rFonts w:ascii="Times New Roman" w:hAnsi="Times New Roman"/>
          <w:noProof/>
          <w:sz w:val="24"/>
        </w:rPr>
        <w:t>Investeeringu eesmärk on reformida Kreeka riiklikku tööturuasutust (OAED), et parandada selle teenuste kvaliteeti ning üldist suutlikkust ja tõhusust. Investeering hõlmab a) riikliku tööhõiveameti (OAED) organisatsioonilist reformi, millega ajakohastatakse selle juhtimismudelit ning luuakse uus organisatsiooni skeem ja finantsjuhtimissüsteem; b) OAED 118 kohaliku tööhõive edendamise haru (KPA2) ümberkujundamine ja renoveerimine, keskendudes uuesti kohandatud sobitamisteenustele, tõhustatud nõustamisele ja teavitustegevusele; c) DYPA uus kommunikatsioonistrateegia; d) klienditeeninduse kvaliteedi kontrollimehhanismide parandamine tulemuslikkuse, tõhususe, tootlikkuse ja klientide rahulolu aspektide mõõtmise ja jälgimise kaudu; e) profiilianalüüsi ja nõustamisteenuste uute vormide rakendamine.</w:t>
      </w:r>
      <w:r>
        <w:rPr>
          <w:noProof/>
          <w:color w:val="000000"/>
          <w:shd w:val="clear" w:color="auto" w:fill="FFFFFF"/>
        </w:rPr>
        <w:t xml:space="preserve"> </w:t>
      </w:r>
      <w:r>
        <w:rPr>
          <w:rFonts w:ascii="Times New Roman" w:hAnsi="Times New Roman"/>
          <w:noProof/>
          <w:sz w:val="24"/>
        </w:rPr>
        <w:t>Investeeringu rakendamine viiakse lõpule 31. detsembriks 2025.</w:t>
      </w:r>
    </w:p>
    <w:p w14:paraId="549D8CB8" w14:textId="77777777" w:rsidR="00764877" w:rsidRPr="00E02B5D" w:rsidRDefault="00764877" w:rsidP="00645BC7">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Investeering:</w:t>
      </w:r>
      <w:r>
        <w:rPr>
          <w:rFonts w:ascii="Times New Roman" w:hAnsi="Times New Roman"/>
          <w:noProof/>
          <w:sz w:val="24"/>
        </w:rPr>
        <w:t xml:space="preserve"> Avalike tööturuasutuste digitaalne ümberkujundamine (DYPA) (meetme ID: 16942)</w:t>
      </w:r>
    </w:p>
    <w:p w14:paraId="241BC63A" w14:textId="58906A39" w:rsidR="00486DC4" w:rsidRDefault="00764877" w:rsidP="00486DC4">
      <w:pPr>
        <w:spacing w:before="120" w:after="120" w:line="240" w:lineRule="auto"/>
        <w:jc w:val="both"/>
        <w:rPr>
          <w:rFonts w:ascii="Times New Roman" w:hAnsi="Times New Roman"/>
          <w:noProof/>
          <w:sz w:val="24"/>
          <w:szCs w:val="24"/>
        </w:rPr>
      </w:pPr>
      <w:r>
        <w:rPr>
          <w:rFonts w:ascii="Times New Roman" w:hAnsi="Times New Roman"/>
          <w:noProof/>
          <w:sz w:val="24"/>
        </w:rPr>
        <w:t xml:space="preserve">Investeeringud keskenduvad avaliku tööturuasutuse digitaalsele ümberkujundamisele, et suurendada pakutavate teenuste tõhusust. Eelkõige hõlmab investeering DYPA arhiivide digiteerimist, säilitamist ja arhiveerimist, DYPA poolt mitmete uute IT-süsteemide ostmist nii veebipõhiste kui ka kohalike rakenduste puhul ning mõnede praeguste operatsioonisüsteemide ümberkujundamist. Investeering hõlmab ka a) digiteenuste laiendamist (DYPA rakenduse kaudu), mis võimaldab DYPA-l pakkuda töötutele ja ettevõtetele mobiiltelefonide ja tahvelarvutite kaudu e-teenuseid, ning b) sellise vahendi loomist, mis aitab DYPA-l optimeerida tööjõu pakkumise ja nõudluse sobitamise protsessi. </w:t>
      </w:r>
      <w:r>
        <w:rPr>
          <w:rFonts w:ascii="Times New Roman" w:hAnsi="Times New Roman"/>
          <w:noProof/>
          <w:sz w:val="24"/>
        </w:rPr>
        <w:br w:type="page"/>
      </w:r>
    </w:p>
    <w:p w14:paraId="3B2C4F94" w14:textId="761BD087" w:rsidR="00764877" w:rsidRPr="00E02B5D" w:rsidRDefault="00764877" w:rsidP="00645BC7">
      <w:pPr>
        <w:spacing w:before="120" w:after="120" w:line="240" w:lineRule="auto"/>
        <w:jc w:val="both"/>
        <w:rPr>
          <w:rFonts w:ascii="Times New Roman" w:hAnsi="Times New Roman"/>
          <w:noProof/>
          <w:sz w:val="24"/>
          <w:szCs w:val="24"/>
        </w:rPr>
      </w:pPr>
      <w:r>
        <w:rPr>
          <w:rFonts w:ascii="Times New Roman" w:hAnsi="Times New Roman"/>
          <w:noProof/>
          <w:sz w:val="24"/>
        </w:rPr>
        <w:t>Eespool nimetatud investeeringu eesmärk on parandada andmehaldus- ja otsustussüsteemi, maksimeerida ressursse ja suurendada klientide rahulolu. Investeeringu rakendamine viiakse lõpule 31. detsembriks 2025.</w:t>
      </w:r>
    </w:p>
    <w:p w14:paraId="03C53DEE" w14:textId="77777777" w:rsidR="00764877" w:rsidRPr="00AD4052" w:rsidRDefault="00764877" w:rsidP="3AB65224">
      <w:pPr>
        <w:pStyle w:val="paragraph"/>
        <w:spacing w:before="0" w:beforeAutospacing="0" w:after="0" w:afterAutospacing="0"/>
        <w:rPr>
          <w:rFonts w:ascii="Calibri" w:hAnsi="Calibri"/>
          <w:noProof/>
          <w:color w:val="006100"/>
          <w:sz w:val="18"/>
          <w:szCs w:val="18"/>
        </w:rPr>
        <w:sectPr w:rsidR="00764877" w:rsidRPr="00AD4052" w:rsidSect="00271D33">
          <w:headerReference w:type="even" r:id="rId170"/>
          <w:headerReference w:type="default" r:id="rId171"/>
          <w:footerReference w:type="even" r:id="rId172"/>
          <w:footerReference w:type="default" r:id="rId173"/>
          <w:headerReference w:type="first" r:id="rId174"/>
          <w:footerReference w:type="first" r:id="rId175"/>
          <w:pgSz w:w="11907" w:h="16839"/>
          <w:pgMar w:top="1134" w:right="1417" w:bottom="1134" w:left="1417" w:header="709" w:footer="327" w:gutter="0"/>
          <w:cols w:space="720"/>
          <w:docGrid w:linePitch="360"/>
        </w:sectPr>
      </w:pPr>
    </w:p>
    <w:p w14:paraId="40E58D88" w14:textId="77777777" w:rsidR="00764877" w:rsidRPr="00E02B5D" w:rsidRDefault="00764877" w:rsidP="00645BC7">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H.2. </w:t>
      </w:r>
      <w:r>
        <w:rPr>
          <w:noProof/>
        </w:rPr>
        <w:tab/>
      </w:r>
      <w:r>
        <w:rPr>
          <w:rFonts w:ascii="Times New Roman" w:hAnsi="Times New Roman"/>
          <w:b/>
          <w:noProof/>
          <w:sz w:val="24"/>
          <w:u w:val="single"/>
        </w:rPr>
        <w:t>Tagastamatu rahalise toetuse eesmärgid, sihid, näitajad ning seire ja rakendamise ajakava</w:t>
      </w:r>
    </w:p>
    <w:p w14:paraId="41736B7B" w14:textId="77777777" w:rsidR="00764877" w:rsidRDefault="00764877" w:rsidP="00645BC7">
      <w:pPr>
        <w:keepNext/>
        <w:keepLines/>
        <w:spacing w:before="40" w:after="0" w:line="240" w:lineRule="auto"/>
        <w:jc w:val="both"/>
        <w:outlineLvl w:val="4"/>
        <w:rPr>
          <w:rFonts w:ascii="Cambria" w:hAnsi="Cambria"/>
          <w:noProof/>
          <w:color w:val="365F91"/>
          <w:sz w:val="24"/>
        </w:rPr>
      </w:pPr>
      <w:r>
        <w:rPr>
          <w:rFonts w:ascii="Cambria" w:hAnsi="Cambria"/>
          <w:noProof/>
          <w:color w:val="365F91"/>
          <w:sz w:val="24"/>
        </w:rPr>
        <w:t>Põhireform 6: Tööõiguse ajakohastamine ja lihtsustamine ning töösüsteemide digitaalne ümberkujundamine</w:t>
      </w:r>
    </w:p>
    <w:p w14:paraId="03EF15B2" w14:textId="77777777" w:rsidR="0052157A" w:rsidRPr="00AD4052" w:rsidRDefault="0052157A" w:rsidP="00645BC7">
      <w:pPr>
        <w:keepNext/>
        <w:keepLines/>
        <w:spacing w:before="40" w:after="0" w:line="240" w:lineRule="auto"/>
        <w:jc w:val="both"/>
        <w:outlineLvl w:val="4"/>
        <w:rPr>
          <w:rFonts w:ascii="Cambria" w:eastAsia="Times New Roman" w:hAnsi="Cambria"/>
          <w:noProof/>
          <w:color w:val="365F91"/>
          <w:sz w:val="24"/>
        </w:rPr>
      </w:pPr>
    </w:p>
    <w:tbl>
      <w:tblPr>
        <w:tblW w:w="15394" w:type="dxa"/>
        <w:tblInd w:w="-5" w:type="dxa"/>
        <w:tblLook w:val="04A0" w:firstRow="1" w:lastRow="0" w:firstColumn="1" w:lastColumn="0" w:noHBand="0" w:noVBand="1"/>
      </w:tblPr>
      <w:tblGrid>
        <w:gridCol w:w="1557"/>
        <w:gridCol w:w="1869"/>
        <w:gridCol w:w="1372"/>
        <w:gridCol w:w="1402"/>
        <w:gridCol w:w="1357"/>
        <w:gridCol w:w="920"/>
        <w:gridCol w:w="910"/>
        <w:gridCol w:w="854"/>
        <w:gridCol w:w="907"/>
        <w:gridCol w:w="1290"/>
        <w:gridCol w:w="2956"/>
      </w:tblGrid>
      <w:tr w:rsidR="008A0BD9" w:rsidRPr="003B132A" w14:paraId="704617F5" w14:textId="77777777" w:rsidTr="0052157A">
        <w:trPr>
          <w:trHeight w:val="614"/>
          <w:tblHeader/>
        </w:trPr>
        <w:tc>
          <w:tcPr>
            <w:tcW w:w="114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1FF023"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4C111C"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3920F6"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B24347"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CBC054"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714" w:type="dxa"/>
            <w:gridSpan w:val="3"/>
            <w:tcBorders>
              <w:top w:val="single" w:sz="4" w:space="0" w:color="auto"/>
              <w:left w:val="nil"/>
              <w:bottom w:val="single" w:sz="4" w:space="0" w:color="auto"/>
              <w:right w:val="single" w:sz="4" w:space="0" w:color="auto"/>
            </w:tcBorders>
            <w:shd w:val="clear" w:color="auto" w:fill="BDD7EE"/>
            <w:vAlign w:val="center"/>
            <w:hideMark/>
          </w:tcPr>
          <w:p w14:paraId="419E1F92"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2340" w:type="dxa"/>
            <w:gridSpan w:val="2"/>
            <w:tcBorders>
              <w:top w:val="single" w:sz="4" w:space="0" w:color="auto"/>
              <w:left w:val="nil"/>
              <w:bottom w:val="single" w:sz="4" w:space="0" w:color="auto"/>
              <w:right w:val="single" w:sz="4" w:space="0" w:color="auto"/>
            </w:tcBorders>
            <w:shd w:val="clear" w:color="auto" w:fill="BDD7EE"/>
            <w:vAlign w:val="center"/>
            <w:hideMark/>
          </w:tcPr>
          <w:p w14:paraId="6A2E01B2"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1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040BD2"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8A0BD9" w:rsidRPr="00E02B5D" w14:paraId="0925F22F" w14:textId="77777777" w:rsidTr="0052157A">
        <w:trPr>
          <w:trHeight w:val="542"/>
          <w:tblHeader/>
        </w:trPr>
        <w:tc>
          <w:tcPr>
            <w:tcW w:w="1144" w:type="dxa"/>
            <w:vMerge/>
            <w:tcBorders>
              <w:top w:val="single" w:sz="4" w:space="0" w:color="auto"/>
              <w:left w:val="single" w:sz="4" w:space="0" w:color="auto"/>
              <w:bottom w:val="single" w:sz="4" w:space="0" w:color="auto"/>
              <w:right w:val="single" w:sz="4" w:space="0" w:color="auto"/>
            </w:tcBorders>
            <w:vAlign w:val="center"/>
            <w:hideMark/>
          </w:tcPr>
          <w:p w14:paraId="4C11F356" w14:textId="77777777" w:rsidR="00764877" w:rsidRPr="00AD4052" w:rsidRDefault="00764877" w:rsidP="000F5711">
            <w:pPr>
              <w:spacing w:after="0" w:line="240" w:lineRule="auto"/>
              <w:jc w:val="center"/>
              <w:rPr>
                <w:rFonts w:ascii="Times New Roman" w:eastAsia="Times New Roman" w:hAnsi="Times New Roman" w:cs="Times New Roman"/>
                <w:b/>
                <w:bCs/>
                <w:noProof/>
                <w:sz w:val="18"/>
                <w:szCs w:val="18"/>
                <w:lang w:eastAsia="en-GB"/>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67B11935" w14:textId="77777777" w:rsidR="00764877" w:rsidRPr="00AD4052" w:rsidRDefault="00764877" w:rsidP="000F5711">
            <w:pPr>
              <w:spacing w:after="0" w:line="240" w:lineRule="auto"/>
              <w:jc w:val="center"/>
              <w:rPr>
                <w:rFonts w:ascii="Times New Roman" w:eastAsia="Times New Roman" w:hAnsi="Times New Roman" w:cs="Times New Roman"/>
                <w:b/>
                <w:bCs/>
                <w:noProof/>
                <w:sz w:val="18"/>
                <w:szCs w:val="18"/>
                <w:lang w:eastAsia="en-GB"/>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14:paraId="102106D6" w14:textId="77777777" w:rsidR="00764877" w:rsidRPr="00AD4052" w:rsidRDefault="00764877" w:rsidP="000F5711">
            <w:pPr>
              <w:spacing w:after="0" w:line="240" w:lineRule="auto"/>
              <w:jc w:val="center"/>
              <w:rPr>
                <w:rFonts w:ascii="Times New Roman" w:eastAsia="Times New Roman" w:hAnsi="Times New Roman" w:cs="Times New Roman"/>
                <w:b/>
                <w:bCs/>
                <w:noProof/>
                <w:sz w:val="18"/>
                <w:szCs w:val="18"/>
                <w:lang w:eastAsia="en-GB"/>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5E0FE787" w14:textId="77777777" w:rsidR="00764877" w:rsidRPr="00AD4052" w:rsidRDefault="00764877" w:rsidP="000F5711">
            <w:pPr>
              <w:spacing w:after="0" w:line="240" w:lineRule="auto"/>
              <w:jc w:val="center"/>
              <w:rPr>
                <w:rFonts w:ascii="Times New Roman" w:eastAsia="Times New Roman" w:hAnsi="Times New Roman" w:cs="Times New Roman"/>
                <w:b/>
                <w:bCs/>
                <w:noProof/>
                <w:sz w:val="18"/>
                <w:szCs w:val="18"/>
                <w:lang w:eastAsia="en-GB"/>
              </w:rPr>
            </w:pPr>
          </w:p>
        </w:tc>
        <w:tc>
          <w:tcPr>
            <w:tcW w:w="1226" w:type="dxa"/>
            <w:vMerge/>
            <w:tcBorders>
              <w:left w:val="single" w:sz="4" w:space="0" w:color="auto"/>
            </w:tcBorders>
            <w:vAlign w:val="center"/>
            <w:hideMark/>
          </w:tcPr>
          <w:p w14:paraId="23321131" w14:textId="77777777" w:rsidR="00764877" w:rsidRPr="00AD4052" w:rsidRDefault="00764877" w:rsidP="000F5711">
            <w:pPr>
              <w:spacing w:after="0" w:line="240" w:lineRule="auto"/>
              <w:jc w:val="center"/>
              <w:rPr>
                <w:rFonts w:ascii="Times New Roman" w:eastAsia="Times New Roman" w:hAnsi="Times New Roman" w:cs="Times New Roman"/>
                <w:b/>
                <w:bCs/>
                <w:noProof/>
                <w:sz w:val="18"/>
                <w:szCs w:val="18"/>
                <w:lang w:eastAsia="en-GB"/>
              </w:rPr>
            </w:pPr>
          </w:p>
        </w:tc>
        <w:tc>
          <w:tcPr>
            <w:tcW w:w="96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2CA54E6"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51" w:type="dxa"/>
            <w:tcBorders>
              <w:top w:val="nil"/>
              <w:left w:val="nil"/>
              <w:bottom w:val="single" w:sz="4" w:space="0" w:color="auto"/>
              <w:right w:val="single" w:sz="4" w:space="0" w:color="auto"/>
            </w:tcBorders>
            <w:shd w:val="clear" w:color="auto" w:fill="BDD7EE"/>
            <w:vAlign w:val="center"/>
            <w:hideMark/>
          </w:tcPr>
          <w:p w14:paraId="3727DC10"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798" w:type="dxa"/>
            <w:tcBorders>
              <w:top w:val="nil"/>
              <w:left w:val="nil"/>
              <w:bottom w:val="single" w:sz="4" w:space="0" w:color="auto"/>
              <w:right w:val="single" w:sz="4" w:space="0" w:color="auto"/>
            </w:tcBorders>
            <w:shd w:val="clear" w:color="auto" w:fill="BDD7EE"/>
            <w:vAlign w:val="center"/>
            <w:hideMark/>
          </w:tcPr>
          <w:p w14:paraId="0F3229DB"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963" w:type="dxa"/>
            <w:tcBorders>
              <w:top w:val="nil"/>
              <w:left w:val="nil"/>
              <w:bottom w:val="single" w:sz="4" w:space="0" w:color="auto"/>
              <w:right w:val="single" w:sz="4" w:space="0" w:color="auto"/>
            </w:tcBorders>
            <w:shd w:val="clear" w:color="auto" w:fill="BDD7EE"/>
            <w:vAlign w:val="center"/>
            <w:hideMark/>
          </w:tcPr>
          <w:p w14:paraId="127C7A72"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1377" w:type="dxa"/>
            <w:tcBorders>
              <w:top w:val="nil"/>
              <w:left w:val="nil"/>
              <w:bottom w:val="single" w:sz="4" w:space="0" w:color="auto"/>
              <w:right w:val="single" w:sz="4" w:space="0" w:color="auto"/>
            </w:tcBorders>
            <w:shd w:val="clear" w:color="auto" w:fill="BDD7EE"/>
            <w:vAlign w:val="center"/>
            <w:hideMark/>
          </w:tcPr>
          <w:p w14:paraId="4C72309E"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178" w:type="dxa"/>
            <w:vMerge/>
            <w:tcBorders>
              <w:top w:val="single" w:sz="4" w:space="0" w:color="auto"/>
              <w:bottom w:val="single" w:sz="4" w:space="0" w:color="auto"/>
              <w:right w:val="single" w:sz="4" w:space="0" w:color="auto"/>
            </w:tcBorders>
            <w:vAlign w:val="center"/>
            <w:hideMark/>
          </w:tcPr>
          <w:p w14:paraId="53C008FF" w14:textId="77777777" w:rsidR="00764877" w:rsidRPr="00E02B5D" w:rsidRDefault="00764877" w:rsidP="00D16F13">
            <w:pPr>
              <w:spacing w:after="0" w:line="240" w:lineRule="auto"/>
              <w:rPr>
                <w:rFonts w:ascii="Times New Roman" w:eastAsia="Times New Roman" w:hAnsi="Times New Roman" w:cs="Times New Roman"/>
                <w:b/>
                <w:bCs/>
                <w:noProof/>
                <w:sz w:val="18"/>
                <w:szCs w:val="18"/>
                <w:lang w:val="en-GB" w:eastAsia="en-GB"/>
              </w:rPr>
            </w:pPr>
          </w:p>
        </w:tc>
      </w:tr>
      <w:tr w:rsidR="008A0BD9" w:rsidRPr="003B132A" w14:paraId="49817C39" w14:textId="77777777" w:rsidTr="00933578">
        <w:trPr>
          <w:trHeight w:val="309"/>
        </w:trPr>
        <w:tc>
          <w:tcPr>
            <w:tcW w:w="1144" w:type="dxa"/>
            <w:tcBorders>
              <w:top w:val="single" w:sz="4" w:space="0" w:color="auto"/>
              <w:left w:val="single" w:sz="4" w:space="0" w:color="auto"/>
              <w:bottom w:val="single" w:sz="4" w:space="0" w:color="auto"/>
              <w:right w:val="single" w:sz="4" w:space="0" w:color="auto"/>
            </w:tcBorders>
            <w:shd w:val="clear" w:color="auto" w:fill="C6EFCE"/>
            <w:noWrap/>
          </w:tcPr>
          <w:p w14:paraId="0FC8BCD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133</w:t>
            </w:r>
          </w:p>
        </w:tc>
        <w:tc>
          <w:tcPr>
            <w:tcW w:w="2003" w:type="dxa"/>
            <w:tcBorders>
              <w:top w:val="single" w:sz="4" w:space="0" w:color="auto"/>
              <w:left w:val="nil"/>
              <w:bottom w:val="single" w:sz="4" w:space="0" w:color="auto"/>
              <w:right w:val="single" w:sz="4" w:space="0" w:color="auto"/>
            </w:tcBorders>
            <w:shd w:val="clear" w:color="auto" w:fill="C6EFCE"/>
            <w:noWrap/>
          </w:tcPr>
          <w:p w14:paraId="2301F7D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16744_Tööõiguse ajakohastamine ja lihtsustamine</w:t>
            </w:r>
          </w:p>
        </w:tc>
        <w:tc>
          <w:tcPr>
            <w:tcW w:w="1466" w:type="dxa"/>
            <w:tcBorders>
              <w:top w:val="single" w:sz="4" w:space="0" w:color="auto"/>
              <w:left w:val="nil"/>
              <w:bottom w:val="single" w:sz="4" w:space="0" w:color="auto"/>
              <w:right w:val="single" w:sz="4" w:space="0" w:color="auto"/>
            </w:tcBorders>
            <w:shd w:val="clear" w:color="auto" w:fill="C6EFCE"/>
            <w:noWrap/>
          </w:tcPr>
          <w:p w14:paraId="1D8E14F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23" w:type="dxa"/>
            <w:tcBorders>
              <w:top w:val="single" w:sz="4" w:space="0" w:color="auto"/>
              <w:left w:val="nil"/>
              <w:bottom w:val="single" w:sz="4" w:space="0" w:color="auto"/>
              <w:right w:val="single" w:sz="4" w:space="0" w:color="auto"/>
            </w:tcBorders>
            <w:shd w:val="clear" w:color="auto" w:fill="C6EFCE"/>
            <w:noWrap/>
          </w:tcPr>
          <w:p w14:paraId="6EC6954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Tööseaduse jõustumine</w:t>
            </w:r>
          </w:p>
        </w:tc>
        <w:tc>
          <w:tcPr>
            <w:tcW w:w="1226" w:type="dxa"/>
            <w:tcBorders>
              <w:top w:val="single" w:sz="4" w:space="0" w:color="auto"/>
              <w:left w:val="nil"/>
              <w:bottom w:val="single" w:sz="4" w:space="0" w:color="auto"/>
              <w:right w:val="single" w:sz="4" w:space="0" w:color="auto"/>
            </w:tcBorders>
            <w:shd w:val="clear" w:color="auto" w:fill="C6EFCE"/>
            <w:noWrap/>
          </w:tcPr>
          <w:p w14:paraId="535AA1C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Seaduse jõustumisele viitav säte – </w:t>
            </w:r>
          </w:p>
        </w:tc>
        <w:tc>
          <w:tcPr>
            <w:tcW w:w="965" w:type="dxa"/>
            <w:tcBorders>
              <w:top w:val="single" w:sz="4" w:space="0" w:color="auto"/>
              <w:left w:val="nil"/>
              <w:bottom w:val="single" w:sz="4" w:space="0" w:color="auto"/>
              <w:right w:val="single" w:sz="4" w:space="0" w:color="auto"/>
            </w:tcBorders>
            <w:shd w:val="clear" w:color="auto" w:fill="C6EFCE"/>
            <w:noWrap/>
          </w:tcPr>
          <w:p w14:paraId="56FE5F56"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51" w:type="dxa"/>
            <w:tcBorders>
              <w:top w:val="nil"/>
              <w:left w:val="nil"/>
              <w:bottom w:val="single" w:sz="4" w:space="0" w:color="auto"/>
              <w:right w:val="single" w:sz="4" w:space="0" w:color="auto"/>
            </w:tcBorders>
            <w:shd w:val="clear" w:color="auto" w:fill="C6EFCE"/>
            <w:noWrap/>
          </w:tcPr>
          <w:p w14:paraId="779C379C"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798" w:type="dxa"/>
            <w:tcBorders>
              <w:top w:val="nil"/>
              <w:left w:val="nil"/>
              <w:bottom w:val="single" w:sz="4" w:space="0" w:color="auto"/>
              <w:right w:val="single" w:sz="4" w:space="0" w:color="auto"/>
            </w:tcBorders>
            <w:shd w:val="clear" w:color="auto" w:fill="C6EFCE"/>
            <w:noWrap/>
          </w:tcPr>
          <w:p w14:paraId="3F0E65EA"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63" w:type="dxa"/>
            <w:tcBorders>
              <w:top w:val="nil"/>
              <w:left w:val="nil"/>
              <w:bottom w:val="single" w:sz="4" w:space="0" w:color="auto"/>
              <w:right w:val="single" w:sz="4" w:space="0" w:color="auto"/>
            </w:tcBorders>
            <w:shd w:val="clear" w:color="auto" w:fill="C6EFCE"/>
            <w:noWrap/>
          </w:tcPr>
          <w:p w14:paraId="2668A0C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3. kv</w:t>
            </w:r>
          </w:p>
        </w:tc>
        <w:tc>
          <w:tcPr>
            <w:tcW w:w="1377" w:type="dxa"/>
            <w:tcBorders>
              <w:top w:val="nil"/>
              <w:left w:val="nil"/>
              <w:bottom w:val="single" w:sz="4" w:space="0" w:color="auto"/>
              <w:right w:val="single" w:sz="4" w:space="0" w:color="auto"/>
            </w:tcBorders>
            <w:shd w:val="clear" w:color="auto" w:fill="C6EFCE"/>
            <w:noWrap/>
          </w:tcPr>
          <w:p w14:paraId="16ED5CF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2021</w:t>
            </w:r>
          </w:p>
        </w:tc>
        <w:tc>
          <w:tcPr>
            <w:tcW w:w="3178" w:type="dxa"/>
            <w:tcBorders>
              <w:top w:val="single" w:sz="4" w:space="0" w:color="auto"/>
              <w:left w:val="nil"/>
              <w:bottom w:val="single" w:sz="4" w:space="0" w:color="auto"/>
              <w:right w:val="single" w:sz="4" w:space="0" w:color="auto"/>
            </w:tcBorders>
            <w:shd w:val="clear" w:color="auto" w:fill="C6EFCE"/>
            <w:noWrap/>
          </w:tcPr>
          <w:p w14:paraId="2B146C0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Jõustub tööseadus, millega ajakohastatakse a) individuaalse töö seadus, b) kollektiivse töö seadus ja ametiühinguseadus, c) tööministeeriumi ERGANI IT-süsteem, mida kasutatakse tööturu jälgimiseks ning deklareerimata ja aladeklareeritud töö avastamiseks, ning d) töö- ja eraelu tasakaalustamise raamistik.</w:t>
            </w:r>
          </w:p>
        </w:tc>
      </w:tr>
      <w:tr w:rsidR="00893C65" w:rsidRPr="003B132A" w14:paraId="7DBC4E19" w14:textId="77777777" w:rsidTr="00933578">
        <w:trPr>
          <w:trHeight w:val="309"/>
        </w:trPr>
        <w:tc>
          <w:tcPr>
            <w:tcW w:w="1144" w:type="dxa"/>
            <w:tcBorders>
              <w:top w:val="nil"/>
              <w:left w:val="single" w:sz="4" w:space="0" w:color="auto"/>
              <w:bottom w:val="single" w:sz="4" w:space="0" w:color="auto"/>
              <w:right w:val="single" w:sz="4" w:space="0" w:color="auto"/>
            </w:tcBorders>
            <w:shd w:val="clear" w:color="auto" w:fill="C6EFCE"/>
            <w:noWrap/>
          </w:tcPr>
          <w:p w14:paraId="0787603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134</w:t>
            </w:r>
          </w:p>
        </w:tc>
        <w:tc>
          <w:tcPr>
            <w:tcW w:w="2003" w:type="dxa"/>
            <w:tcBorders>
              <w:top w:val="nil"/>
              <w:left w:val="nil"/>
              <w:bottom w:val="single" w:sz="4" w:space="0" w:color="auto"/>
              <w:right w:val="single" w:sz="4" w:space="0" w:color="auto"/>
            </w:tcBorders>
            <w:shd w:val="clear" w:color="auto" w:fill="C6EFCE"/>
            <w:noWrap/>
          </w:tcPr>
          <w:p w14:paraId="6F82D8B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16750_Töösüsteemide digitaalne ümberkujundamine</w:t>
            </w:r>
          </w:p>
        </w:tc>
        <w:tc>
          <w:tcPr>
            <w:tcW w:w="1466" w:type="dxa"/>
            <w:tcBorders>
              <w:top w:val="nil"/>
              <w:left w:val="nil"/>
              <w:bottom w:val="single" w:sz="4" w:space="0" w:color="auto"/>
              <w:right w:val="single" w:sz="4" w:space="0" w:color="auto"/>
            </w:tcBorders>
            <w:shd w:val="clear" w:color="auto" w:fill="C6EFCE"/>
            <w:noWrap/>
          </w:tcPr>
          <w:p w14:paraId="09C11AA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23" w:type="dxa"/>
            <w:tcBorders>
              <w:top w:val="nil"/>
              <w:left w:val="nil"/>
              <w:bottom w:val="single" w:sz="4" w:space="0" w:color="auto"/>
              <w:right w:val="single" w:sz="4" w:space="0" w:color="auto"/>
            </w:tcBorders>
            <w:shd w:val="clear" w:color="auto" w:fill="C6EFCE"/>
            <w:noWrap/>
          </w:tcPr>
          <w:p w14:paraId="5027823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Töö IT-süsteemidega seotud lepingute sõlmimine</w:t>
            </w:r>
          </w:p>
        </w:tc>
        <w:tc>
          <w:tcPr>
            <w:tcW w:w="1226" w:type="dxa"/>
            <w:tcBorders>
              <w:top w:val="nil"/>
              <w:left w:val="nil"/>
              <w:bottom w:val="single" w:sz="4" w:space="0" w:color="auto"/>
              <w:right w:val="single" w:sz="4" w:space="0" w:color="auto"/>
            </w:tcBorders>
            <w:shd w:val="clear" w:color="auto" w:fill="C6EFCE"/>
            <w:noWrap/>
          </w:tcPr>
          <w:p w14:paraId="16BAFE6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Lepingute sõlmimisest teatamine</w:t>
            </w:r>
          </w:p>
        </w:tc>
        <w:tc>
          <w:tcPr>
            <w:tcW w:w="965" w:type="dxa"/>
            <w:tcBorders>
              <w:top w:val="nil"/>
              <w:left w:val="nil"/>
              <w:bottom w:val="single" w:sz="4" w:space="0" w:color="auto"/>
              <w:right w:val="single" w:sz="4" w:space="0" w:color="auto"/>
            </w:tcBorders>
            <w:shd w:val="clear" w:color="auto" w:fill="C6EFCE"/>
            <w:noWrap/>
          </w:tcPr>
          <w:p w14:paraId="1EBF66E7"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51" w:type="dxa"/>
            <w:tcBorders>
              <w:top w:val="nil"/>
              <w:left w:val="nil"/>
              <w:bottom w:val="single" w:sz="4" w:space="0" w:color="auto"/>
              <w:right w:val="single" w:sz="4" w:space="0" w:color="auto"/>
            </w:tcBorders>
            <w:shd w:val="clear" w:color="auto" w:fill="C6EFCE"/>
            <w:noWrap/>
          </w:tcPr>
          <w:p w14:paraId="2FDB7473"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798" w:type="dxa"/>
            <w:tcBorders>
              <w:top w:val="nil"/>
              <w:left w:val="nil"/>
              <w:bottom w:val="single" w:sz="4" w:space="0" w:color="auto"/>
              <w:right w:val="single" w:sz="4" w:space="0" w:color="auto"/>
            </w:tcBorders>
            <w:shd w:val="clear" w:color="auto" w:fill="C6EFCE"/>
            <w:noWrap/>
          </w:tcPr>
          <w:p w14:paraId="110F3307"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63" w:type="dxa"/>
            <w:tcBorders>
              <w:top w:val="nil"/>
              <w:left w:val="nil"/>
              <w:bottom w:val="single" w:sz="4" w:space="0" w:color="auto"/>
              <w:right w:val="single" w:sz="4" w:space="0" w:color="auto"/>
            </w:tcBorders>
            <w:shd w:val="clear" w:color="auto" w:fill="C6EFCE"/>
            <w:noWrap/>
          </w:tcPr>
          <w:p w14:paraId="0F253F7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1377" w:type="dxa"/>
            <w:tcBorders>
              <w:top w:val="nil"/>
              <w:left w:val="nil"/>
              <w:bottom w:val="single" w:sz="4" w:space="0" w:color="auto"/>
              <w:right w:val="single" w:sz="4" w:space="0" w:color="auto"/>
            </w:tcBorders>
            <w:shd w:val="clear" w:color="auto" w:fill="C6EFCE"/>
            <w:noWrap/>
          </w:tcPr>
          <w:p w14:paraId="2300098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2022</w:t>
            </w:r>
          </w:p>
        </w:tc>
        <w:tc>
          <w:tcPr>
            <w:tcW w:w="3178" w:type="dxa"/>
            <w:tcBorders>
              <w:top w:val="nil"/>
              <w:left w:val="nil"/>
              <w:bottom w:val="single" w:sz="4" w:space="0" w:color="auto"/>
              <w:right w:val="single" w:sz="4" w:space="0" w:color="auto"/>
            </w:tcBorders>
            <w:shd w:val="clear" w:color="auto" w:fill="C6EFCE"/>
            <w:noWrap/>
          </w:tcPr>
          <w:p w14:paraId="537B39D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Lepingu sõlmimine järgmiste projektidega:</w:t>
            </w:r>
          </w:p>
          <w:p w14:paraId="3966E23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Ühtne IT-süsteem tööturu jälgimiseks (ARIADNE)</w:t>
            </w:r>
          </w:p>
          <w:p w14:paraId="3B01548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Töötervishoid ja tööohutus (HERIDANOS)</w:t>
            </w:r>
          </w:p>
          <w:p w14:paraId="3D13FB1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Kohustuslik miinimumpalga kehtestamise protsess</w:t>
            </w:r>
          </w:p>
          <w:p w14:paraId="4294382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 Ühtse pensionifondi (e-EFKA) kindlustusajaloo digiteerimine </w:t>
            </w:r>
          </w:p>
          <w:p w14:paraId="4B3A529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Uus integreeritud teabesüsteem e-EFKA jaoks (EFKA IITS)</w:t>
            </w:r>
          </w:p>
          <w:p w14:paraId="177EFCF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Digitaalse pensioni määramise süsteemi (ATLAS) ajakohastamine</w:t>
            </w:r>
          </w:p>
        </w:tc>
      </w:tr>
      <w:tr w:rsidR="008A0BD9" w:rsidRPr="003B132A" w14:paraId="6A115527" w14:textId="77777777" w:rsidTr="00933578">
        <w:trPr>
          <w:trHeight w:val="309"/>
        </w:trPr>
        <w:tc>
          <w:tcPr>
            <w:tcW w:w="1144" w:type="dxa"/>
            <w:tcBorders>
              <w:top w:val="nil"/>
              <w:left w:val="single" w:sz="4" w:space="0" w:color="auto"/>
              <w:bottom w:val="single" w:sz="4" w:space="0" w:color="auto"/>
              <w:right w:val="single" w:sz="4" w:space="0" w:color="auto"/>
            </w:tcBorders>
            <w:shd w:val="clear" w:color="auto" w:fill="C6EFCE"/>
            <w:noWrap/>
          </w:tcPr>
          <w:p w14:paraId="3C0D0D4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135</w:t>
            </w:r>
          </w:p>
        </w:tc>
        <w:tc>
          <w:tcPr>
            <w:tcW w:w="2003" w:type="dxa"/>
            <w:tcBorders>
              <w:top w:val="single" w:sz="4" w:space="0" w:color="auto"/>
              <w:left w:val="nil"/>
              <w:bottom w:val="single" w:sz="4" w:space="0" w:color="auto"/>
              <w:right w:val="single" w:sz="4" w:space="0" w:color="auto"/>
            </w:tcBorders>
            <w:shd w:val="clear" w:color="auto" w:fill="C6EFCE"/>
            <w:noWrap/>
          </w:tcPr>
          <w:p w14:paraId="5BC2D10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16942_Avalike tööturuasutuste digitaalne ümberkujundamine</w:t>
            </w:r>
          </w:p>
        </w:tc>
        <w:tc>
          <w:tcPr>
            <w:tcW w:w="1466" w:type="dxa"/>
            <w:tcBorders>
              <w:top w:val="single" w:sz="4" w:space="0" w:color="auto"/>
              <w:left w:val="nil"/>
              <w:bottom w:val="single" w:sz="4" w:space="0" w:color="auto"/>
              <w:right w:val="single" w:sz="4" w:space="0" w:color="auto"/>
            </w:tcBorders>
            <w:shd w:val="clear" w:color="auto" w:fill="C6EFCE"/>
            <w:noWrap/>
          </w:tcPr>
          <w:p w14:paraId="5BD9E5E3" w14:textId="77777777" w:rsidR="00764877" w:rsidRPr="00E02B5D" w:rsidRDefault="009B5484" w:rsidP="009B5484">
            <w:pPr>
              <w:spacing w:after="0" w:line="240" w:lineRule="auto"/>
              <w:rPr>
                <w:rFonts w:eastAsia="Times New Roman" w:cs="Calibri"/>
                <w:noProof/>
                <w:color w:val="006100"/>
                <w:sz w:val="18"/>
                <w:szCs w:val="18"/>
              </w:rPr>
            </w:pPr>
            <w:r>
              <w:rPr>
                <w:noProof/>
                <w:color w:val="006100"/>
                <w:sz w:val="18"/>
              </w:rPr>
              <w:t>Eesmärk</w:t>
            </w:r>
          </w:p>
        </w:tc>
        <w:tc>
          <w:tcPr>
            <w:tcW w:w="1323" w:type="dxa"/>
            <w:tcBorders>
              <w:top w:val="single" w:sz="4" w:space="0" w:color="auto"/>
              <w:left w:val="nil"/>
              <w:bottom w:val="single" w:sz="4" w:space="0" w:color="auto"/>
              <w:right w:val="single" w:sz="4" w:space="0" w:color="auto"/>
            </w:tcBorders>
            <w:shd w:val="clear" w:color="auto" w:fill="C6EFCE"/>
            <w:noWrap/>
          </w:tcPr>
          <w:p w14:paraId="51552854" w14:textId="77777777" w:rsidR="00764877" w:rsidRPr="00616C5C" w:rsidRDefault="00764877" w:rsidP="00401B44">
            <w:pPr>
              <w:spacing w:after="0" w:line="240" w:lineRule="auto"/>
              <w:rPr>
                <w:rFonts w:eastAsia="Times New Roman" w:cs="Calibri"/>
                <w:noProof/>
                <w:color w:val="006100"/>
                <w:sz w:val="18"/>
                <w:szCs w:val="18"/>
              </w:rPr>
            </w:pPr>
            <w:r>
              <w:rPr>
                <w:noProof/>
                <w:color w:val="006100"/>
                <w:sz w:val="18"/>
              </w:rPr>
              <w:t>DYPA arhiivide digiteerimine, säilitamine ja arhiveerimine</w:t>
            </w:r>
          </w:p>
        </w:tc>
        <w:tc>
          <w:tcPr>
            <w:tcW w:w="1226" w:type="dxa"/>
            <w:tcBorders>
              <w:top w:val="single" w:sz="4" w:space="0" w:color="auto"/>
              <w:left w:val="nil"/>
              <w:bottom w:val="single" w:sz="4" w:space="0" w:color="auto"/>
              <w:right w:val="single" w:sz="4" w:space="0" w:color="auto"/>
            </w:tcBorders>
            <w:shd w:val="clear" w:color="auto" w:fill="C6EFCE"/>
            <w:noWrap/>
          </w:tcPr>
          <w:p w14:paraId="4AF909D0" w14:textId="77777777" w:rsidR="00764877" w:rsidRPr="009D77DC" w:rsidRDefault="00BA5A50" w:rsidP="00BA5A50">
            <w:pPr>
              <w:spacing w:after="0" w:line="240" w:lineRule="auto"/>
              <w:rPr>
                <w:rFonts w:eastAsia="Times New Roman" w:cs="Calibri"/>
                <w:noProof/>
                <w:color w:val="006100"/>
                <w:sz w:val="18"/>
                <w:szCs w:val="18"/>
              </w:rPr>
            </w:pPr>
            <w:r>
              <w:rPr>
                <w:noProof/>
                <w:color w:val="006100"/>
                <w:sz w:val="18"/>
              </w:rPr>
              <w:t>Tõend projekti tulemuste heakskiitmise kohta</w:t>
            </w:r>
          </w:p>
        </w:tc>
        <w:tc>
          <w:tcPr>
            <w:tcW w:w="965" w:type="dxa"/>
            <w:tcBorders>
              <w:top w:val="nil"/>
              <w:left w:val="nil"/>
              <w:bottom w:val="single" w:sz="4" w:space="0" w:color="auto"/>
              <w:right w:val="single" w:sz="4" w:space="0" w:color="auto"/>
            </w:tcBorders>
            <w:shd w:val="clear" w:color="auto" w:fill="C6EFCE"/>
            <w:noWrap/>
          </w:tcPr>
          <w:p w14:paraId="4EFA4E99" w14:textId="77777777" w:rsidR="00764877" w:rsidRPr="00E02B5D" w:rsidRDefault="00764877" w:rsidP="00D16F13">
            <w:pPr>
              <w:spacing w:after="0" w:line="240" w:lineRule="auto"/>
              <w:rPr>
                <w:rFonts w:eastAsia="Times New Roman" w:cs="Calibri"/>
                <w:noProof/>
                <w:color w:val="006100"/>
                <w:sz w:val="18"/>
                <w:szCs w:val="18"/>
                <w:lang w:val="en-GB"/>
              </w:rPr>
            </w:pPr>
          </w:p>
        </w:tc>
        <w:tc>
          <w:tcPr>
            <w:tcW w:w="951" w:type="dxa"/>
            <w:tcBorders>
              <w:top w:val="nil"/>
              <w:left w:val="nil"/>
              <w:bottom w:val="single" w:sz="4" w:space="0" w:color="auto"/>
              <w:right w:val="single" w:sz="4" w:space="0" w:color="auto"/>
            </w:tcBorders>
            <w:shd w:val="clear" w:color="auto" w:fill="C6EFCE"/>
            <w:noWrap/>
          </w:tcPr>
          <w:p w14:paraId="73A61BD8" w14:textId="77777777" w:rsidR="00764877" w:rsidRPr="00E02B5D" w:rsidRDefault="00764877" w:rsidP="00D16F13">
            <w:pPr>
              <w:spacing w:after="0" w:line="240" w:lineRule="auto"/>
              <w:rPr>
                <w:rFonts w:eastAsia="Times New Roman" w:cs="Calibri"/>
                <w:noProof/>
                <w:color w:val="006100"/>
                <w:sz w:val="18"/>
                <w:szCs w:val="18"/>
                <w:lang w:val="en-GB"/>
              </w:rPr>
            </w:pPr>
          </w:p>
        </w:tc>
        <w:tc>
          <w:tcPr>
            <w:tcW w:w="798" w:type="dxa"/>
            <w:tcBorders>
              <w:top w:val="nil"/>
              <w:left w:val="nil"/>
              <w:bottom w:val="single" w:sz="4" w:space="0" w:color="auto"/>
              <w:right w:val="single" w:sz="4" w:space="0" w:color="auto"/>
            </w:tcBorders>
            <w:shd w:val="clear" w:color="auto" w:fill="C6EFCE"/>
            <w:noWrap/>
          </w:tcPr>
          <w:p w14:paraId="46872C9F" w14:textId="77777777" w:rsidR="00764877" w:rsidRPr="00E02B5D" w:rsidRDefault="00764877" w:rsidP="00D16F13">
            <w:pPr>
              <w:spacing w:after="0" w:line="240" w:lineRule="auto"/>
              <w:rPr>
                <w:rFonts w:eastAsia="Times New Roman" w:cs="Calibri"/>
                <w:noProof/>
                <w:color w:val="006100"/>
                <w:sz w:val="18"/>
                <w:szCs w:val="18"/>
                <w:lang w:val="en-GB"/>
              </w:rPr>
            </w:pPr>
          </w:p>
        </w:tc>
        <w:tc>
          <w:tcPr>
            <w:tcW w:w="963" w:type="dxa"/>
            <w:tcBorders>
              <w:top w:val="nil"/>
              <w:left w:val="nil"/>
              <w:bottom w:val="single" w:sz="4" w:space="0" w:color="auto"/>
              <w:right w:val="single" w:sz="4" w:space="0" w:color="auto"/>
            </w:tcBorders>
            <w:shd w:val="clear" w:color="auto" w:fill="C6EFCE"/>
            <w:noWrap/>
          </w:tcPr>
          <w:p w14:paraId="4AC7B30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1377" w:type="dxa"/>
            <w:tcBorders>
              <w:top w:val="nil"/>
              <w:left w:val="nil"/>
              <w:bottom w:val="single" w:sz="4" w:space="0" w:color="auto"/>
              <w:right w:val="single" w:sz="4" w:space="0" w:color="auto"/>
            </w:tcBorders>
            <w:shd w:val="clear" w:color="auto" w:fill="C6EFCE"/>
            <w:noWrap/>
          </w:tcPr>
          <w:p w14:paraId="6A2C7A5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2023</w:t>
            </w:r>
          </w:p>
        </w:tc>
        <w:tc>
          <w:tcPr>
            <w:tcW w:w="3178" w:type="dxa"/>
            <w:tcBorders>
              <w:top w:val="nil"/>
              <w:left w:val="nil"/>
              <w:bottom w:val="single" w:sz="4" w:space="0" w:color="auto"/>
              <w:right w:val="single" w:sz="4" w:space="0" w:color="auto"/>
            </w:tcBorders>
            <w:shd w:val="clear" w:color="auto" w:fill="C6EFCE"/>
            <w:noWrap/>
          </w:tcPr>
          <w:p w14:paraId="475D8703" w14:textId="77777777" w:rsidR="00764877" w:rsidRPr="00E02B5D" w:rsidRDefault="00764877" w:rsidP="008F432A">
            <w:pPr>
              <w:spacing w:after="0" w:line="240" w:lineRule="auto"/>
              <w:rPr>
                <w:rFonts w:eastAsia="Times New Roman" w:cs="Calibri"/>
                <w:noProof/>
                <w:color w:val="006100"/>
                <w:sz w:val="18"/>
                <w:szCs w:val="18"/>
              </w:rPr>
            </w:pPr>
            <w:r>
              <w:rPr>
                <w:noProof/>
                <w:color w:val="006100"/>
                <w:sz w:val="18"/>
              </w:rPr>
              <w:t>DYPA arhiivide digiteerimise, säilitamise ja esitamise lõpuleviimine.</w:t>
            </w:r>
          </w:p>
        </w:tc>
      </w:tr>
      <w:tr w:rsidR="00893C65" w:rsidRPr="003B132A" w14:paraId="7FEC7A69" w14:textId="77777777" w:rsidTr="00933578">
        <w:trPr>
          <w:trHeight w:val="309"/>
        </w:trPr>
        <w:tc>
          <w:tcPr>
            <w:tcW w:w="1144" w:type="dxa"/>
            <w:tcBorders>
              <w:top w:val="nil"/>
              <w:left w:val="single" w:sz="4" w:space="0" w:color="auto"/>
              <w:bottom w:val="single" w:sz="4" w:space="0" w:color="auto"/>
              <w:right w:val="single" w:sz="4" w:space="0" w:color="auto"/>
            </w:tcBorders>
            <w:shd w:val="clear" w:color="auto" w:fill="C6EFCE"/>
            <w:noWrap/>
          </w:tcPr>
          <w:p w14:paraId="35FCBBE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135a</w:t>
            </w:r>
          </w:p>
        </w:tc>
        <w:tc>
          <w:tcPr>
            <w:tcW w:w="2003" w:type="dxa"/>
            <w:tcBorders>
              <w:top w:val="nil"/>
              <w:left w:val="nil"/>
              <w:bottom w:val="single" w:sz="4" w:space="0" w:color="auto"/>
              <w:right w:val="single" w:sz="4" w:space="0" w:color="auto"/>
            </w:tcBorders>
            <w:shd w:val="clear" w:color="auto" w:fill="C6EFCE"/>
            <w:noWrap/>
          </w:tcPr>
          <w:p w14:paraId="3BC1FEC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16942_Avalike tööturuasutuste digitaalne ümberkujundamine</w:t>
            </w:r>
          </w:p>
        </w:tc>
        <w:tc>
          <w:tcPr>
            <w:tcW w:w="1466" w:type="dxa"/>
            <w:tcBorders>
              <w:top w:val="nil"/>
              <w:left w:val="nil"/>
              <w:bottom w:val="single" w:sz="4" w:space="0" w:color="auto"/>
              <w:right w:val="single" w:sz="4" w:space="0" w:color="auto"/>
            </w:tcBorders>
            <w:shd w:val="clear" w:color="auto" w:fill="C6EFCE"/>
            <w:noWrap/>
          </w:tcPr>
          <w:p w14:paraId="1C584BC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323" w:type="dxa"/>
            <w:tcBorders>
              <w:top w:val="nil"/>
              <w:left w:val="nil"/>
              <w:bottom w:val="single" w:sz="4" w:space="0" w:color="auto"/>
              <w:right w:val="single" w:sz="4" w:space="0" w:color="auto"/>
            </w:tcBorders>
            <w:shd w:val="clear" w:color="auto" w:fill="C6EFCE"/>
            <w:noWrap/>
          </w:tcPr>
          <w:p w14:paraId="025EB95B" w14:textId="77777777" w:rsidR="00764877" w:rsidRPr="00E02B5D" w:rsidDel="002202B2" w:rsidRDefault="00764877" w:rsidP="00D16F13">
            <w:pPr>
              <w:spacing w:after="0" w:line="240" w:lineRule="auto"/>
              <w:rPr>
                <w:rFonts w:cs="Calibri"/>
                <w:noProof/>
                <w:color w:val="006100"/>
                <w:sz w:val="18"/>
                <w:szCs w:val="18"/>
              </w:rPr>
            </w:pPr>
            <w:r>
              <w:rPr>
                <w:noProof/>
                <w:color w:val="006100"/>
                <w:sz w:val="18"/>
              </w:rPr>
              <w:t>DYPA digiüleminek</w:t>
            </w:r>
          </w:p>
        </w:tc>
        <w:tc>
          <w:tcPr>
            <w:tcW w:w="1226" w:type="dxa"/>
            <w:tcBorders>
              <w:top w:val="nil"/>
              <w:left w:val="nil"/>
              <w:bottom w:val="single" w:sz="4" w:space="0" w:color="auto"/>
              <w:right w:val="single" w:sz="4" w:space="0" w:color="auto"/>
            </w:tcBorders>
            <w:shd w:val="clear" w:color="auto" w:fill="C6EFCE"/>
            <w:noWrap/>
          </w:tcPr>
          <w:p w14:paraId="06F978C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DYPA aruanne, milles kinnitatakse projektide a, b, c ja d lõpuleviimist</w:t>
            </w:r>
          </w:p>
        </w:tc>
        <w:tc>
          <w:tcPr>
            <w:tcW w:w="965" w:type="dxa"/>
            <w:tcBorders>
              <w:top w:val="nil"/>
              <w:left w:val="nil"/>
              <w:bottom w:val="single" w:sz="4" w:space="0" w:color="auto"/>
              <w:right w:val="single" w:sz="4" w:space="0" w:color="auto"/>
            </w:tcBorders>
            <w:shd w:val="clear" w:color="auto" w:fill="C6EFCE"/>
            <w:noWrap/>
          </w:tcPr>
          <w:p w14:paraId="2B9C38C7"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51" w:type="dxa"/>
            <w:tcBorders>
              <w:top w:val="nil"/>
              <w:left w:val="nil"/>
              <w:bottom w:val="single" w:sz="4" w:space="0" w:color="auto"/>
              <w:right w:val="single" w:sz="4" w:space="0" w:color="auto"/>
            </w:tcBorders>
            <w:shd w:val="clear" w:color="auto" w:fill="C6EFCE"/>
            <w:noWrap/>
          </w:tcPr>
          <w:p w14:paraId="233AEEC5"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798" w:type="dxa"/>
            <w:tcBorders>
              <w:top w:val="nil"/>
              <w:left w:val="nil"/>
              <w:bottom w:val="single" w:sz="4" w:space="0" w:color="auto"/>
              <w:right w:val="single" w:sz="4" w:space="0" w:color="auto"/>
            </w:tcBorders>
            <w:shd w:val="clear" w:color="auto" w:fill="C6EFCE"/>
            <w:noWrap/>
          </w:tcPr>
          <w:p w14:paraId="26E6C6E9"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63" w:type="dxa"/>
            <w:tcBorders>
              <w:top w:val="nil"/>
              <w:left w:val="nil"/>
              <w:bottom w:val="single" w:sz="4" w:space="0" w:color="auto"/>
              <w:right w:val="single" w:sz="4" w:space="0" w:color="auto"/>
            </w:tcBorders>
            <w:shd w:val="clear" w:color="auto" w:fill="C6EFCE"/>
            <w:noWrap/>
          </w:tcPr>
          <w:p w14:paraId="7E69917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1377" w:type="dxa"/>
            <w:tcBorders>
              <w:top w:val="nil"/>
              <w:left w:val="nil"/>
              <w:bottom w:val="single" w:sz="4" w:space="0" w:color="auto"/>
              <w:right w:val="single" w:sz="4" w:space="0" w:color="auto"/>
            </w:tcBorders>
            <w:shd w:val="clear" w:color="auto" w:fill="C6EFCE"/>
            <w:noWrap/>
          </w:tcPr>
          <w:p w14:paraId="32FED9B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3178" w:type="dxa"/>
            <w:tcBorders>
              <w:top w:val="nil"/>
              <w:left w:val="nil"/>
              <w:bottom w:val="single" w:sz="4" w:space="0" w:color="auto"/>
              <w:right w:val="single" w:sz="4" w:space="0" w:color="auto"/>
            </w:tcBorders>
            <w:shd w:val="clear" w:color="auto" w:fill="C6EFCE"/>
            <w:noWrap/>
          </w:tcPr>
          <w:p w14:paraId="75F2076E" w14:textId="77777777" w:rsidR="00764877" w:rsidRPr="00E02B5D" w:rsidRDefault="00764877" w:rsidP="00D16F13">
            <w:pPr>
              <w:pStyle w:val="paragraph"/>
              <w:spacing w:before="0" w:beforeAutospacing="0" w:after="0" w:afterAutospacing="0"/>
              <w:textAlignment w:val="baseline"/>
              <w:rPr>
                <w:rFonts w:ascii="Calibri" w:hAnsi="Calibri" w:cs="Calibri"/>
                <w:noProof/>
                <w:color w:val="006100"/>
                <w:sz w:val="18"/>
                <w:szCs w:val="18"/>
              </w:rPr>
            </w:pPr>
            <w:r>
              <w:rPr>
                <w:rFonts w:ascii="Calibri" w:hAnsi="Calibri"/>
                <w:noProof/>
                <w:color w:val="006100"/>
                <w:sz w:val="18"/>
              </w:rPr>
              <w:t xml:space="preserve">Avalike tööturuasutuste digitaalne ümberkujundamine järgmiste meetmete kaudu: </w:t>
            </w:r>
          </w:p>
          <w:p w14:paraId="611406A3" w14:textId="77777777" w:rsidR="00764877" w:rsidRPr="00BB1206" w:rsidRDefault="00764877" w:rsidP="00D16F13">
            <w:pPr>
              <w:pStyle w:val="paragraph"/>
              <w:spacing w:before="0" w:beforeAutospacing="0" w:after="0" w:afterAutospacing="0"/>
              <w:textAlignment w:val="baseline"/>
              <w:rPr>
                <w:rFonts w:ascii="Calibri" w:hAnsi="Calibri"/>
                <w:noProof/>
                <w:color w:val="006100"/>
                <w:sz w:val="18"/>
              </w:rPr>
            </w:pPr>
            <w:r>
              <w:rPr>
                <w:rFonts w:ascii="Calibri" w:hAnsi="Calibri"/>
                <w:noProof/>
                <w:color w:val="006100"/>
                <w:sz w:val="18"/>
              </w:rPr>
              <w:t xml:space="preserve">a) seitsme uue IT-süsteemi ostmine, nii veebipõhised kui ka kohalikud rakendused (kutseharidus ja -koolitus, varahaldussüsteem, FMIS, HRM, küberjulgeolek, Chatbot, virtuaalne lauaarvutitaristu (VDI)); </w:t>
            </w:r>
          </w:p>
          <w:p w14:paraId="584F88D5" w14:textId="77777777" w:rsidR="00764877" w:rsidRPr="00BB1206" w:rsidRDefault="00764877" w:rsidP="00D16F13">
            <w:pPr>
              <w:pStyle w:val="paragraph"/>
              <w:spacing w:before="0" w:beforeAutospacing="0" w:after="0" w:afterAutospacing="0"/>
              <w:textAlignment w:val="baseline"/>
              <w:rPr>
                <w:rFonts w:ascii="Calibri" w:hAnsi="Calibri"/>
                <w:noProof/>
                <w:color w:val="006100"/>
                <w:sz w:val="18"/>
              </w:rPr>
            </w:pPr>
            <w:r>
              <w:rPr>
                <w:rFonts w:ascii="Calibri" w:hAnsi="Calibri"/>
                <w:noProof/>
                <w:color w:val="006100"/>
                <w:sz w:val="18"/>
              </w:rPr>
              <w:t>b) riikliku tööturuasutuse kolme praeguse IT-süsteemi, nimelt (endine OEAD) DYPA App, OPS (endine OAED) DYPA, uue tõenduspõhise ja andmepõhise otsustusprotsessi ümberkujundamine;</w:t>
            </w:r>
          </w:p>
          <w:p w14:paraId="7E41499D" w14:textId="77777777" w:rsidR="00764877" w:rsidRPr="00BB1206" w:rsidRDefault="00764877" w:rsidP="00D16F13">
            <w:pPr>
              <w:pStyle w:val="paragraph"/>
              <w:spacing w:before="0" w:beforeAutospacing="0" w:after="0" w:afterAutospacing="0"/>
              <w:textAlignment w:val="baseline"/>
              <w:rPr>
                <w:rFonts w:ascii="Calibri" w:hAnsi="Calibri"/>
                <w:noProof/>
                <w:color w:val="006100"/>
                <w:sz w:val="18"/>
              </w:rPr>
            </w:pPr>
            <w:r>
              <w:rPr>
                <w:rFonts w:ascii="Calibri" w:hAnsi="Calibri"/>
                <w:noProof/>
                <w:color w:val="006100"/>
                <w:sz w:val="18"/>
              </w:rPr>
              <w:t xml:space="preserve">c) digiteenuste laiendamine (rakenduse DYPA kaudu), mis võimaldavad DYPA-l pakkuda töötutele ja ettevõtetele e-teenuseid mobiiltelefonide ja tahvelarvutite kaudu; </w:t>
            </w:r>
          </w:p>
          <w:p w14:paraId="29B1FE01" w14:textId="74DEE71C" w:rsidR="00764877" w:rsidRPr="00BB1206" w:rsidRDefault="00764877">
            <w:pPr>
              <w:pStyle w:val="paragraph"/>
              <w:spacing w:before="0" w:beforeAutospacing="0" w:after="0" w:afterAutospacing="0"/>
              <w:rPr>
                <w:rFonts w:ascii="Calibri" w:hAnsi="Calibri"/>
                <w:noProof/>
                <w:color w:val="006100"/>
                <w:sz w:val="18"/>
              </w:rPr>
            </w:pPr>
            <w:r>
              <w:rPr>
                <w:rFonts w:ascii="Calibri" w:hAnsi="Calibri"/>
                <w:noProof/>
                <w:color w:val="006100"/>
                <w:sz w:val="18"/>
              </w:rPr>
              <w:t>d) Töövahendi loomine, mis aitab avalikul tööturuasutusel optimeerida tööjõu pakkumise ja nõudluse sobitamise protsessi.</w:t>
            </w:r>
          </w:p>
          <w:p w14:paraId="2C6A2A7B" w14:textId="77777777" w:rsidR="00764877" w:rsidRPr="00AD4052" w:rsidRDefault="00764877" w:rsidP="00D16F13">
            <w:pPr>
              <w:spacing w:after="0" w:line="240" w:lineRule="auto"/>
              <w:rPr>
                <w:rFonts w:eastAsia="Times New Roman" w:cs="Calibri"/>
                <w:noProof/>
                <w:color w:val="006100"/>
                <w:sz w:val="18"/>
                <w:szCs w:val="18"/>
                <w:lang w:eastAsia="en-GB"/>
              </w:rPr>
            </w:pPr>
          </w:p>
        </w:tc>
      </w:tr>
      <w:tr w:rsidR="008A0BD9" w:rsidRPr="003B132A" w14:paraId="4ECFF6F1" w14:textId="77777777" w:rsidTr="00933578">
        <w:trPr>
          <w:trHeight w:val="309"/>
        </w:trPr>
        <w:tc>
          <w:tcPr>
            <w:tcW w:w="1144" w:type="dxa"/>
            <w:tcBorders>
              <w:top w:val="nil"/>
              <w:left w:val="single" w:sz="4" w:space="0" w:color="auto"/>
              <w:bottom w:val="single" w:sz="4" w:space="0" w:color="auto"/>
              <w:right w:val="single" w:sz="4" w:space="0" w:color="auto"/>
            </w:tcBorders>
            <w:shd w:val="clear" w:color="auto" w:fill="C6EFCE"/>
            <w:noWrap/>
          </w:tcPr>
          <w:p w14:paraId="2E21042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136</w:t>
            </w:r>
          </w:p>
        </w:tc>
        <w:tc>
          <w:tcPr>
            <w:tcW w:w="2003" w:type="dxa"/>
            <w:tcBorders>
              <w:top w:val="nil"/>
              <w:left w:val="nil"/>
              <w:bottom w:val="single" w:sz="4" w:space="0" w:color="auto"/>
              <w:right w:val="single" w:sz="4" w:space="0" w:color="auto"/>
            </w:tcBorders>
            <w:shd w:val="clear" w:color="auto" w:fill="C6EFCE"/>
            <w:noWrap/>
          </w:tcPr>
          <w:p w14:paraId="43A94FA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16750_Töösüsteemide digitaalne ümberkujundamine</w:t>
            </w:r>
          </w:p>
        </w:tc>
        <w:tc>
          <w:tcPr>
            <w:tcW w:w="1466" w:type="dxa"/>
            <w:tcBorders>
              <w:top w:val="nil"/>
              <w:left w:val="nil"/>
              <w:bottom w:val="single" w:sz="4" w:space="0" w:color="auto"/>
              <w:right w:val="single" w:sz="4" w:space="0" w:color="auto"/>
            </w:tcBorders>
            <w:shd w:val="clear" w:color="auto" w:fill="C6EFCE"/>
            <w:noWrap/>
          </w:tcPr>
          <w:p w14:paraId="5162247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23" w:type="dxa"/>
            <w:tcBorders>
              <w:top w:val="nil"/>
              <w:left w:val="nil"/>
              <w:bottom w:val="single" w:sz="4" w:space="0" w:color="auto"/>
              <w:right w:val="single" w:sz="4" w:space="0" w:color="auto"/>
            </w:tcBorders>
            <w:shd w:val="clear" w:color="auto" w:fill="C6EFCE"/>
            <w:noWrap/>
          </w:tcPr>
          <w:p w14:paraId="3D1ED9A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Atlase pensionisüsteemi lõpuleviimine</w:t>
            </w:r>
          </w:p>
        </w:tc>
        <w:tc>
          <w:tcPr>
            <w:tcW w:w="1226" w:type="dxa"/>
            <w:tcBorders>
              <w:top w:val="single" w:sz="4" w:space="0" w:color="auto"/>
              <w:left w:val="nil"/>
              <w:bottom w:val="single" w:sz="4" w:space="0" w:color="auto"/>
              <w:right w:val="single" w:sz="4" w:space="0" w:color="auto"/>
            </w:tcBorders>
            <w:shd w:val="clear" w:color="auto" w:fill="C6EFCE"/>
            <w:noWrap/>
          </w:tcPr>
          <w:p w14:paraId="6390BA6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Süsteemi kehtestavate teiseste õigusaktide jõustumine</w:t>
            </w:r>
          </w:p>
        </w:tc>
        <w:tc>
          <w:tcPr>
            <w:tcW w:w="965" w:type="dxa"/>
            <w:tcBorders>
              <w:top w:val="nil"/>
              <w:left w:val="nil"/>
              <w:bottom w:val="single" w:sz="4" w:space="0" w:color="auto"/>
              <w:right w:val="single" w:sz="4" w:space="0" w:color="auto"/>
            </w:tcBorders>
            <w:shd w:val="clear" w:color="auto" w:fill="C6EFCE"/>
            <w:noWrap/>
          </w:tcPr>
          <w:p w14:paraId="424AE57E"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51" w:type="dxa"/>
            <w:tcBorders>
              <w:top w:val="nil"/>
              <w:left w:val="nil"/>
              <w:bottom w:val="single" w:sz="4" w:space="0" w:color="auto"/>
              <w:right w:val="single" w:sz="4" w:space="0" w:color="auto"/>
            </w:tcBorders>
            <w:shd w:val="clear" w:color="auto" w:fill="C6EFCE"/>
            <w:noWrap/>
          </w:tcPr>
          <w:p w14:paraId="4E52ECD6"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798" w:type="dxa"/>
            <w:tcBorders>
              <w:top w:val="nil"/>
              <w:left w:val="nil"/>
              <w:bottom w:val="single" w:sz="4" w:space="0" w:color="auto"/>
              <w:right w:val="single" w:sz="4" w:space="0" w:color="auto"/>
            </w:tcBorders>
            <w:shd w:val="clear" w:color="auto" w:fill="C6EFCE"/>
            <w:noWrap/>
          </w:tcPr>
          <w:p w14:paraId="5E54B451"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63" w:type="dxa"/>
            <w:tcBorders>
              <w:top w:val="nil"/>
              <w:left w:val="nil"/>
              <w:bottom w:val="single" w:sz="4" w:space="0" w:color="auto"/>
              <w:right w:val="single" w:sz="4" w:space="0" w:color="auto"/>
            </w:tcBorders>
            <w:shd w:val="clear" w:color="auto" w:fill="C6EFCE"/>
            <w:noWrap/>
          </w:tcPr>
          <w:p w14:paraId="72967AD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1377" w:type="dxa"/>
            <w:tcBorders>
              <w:top w:val="nil"/>
              <w:left w:val="nil"/>
              <w:bottom w:val="single" w:sz="4" w:space="0" w:color="auto"/>
              <w:right w:val="single" w:sz="4" w:space="0" w:color="auto"/>
            </w:tcBorders>
            <w:shd w:val="clear" w:color="auto" w:fill="C6EFCE"/>
            <w:noWrap/>
          </w:tcPr>
          <w:p w14:paraId="11F2734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3178" w:type="dxa"/>
            <w:tcBorders>
              <w:top w:val="nil"/>
              <w:left w:val="nil"/>
              <w:bottom w:val="single" w:sz="4" w:space="0" w:color="auto"/>
              <w:right w:val="single" w:sz="4" w:space="0" w:color="auto"/>
            </w:tcBorders>
            <w:shd w:val="clear" w:color="auto" w:fill="C6EFCE"/>
            <w:noWrap/>
          </w:tcPr>
          <w:p w14:paraId="1D3D2C0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Digitaalse pensioni määramise süsteemi (ATLAS) ajakohastamise lõpuleviimine, mis võimaldab pensioni- ja ühekordsete hüvitiste taotluste paremat käsitlemist süsteemi jõustavate teiseste õigusaktide jõustumise kaudu</w:t>
            </w:r>
          </w:p>
        </w:tc>
      </w:tr>
      <w:tr w:rsidR="00893C65" w:rsidRPr="003B132A" w14:paraId="7B5130BE" w14:textId="77777777" w:rsidTr="00933578">
        <w:trPr>
          <w:trHeight w:val="309"/>
        </w:trPr>
        <w:tc>
          <w:tcPr>
            <w:tcW w:w="1144" w:type="dxa"/>
            <w:tcBorders>
              <w:top w:val="nil"/>
              <w:left w:val="single" w:sz="4" w:space="0" w:color="auto"/>
              <w:bottom w:val="single" w:sz="4" w:space="0" w:color="auto"/>
              <w:right w:val="single" w:sz="4" w:space="0" w:color="auto"/>
            </w:tcBorders>
            <w:shd w:val="clear" w:color="auto" w:fill="C6EFCE"/>
            <w:noWrap/>
          </w:tcPr>
          <w:p w14:paraId="1B415DE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137</w:t>
            </w:r>
          </w:p>
        </w:tc>
        <w:tc>
          <w:tcPr>
            <w:tcW w:w="2003" w:type="dxa"/>
            <w:tcBorders>
              <w:top w:val="nil"/>
              <w:left w:val="nil"/>
              <w:bottom w:val="single" w:sz="4" w:space="0" w:color="auto"/>
              <w:right w:val="single" w:sz="4" w:space="0" w:color="auto"/>
            </w:tcBorders>
            <w:shd w:val="clear" w:color="auto" w:fill="C6EFCE"/>
            <w:noWrap/>
          </w:tcPr>
          <w:p w14:paraId="35BD604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16750_Töösüsteemide digitaalne ümberkujundamine</w:t>
            </w:r>
          </w:p>
        </w:tc>
        <w:tc>
          <w:tcPr>
            <w:tcW w:w="1466" w:type="dxa"/>
            <w:tcBorders>
              <w:top w:val="nil"/>
              <w:left w:val="nil"/>
              <w:bottom w:val="single" w:sz="4" w:space="0" w:color="auto"/>
              <w:right w:val="single" w:sz="4" w:space="0" w:color="auto"/>
            </w:tcBorders>
            <w:shd w:val="clear" w:color="auto" w:fill="C6EFCE"/>
            <w:noWrap/>
          </w:tcPr>
          <w:p w14:paraId="3D2293E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23" w:type="dxa"/>
            <w:tcBorders>
              <w:top w:val="nil"/>
              <w:left w:val="nil"/>
              <w:bottom w:val="single" w:sz="4" w:space="0" w:color="auto"/>
              <w:right w:val="single" w:sz="4" w:space="0" w:color="auto"/>
            </w:tcBorders>
            <w:shd w:val="clear" w:color="auto" w:fill="C6EFCE"/>
            <w:noWrap/>
          </w:tcPr>
          <w:p w14:paraId="7291BDA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Ariadne ühtse IT-süsteemi teiseste õigusaktide jõustumine</w:t>
            </w:r>
          </w:p>
        </w:tc>
        <w:tc>
          <w:tcPr>
            <w:tcW w:w="1226" w:type="dxa"/>
            <w:tcBorders>
              <w:top w:val="nil"/>
              <w:left w:val="nil"/>
              <w:bottom w:val="single" w:sz="4" w:space="0" w:color="auto"/>
              <w:right w:val="single" w:sz="4" w:space="0" w:color="auto"/>
            </w:tcBorders>
            <w:shd w:val="clear" w:color="auto" w:fill="C6EFCE"/>
            <w:noWrap/>
          </w:tcPr>
          <w:p w14:paraId="5C26296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Selliste teiseste õigusaktide jõustumine, millega käivitatakse süsteemi kaudu üleriigiline andmekogumine</w:t>
            </w:r>
          </w:p>
        </w:tc>
        <w:tc>
          <w:tcPr>
            <w:tcW w:w="965" w:type="dxa"/>
            <w:tcBorders>
              <w:top w:val="nil"/>
              <w:left w:val="nil"/>
              <w:bottom w:val="single" w:sz="4" w:space="0" w:color="auto"/>
              <w:right w:val="single" w:sz="4" w:space="0" w:color="auto"/>
            </w:tcBorders>
            <w:shd w:val="clear" w:color="auto" w:fill="C6EFCE"/>
            <w:noWrap/>
          </w:tcPr>
          <w:p w14:paraId="3F0F3DFE"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51" w:type="dxa"/>
            <w:tcBorders>
              <w:top w:val="nil"/>
              <w:left w:val="nil"/>
              <w:bottom w:val="single" w:sz="4" w:space="0" w:color="auto"/>
              <w:right w:val="single" w:sz="4" w:space="0" w:color="auto"/>
            </w:tcBorders>
            <w:shd w:val="clear" w:color="auto" w:fill="C6EFCE"/>
            <w:noWrap/>
          </w:tcPr>
          <w:p w14:paraId="46CA107D"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798" w:type="dxa"/>
            <w:tcBorders>
              <w:top w:val="nil"/>
              <w:left w:val="nil"/>
              <w:bottom w:val="single" w:sz="4" w:space="0" w:color="auto"/>
              <w:right w:val="single" w:sz="4" w:space="0" w:color="auto"/>
            </w:tcBorders>
            <w:shd w:val="clear" w:color="auto" w:fill="C6EFCE"/>
            <w:noWrap/>
          </w:tcPr>
          <w:p w14:paraId="50E775BC"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63" w:type="dxa"/>
            <w:tcBorders>
              <w:top w:val="nil"/>
              <w:left w:val="nil"/>
              <w:bottom w:val="single" w:sz="4" w:space="0" w:color="auto"/>
              <w:right w:val="single" w:sz="4" w:space="0" w:color="auto"/>
            </w:tcBorders>
            <w:shd w:val="clear" w:color="auto" w:fill="C6EFCE"/>
            <w:noWrap/>
          </w:tcPr>
          <w:p w14:paraId="5A9C7D7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1377" w:type="dxa"/>
            <w:tcBorders>
              <w:top w:val="nil"/>
              <w:left w:val="nil"/>
              <w:bottom w:val="single" w:sz="4" w:space="0" w:color="auto"/>
              <w:right w:val="single" w:sz="4" w:space="0" w:color="auto"/>
            </w:tcBorders>
            <w:shd w:val="clear" w:color="auto" w:fill="C6EFCE"/>
            <w:noWrap/>
          </w:tcPr>
          <w:p w14:paraId="40864C1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2024</w:t>
            </w:r>
          </w:p>
        </w:tc>
        <w:tc>
          <w:tcPr>
            <w:tcW w:w="3178" w:type="dxa"/>
            <w:tcBorders>
              <w:top w:val="nil"/>
              <w:left w:val="nil"/>
              <w:bottom w:val="single" w:sz="4" w:space="0" w:color="auto"/>
              <w:right w:val="single" w:sz="4" w:space="0" w:color="auto"/>
            </w:tcBorders>
            <w:shd w:val="clear" w:color="auto" w:fill="C6EFCE"/>
            <w:noWrap/>
          </w:tcPr>
          <w:p w14:paraId="7B21227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Ühtse tööturu järelevalve IT-süsteemi (ARIADNE) rakendamine teiseste õigusaktide jõustumise kaudu, millega käivitatakse süsteemi kaudu üleriigiline andmekogumine. </w:t>
            </w:r>
          </w:p>
          <w:p w14:paraId="4133CD2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Süsteem tagab tööaja digitaalse salvestamise (e-töökaart, aeg ja kohalviibimine) ning ühtse töö- ja sotsiaalkindlustuse haldusandmete värava.</w:t>
            </w:r>
          </w:p>
        </w:tc>
      </w:tr>
    </w:tbl>
    <w:p w14:paraId="6A99AD9F" w14:textId="77777777" w:rsidR="00764877" w:rsidRPr="00AD4052" w:rsidRDefault="00764877" w:rsidP="00645BC7">
      <w:pPr>
        <w:spacing w:before="120" w:after="120" w:line="240" w:lineRule="auto"/>
        <w:jc w:val="both"/>
        <w:rPr>
          <w:rFonts w:ascii="Times New Roman" w:hAnsi="Times New Roman" w:cs="Times New Roman"/>
          <w:noProof/>
          <w:sz w:val="24"/>
        </w:rPr>
        <w:sectPr w:rsidR="00764877" w:rsidRPr="00AD4052" w:rsidSect="00271D33">
          <w:headerReference w:type="even" r:id="rId176"/>
          <w:headerReference w:type="default" r:id="rId177"/>
          <w:footerReference w:type="even" r:id="rId178"/>
          <w:footerReference w:type="default" r:id="rId179"/>
          <w:headerReference w:type="first" r:id="rId180"/>
          <w:footerReference w:type="first" r:id="rId181"/>
          <w:pgSz w:w="16839" w:h="11907" w:orient="landscape"/>
          <w:pgMar w:top="720" w:right="720" w:bottom="720" w:left="720" w:header="709" w:footer="217" w:gutter="0"/>
          <w:cols w:space="720"/>
          <w:docGrid w:linePitch="360"/>
        </w:sectPr>
      </w:pPr>
    </w:p>
    <w:p w14:paraId="24A69823" w14:textId="77777777" w:rsidR="00764877" w:rsidRPr="00E02B5D" w:rsidRDefault="00764877"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I. KOMPONENT 3.2. HARIDUS, KUTSEHARIDUS JA -KOOLITUS NING OSKUSED</w:t>
      </w:r>
    </w:p>
    <w:p w14:paraId="2627355B" w14:textId="77777777" w:rsidR="00764877" w:rsidRPr="00E02B5D" w:rsidRDefault="00764877" w:rsidP="00645BC7">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sz w:val="24"/>
        </w:rPr>
        <w:t>Kreeka taaste- ja vastupidavuskava selle osa eesmärk on parandada haridus- ja elukestva õppe süsteemide kvaliteeti, tõhusust ja tulemuslikkust. Komponent hõlmab investeeringuid horisontaalsetesse oskuste täiendamise programmidesse digitaalse, keskkonnahoidliku ja finantskirjaoskuse valdkonnas kokku 628 000 toetusesaaja jaoks. Sellega kaasneb elukestva õppe süsteemi reform, et parandada koolituse pakkumist, ning reformide ja investeeringute pakett, mis keskendub kutseharidusele ja -koolitusele ning õpipoisiõppe süsteemidele, et parandada nende vastavust tööturu vajadustele. Kutsehariduse ja -koolituse valdkonnas on kava eesmärk ajakohastada kutsehariduse ja -õppe infrastruktuure ja seadmeid ning ajakohastada olemasolevaid õppekavasid. Lisaks nähakse kavaga ette ülikoolide uus tipptaseme strateegia, mille eesmärk on parandada nende teadustöö tulemuslikkust ja hariduse kvaliteeti, investeerides teadus- ja haridustaristute ajakohastamisse, teadusprojektide ja doktoriõppe projektide toetamisse, tehes seda ka koostöös erasektori ja külalisprofessorite kavadega. Need reformid on seotud investeeringutega haridussüsteemi digiteerimisse, millest suur osa eraldatakse alg- ja keskkoolide interaktiivsetele õppesüsteemidele ning väikese sissetulekuga peredest pärit õpilastele ja üliõpilastele IT-seadmete ostmiseks mõeldud vautšeritele.</w:t>
      </w:r>
      <w:r>
        <w:rPr>
          <w:rFonts w:ascii="Times New Roman" w:hAnsi="Times New Roman"/>
          <w:noProof/>
          <w:color w:val="000000"/>
          <w:sz w:val="24"/>
          <w:shd w:val="clear" w:color="auto" w:fill="FFFFFF"/>
        </w:rPr>
        <w:t xml:space="preserve"> </w:t>
      </w:r>
    </w:p>
    <w:p w14:paraId="4936B834"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 xml:space="preserve">Komponent on kooskõlas riigipõhiste soovitustega investeerida haridusse, tööalasesse konkurentsivõimesse ja oskustesse ning parandada avaliku halduse digiteerimist (riigipõhised soovitused 3/2020 ja 2/2019). </w:t>
      </w:r>
      <w:r>
        <w:rPr>
          <w:rFonts w:ascii="Times New Roman" w:hAnsi="Times New Roman"/>
          <w:noProof/>
          <w:sz w:val="24"/>
        </w:rPr>
        <w:t>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53457C0E" w14:textId="77777777" w:rsidR="00764877" w:rsidRPr="00E02B5D" w:rsidRDefault="00764877" w:rsidP="00645BC7">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I.1. </w:t>
      </w:r>
      <w:r>
        <w:rPr>
          <w:noProof/>
        </w:rPr>
        <w:tab/>
      </w:r>
      <w:r>
        <w:rPr>
          <w:rFonts w:ascii="Times New Roman" w:hAnsi="Times New Roman"/>
          <w:b/>
          <w:noProof/>
          <w:sz w:val="24"/>
          <w:u w:val="single"/>
        </w:rPr>
        <w:t>Tagastamatu rahalise toetusega seotud reformide ja investeeringute kirjeldus</w:t>
      </w:r>
    </w:p>
    <w:p w14:paraId="2BB504C5"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Uus elukestva õppe strateegia: Kreeka oskuste täiendamise ja ümberõppe süsteemi ajakohastamine ja täiustamine (meetme ID: 16913)</w:t>
      </w:r>
    </w:p>
    <w:p w14:paraId="5A84D1AE" w14:textId="68536FC9" w:rsidR="00764877" w:rsidRPr="00E02B5D" w:rsidRDefault="0076487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eesmärk on parandada elukestva õppe raamistikku, et suurendada selle kvaliteeti ja vastavust tööturu vajadustele. Eelkõige võimaldab reform paremini jälgida ja rahuldada tööturu vajadusi, ajakohastades, uuendades ja ühendades eri ministeeriumide ja asutuste olemasolevaid andmekogusid, sealhulgas 2016. aastal loodud tööturu diagnostikamehhanismi. Reformiga kehtestatakse ka elukestva õppe oskuste arvepidamine, mis peaks olema peamiseks vahendiks individuaalsest vajadusest sõltuva pideva koolituse pakkumisel, ning uus riiklik abikõlblike koolituspakkujate nimekiri, mille puhul kohaldatakse koolitajate suhtes sisendipõhiseid kvaliteedi miinimumkriteeriume. Reformi tulemusel luuakse uus juhtimisstruktuur – riiklik oskuste nõukogu, mis asub OAEDis ja vastutab riikliku oskuste strateegia iga-aastase ajakohastamise kavandamise eest. Reformiga kaasneb investeerimine horisontaalsetesse oskuste täiendamise programmidesse, mis on suunatud eri elanikkonnarühmadele ning mille eesmärk on pakkuda a) põhi- ja kesktaseme digioskusi, b) rohelisi oskusi ja c)</w:t>
      </w:r>
      <w:r w:rsidR="00AE6F03">
        <w:rPr>
          <w:rFonts w:ascii="Times New Roman" w:hAnsi="Times New Roman"/>
          <w:noProof/>
          <w:sz w:val="24"/>
        </w:rPr>
        <w:t> </w:t>
      </w:r>
      <w:r>
        <w:rPr>
          <w:rFonts w:ascii="Times New Roman" w:hAnsi="Times New Roman"/>
          <w:noProof/>
          <w:sz w:val="24"/>
        </w:rPr>
        <w:t>finantskirjaoskust. Reform ja investeeringud viiakse lõpule 31. detsembriks 2025.</w:t>
      </w:r>
    </w:p>
    <w:p w14:paraId="610D447E" w14:textId="77777777" w:rsidR="0018328F" w:rsidRDefault="0018328F">
      <w:pPr>
        <w:rPr>
          <w:rFonts w:ascii="Times New Roman" w:hAnsi="Times New Roman"/>
          <w:b/>
          <w:noProof/>
          <w:sz w:val="24"/>
        </w:rPr>
      </w:pPr>
      <w:r>
        <w:rPr>
          <w:noProof/>
        </w:rPr>
        <w:br w:type="page"/>
      </w:r>
    </w:p>
    <w:p w14:paraId="346CF16E" w14:textId="67451A42"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Ülikoolide tipptaseme strateegia; innovatsioon (meetme ID: 16289)</w:t>
      </w:r>
    </w:p>
    <w:p w14:paraId="5276CE0B" w14:textId="77777777" w:rsidR="00764877" w:rsidRPr="00E02B5D" w:rsidRDefault="00764877"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eesmärk on parandada Kreeka ülikoolide teadustöö tulemuslikkust ja avatust, sealhulgas meelitades ligi kvalifitseeritud ja silmapaistvaid akadeemilisi töötajaid ja teadlasi, ning parandada üliõpilastele pakutava hariduse kvaliteeti ja vastavust tööturu vajadustele. Eelkõige nähakse reformiga ette a) 70 teadusprojekti (teadusuuringute tipptaseme klastrid) rahastamiskava, mis on suunatud silmapaistvatele riiklikele või rahvusvahelistele akadeemilistele ringkondadele, et motiveerida neid teostama uuenduslikke ja koostööl põhinevaid teadusprojekte koos erasektori ettevõtetega Kreekas; b) rahastamiskava (külalisprofessorid/külalisteadlased), millega stimuleeritakse 60 väljapaistvat akadeemilist töötajat välisriikide ülikoolides või uurimisinstituutides, mis on suunatud peamiselt väljaspool ELi asuvatele ülikoolidele, ühinema Kreeka ülikoolidega maksimaalselt kaheks akadeemiliseks semestriks ning õpetama teaduskoostööprojekte või neis osalema; c) valitud Kreeka ülikoolide ning rakendusteaduste ja tehnoloogia osakondade teadus- ja haridustaristu ajakohastamine; d) rahastada koostöös erasektori ettevõtjatega kahe aasta jooksul 70 tööstusvaldkonna doktoriõppe programmi; e) rahastada üksikteadlasi või teadlaste rühmi tipptaseme kriteeriumide alusel; ning f) Kreeka raamatukogude riikliku võrgustiku digiüleminek. Reformi rakendamine viiakse lõpule 31. detsembriks 2025.</w:t>
      </w:r>
    </w:p>
    <w:p w14:paraId="32CB67F8"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Õpipoisiõppe süsteemi tugevdamine (meetme ID: 16794)</w:t>
      </w:r>
    </w:p>
    <w:p w14:paraId="4060651E" w14:textId="77777777" w:rsidR="00764877" w:rsidRPr="00E02B5D" w:rsidRDefault="0076487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eesmärk on taastada kutsehariduse ja -koolituse ning noorte tööhõivet käsitleva valitsuse strateegia lahutamatu osana riikliku tööturuasutuse (OAED EPAS) kutsekoolide õpipoisiõpe. Eelkõige hõlmab reform järgmist. 1) uue õigusraamistiku kehtestamine kutsehariduse ja -koolituse riiklikule süsteemile; 2) õppeprotsesside lihtsustamine ning uute meetodite ja vahendite, näiteks e-õppe platvormide ja digiteeritud koolitussisu integreerimine nii praktikantide kui ka koolitajate jaoks; 3) olemasolevate õppekavade hindamine, ümberkujundamine ja ajakohastamine (sotsiaalpartnerite ja tööandjate kaasabil), et viia need kooskõlla tööturu tegelike vajadustega; 4) kutsehariduse ja -koolituse infrastruktuuri uuendamine ja ajakohastamine (laborid ja seadmed); 5) EPASi hoonete renoveerimine, et parandada energiatõhusust ja ruumilist funktsionaalsust; 6) virtuaalse reaalsuse tehnoloogia integreerimine igapäevastesse õppemoodulitesse; 7) ulatusliku koolitajate koolitamise programmi rakendamine EPASi koolides; 8) teavituskampaania rakendamine õpipoisiõppe süsteemi edendamiseks. Sihtotstarbeline osa eraldatud toetustest aitab kaasa keskkonnasõbralike oskuste ja töökohtade loomisele ning keskkonnasäästlikule majandusele. Reformi rakendamine viiakse lõpule 31. detsembriks 2025.</w:t>
      </w:r>
    </w:p>
    <w:p w14:paraId="4A5DA12B" w14:textId="04FCD7AD" w:rsidR="0018328F" w:rsidRDefault="00764877" w:rsidP="0018328F">
      <w:pPr>
        <w:spacing w:before="120" w:after="120" w:line="240" w:lineRule="auto"/>
        <w:jc w:val="both"/>
        <w:rPr>
          <w:rFonts w:ascii="Times New Roman" w:hAnsi="Times New Roman"/>
          <w:noProof/>
          <w:sz w:val="24"/>
        </w:rPr>
      </w:pPr>
      <w:r>
        <w:rPr>
          <w:rFonts w:ascii="Times New Roman" w:hAnsi="Times New Roman"/>
          <w:noProof/>
          <w:sz w:val="24"/>
        </w:rPr>
        <w:t xml:space="preserve">Energiatõhususega seotud renoveerimised ja meetmed peavad vastama i) vähemalt keskmise põhjalikkusega renoveerimisele, nagu on määratletud komisjoni soovituses hoonete renoveerimise kohta (EL) 2019/786, või ii) tagama, et otsene ja kaudne kasvuhoonegaaside heide väheneks võrreldes eelneva heitega keskmiselt vähemalt 30 %.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w:t>
      </w:r>
      <w:r>
        <w:rPr>
          <w:rFonts w:ascii="Times New Roman" w:hAnsi="Times New Roman"/>
          <w:noProof/>
          <w:sz w:val="24"/>
        </w:rPr>
        <w:br w:type="page"/>
      </w:r>
    </w:p>
    <w:p w14:paraId="4D140970" w14:textId="4C53EAA5"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sealhulgas tagasitäitetoimingud, milles kasutatakse jäätmeid muude materjalide asendamiseks vastavalt jäätmehierarhiale ning ELi ehitus- ja lammutusjäätmete käitlemise protokollile.</w:t>
      </w:r>
    </w:p>
    <w:p w14:paraId="14BAE9DA"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Tööjõu oskuste omandamine, ümberõpe ja oskuste täiendamine reformitud koolitusmudeli abil (kutseharidus- ja  -koolitusreform) (meetme ID: 16792)</w:t>
      </w:r>
    </w:p>
    <w:p w14:paraId="61AA13B4" w14:textId="3139A420" w:rsidR="00764877" w:rsidRPr="00E02B5D" w:rsidRDefault="0076487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eesmärk on 1) parandada kvaliteedikontrolli (nt hindamissüsteemid, millega jälgitakse praktikantide edusamme ja tulemuslikkust) riiklike tööturuasutuste kutseõppeüksustes, 2)</w:t>
      </w:r>
      <w:r w:rsidR="00AE6F03">
        <w:rPr>
          <w:rFonts w:ascii="Times New Roman" w:hAnsi="Times New Roman"/>
          <w:noProof/>
          <w:sz w:val="24"/>
        </w:rPr>
        <w:t> </w:t>
      </w:r>
      <w:r>
        <w:rPr>
          <w:rFonts w:ascii="Times New Roman" w:hAnsi="Times New Roman"/>
          <w:noProof/>
          <w:sz w:val="24"/>
        </w:rPr>
        <w:t>ajakohastada nende mooduleid vastavalt tööturu praegustele ja tulevastele vajadustele osana DYPA aktiivse tööturupoliitika ulatuslikust reformist ning 3) edendada e-õpet ja koolitussisu digiteerimist. Sellega kaasnevad investeeringud laborite renoveerimisse ja seadmetega varustamisse. Reformi rakendamine viiakse lõpule 31. detsembriks 2025.</w:t>
      </w:r>
    </w:p>
    <w:p w14:paraId="54C2D37B"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Kutsehariduse ja -koolituse täiustamine (meetme ID: 16934)</w:t>
      </w:r>
    </w:p>
    <w:p w14:paraId="5137EF86" w14:textId="1D9AF014" w:rsidR="00764877" w:rsidRPr="00E02B5D" w:rsidRDefault="00764877" w:rsidP="00645BC7">
      <w:pPr>
        <w:spacing w:before="120" w:after="120" w:line="240" w:lineRule="auto"/>
        <w:jc w:val="both"/>
        <w:rPr>
          <w:rFonts w:ascii="Segoe UI" w:hAnsi="Segoe UI" w:cs="Segoe UI"/>
          <w:noProof/>
          <w:sz w:val="18"/>
          <w:szCs w:val="18"/>
        </w:rPr>
      </w:pPr>
      <w:r>
        <w:rPr>
          <w:rFonts w:ascii="Times New Roman" w:hAnsi="Times New Roman"/>
          <w:noProof/>
          <w:sz w:val="24"/>
        </w:rPr>
        <w:t>Kavandatud reformi eesmärk on kiirendada seaduse 4763/2020 rakendamist. Kavandatud meetmed peaksid 1) aitama muuta kutseharidust ja -koolitust atraktiivseks haridusteeks, 2)</w:t>
      </w:r>
      <w:r w:rsidR="00AE6F03">
        <w:rPr>
          <w:rFonts w:ascii="Times New Roman" w:hAnsi="Times New Roman"/>
          <w:noProof/>
          <w:sz w:val="24"/>
        </w:rPr>
        <w:t> </w:t>
      </w:r>
      <w:r>
        <w:rPr>
          <w:rFonts w:ascii="Times New Roman" w:hAnsi="Times New Roman"/>
          <w:noProof/>
          <w:sz w:val="24"/>
        </w:rPr>
        <w:t xml:space="preserve">tugevdama hariduse ja tööturu vajaduste vahelist seost ning 3) pakkuma oskusi, mida on vaja nii rohelisele majandusele kui ka digitaaltehnoloogiale üleminekuks, ning suurendama eelkõige noorte tööhõiveväljavaateid. Reform koosneb järgmistest osadest: a) viie temaatilise ja kümne eksperimentaalse IEKi (Vocational Training Institutes) projekteerimine ja arendamine hoonete renoveerimise, varustuse ja materjalide tarnimise, uute õppekavade ja koolitusprogrammide väljatöötamise ning koolitajatele täiendava hariduse/koolituse pakkumise kaudu; b) 25 kutsehariduse näidislütseumi (näidis-EPAL) kavandamine ja arendamine hoonete renoveerimise, varustuse ja materjalide tarnimise, uute õppekavade ja koolitusprogrammide väljatöötamise ning õpetajatele täiendava hariduse/koolituse pakkumise kaudu ( näidis-ΕPΑL); c) laiendada kvalifikatsioonide ja kutsenõustamise sertifitseerimise riikliku organisatsiooni (EOPPEP) digiteenuseid ning töötada välja e-õppe kutsehariduse ja -koolituse platvorm, mis muudab olemasolevad õppematerjalid e-õppe mooduliteks; </w:t>
      </w:r>
      <w:r>
        <w:rPr>
          <w:rFonts w:ascii="Times New Roman" w:hAnsi="Times New Roman"/>
          <w:noProof/>
          <w:color w:val="000000" w:themeColor="text1"/>
          <w:sz w:val="24"/>
        </w:rPr>
        <w:t>Kõigi projektide eesmärk on soodustada naiste osalemist kutsehariduses ja -koolituses ning edendada nende juhtimisoskusi.</w:t>
      </w:r>
      <w:r>
        <w:rPr>
          <w:rFonts w:ascii="Times New Roman" w:hAnsi="Times New Roman"/>
          <w:noProof/>
          <w:sz w:val="24"/>
        </w:rPr>
        <w:t xml:space="preserve"> Reformi rakendamine viiakse lõpule 31. detsembriks 2025.</w:t>
      </w:r>
    </w:p>
    <w:p w14:paraId="69ECB959"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Hariduse digiüleminek (meetme ID: 16676)</w:t>
      </w:r>
    </w:p>
    <w:p w14:paraId="398F8B16"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Investeeringuga nähakse ette hariduse digiüleminek sisu, taristu ja teenuste osas ning sellega kaasneb põhjalik reformistrateegia õppekavade ajakohastamiseks, teenuste ratsionaliseerimiseks ja haridustulemuste jälgimiseks. Investeering koosneb järgmistest komponentidest: digitaalne infosisu koolides; digiseadmed koolides; õpetajate kutsealane areng koolides ning digiteenused koolides ja ülikoolides. Investeeringu rakendamine viiakse lõpule 31. detsembriks 2025.</w:t>
      </w:r>
    </w:p>
    <w:p w14:paraId="52D79937"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Kutsehariduse ja -koolituse ajakohastamine: Laboriseadmete tarnimine IEKi, EPALi, teise aasta järgse õpipoisiõppe klassi ja kutseõppekoolidele (meetme ID: 16933)</w:t>
      </w:r>
    </w:p>
    <w:p w14:paraId="341DC519"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Selle investeeringuga ajakohastatakse ja uuendatakse Kreeka kutseharidus- ja -koolitusasutuste laboritaristuid, eelkõige seoses kutseõppeasutuste (IEK), kõrgemate kutsekoolide (EPAL), teise aasta järgse õpipoisiõppe klassi ja kutseõppekoolidega. See investeering täiendab kutsehariduse ja -koolituse ajakohastamise reformi. Investeeringu rakendamine viiakse lõpule 31. detsembriks 2025.</w:t>
      </w:r>
    </w:p>
    <w:p w14:paraId="751F1C0E" w14:textId="77777777" w:rsidR="00764877" w:rsidRPr="00AD4052" w:rsidRDefault="00764877" w:rsidP="00645BC7">
      <w:pPr>
        <w:spacing w:before="120" w:after="120" w:line="240" w:lineRule="auto"/>
        <w:ind w:left="709"/>
        <w:jc w:val="both"/>
        <w:rPr>
          <w:rFonts w:ascii="Times New Roman" w:hAnsi="Times New Roman" w:cs="Times New Roman"/>
          <w:noProof/>
          <w:sz w:val="24"/>
        </w:rPr>
      </w:pPr>
    </w:p>
    <w:p w14:paraId="7D323B28" w14:textId="77777777" w:rsidR="00764877" w:rsidRPr="00AD4052" w:rsidRDefault="00764877" w:rsidP="00645BC7">
      <w:pPr>
        <w:spacing w:before="120" w:after="120" w:line="240" w:lineRule="auto"/>
        <w:ind w:left="709"/>
        <w:jc w:val="both"/>
        <w:rPr>
          <w:rFonts w:ascii="Times New Roman" w:hAnsi="Times New Roman" w:cs="Times New Roman"/>
          <w:noProof/>
          <w:sz w:val="24"/>
        </w:rPr>
        <w:sectPr w:rsidR="00764877" w:rsidRPr="00AD4052" w:rsidSect="00271D33">
          <w:headerReference w:type="even" r:id="rId182"/>
          <w:headerReference w:type="default" r:id="rId183"/>
          <w:footerReference w:type="even" r:id="rId184"/>
          <w:footerReference w:type="default" r:id="rId185"/>
          <w:headerReference w:type="first" r:id="rId186"/>
          <w:footerReference w:type="first" r:id="rId187"/>
          <w:pgSz w:w="11907" w:h="16839"/>
          <w:pgMar w:top="1134" w:right="1418" w:bottom="1134" w:left="1418" w:header="709" w:footer="326" w:gutter="0"/>
          <w:cols w:space="720"/>
          <w:docGrid w:linePitch="360"/>
        </w:sectPr>
      </w:pPr>
    </w:p>
    <w:p w14:paraId="0B1478D4" w14:textId="77777777" w:rsidR="00764877" w:rsidRPr="00E02B5D" w:rsidRDefault="00764877" w:rsidP="00645BC7">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I.2. </w:t>
      </w:r>
      <w:r>
        <w:rPr>
          <w:noProof/>
        </w:rPr>
        <w:tab/>
      </w:r>
      <w:r>
        <w:rPr>
          <w:rFonts w:ascii="Times New Roman" w:hAnsi="Times New Roman"/>
          <w:b/>
          <w:noProof/>
          <w:sz w:val="24"/>
          <w:u w:val="single"/>
        </w:rPr>
        <w:t>Tagastamatu rahalise toetuse eesmärgid, sihid, näitajad ning seire ja rakendamise ajakava</w:t>
      </w:r>
    </w:p>
    <w:p w14:paraId="2B6C03E8" w14:textId="77777777" w:rsidR="00764877" w:rsidRDefault="00764877" w:rsidP="00645BC7">
      <w:pPr>
        <w:keepNext/>
        <w:keepLines/>
        <w:spacing w:before="40" w:after="0" w:line="240" w:lineRule="auto"/>
        <w:jc w:val="both"/>
        <w:outlineLvl w:val="4"/>
        <w:rPr>
          <w:rFonts w:ascii="Cambria" w:hAnsi="Cambria"/>
          <w:noProof/>
          <w:color w:val="365F91"/>
          <w:sz w:val="24"/>
        </w:rPr>
      </w:pPr>
      <w:r>
        <w:rPr>
          <w:rFonts w:ascii="Cambria" w:hAnsi="Cambria"/>
          <w:noProof/>
          <w:color w:val="365F91"/>
          <w:sz w:val="24"/>
        </w:rPr>
        <w:t>Suurimad investeeringud 5: Uus elukestva õppe strateegia: Kreeka oskuste täiendamise ja ümberõppe süsteemi ajakohastamine ja täiendamine</w:t>
      </w:r>
    </w:p>
    <w:p w14:paraId="69DE992B" w14:textId="77777777" w:rsidR="0052157A" w:rsidRPr="00AD4052" w:rsidRDefault="0052157A" w:rsidP="00645BC7">
      <w:pPr>
        <w:keepNext/>
        <w:keepLines/>
        <w:spacing w:before="40" w:after="0" w:line="240" w:lineRule="auto"/>
        <w:jc w:val="both"/>
        <w:outlineLvl w:val="4"/>
        <w:rPr>
          <w:rFonts w:ascii="Cambria" w:eastAsia="Times New Roman" w:hAnsi="Cambria"/>
          <w:noProof/>
          <w:color w:val="365F91"/>
          <w:sz w:val="24"/>
        </w:rPr>
      </w:pPr>
    </w:p>
    <w:tbl>
      <w:tblPr>
        <w:tblW w:w="15502" w:type="dxa"/>
        <w:jc w:val="center"/>
        <w:tblLayout w:type="fixed"/>
        <w:tblLook w:val="04A0" w:firstRow="1" w:lastRow="0" w:firstColumn="1" w:lastColumn="0" w:noHBand="0" w:noVBand="1"/>
      </w:tblPr>
      <w:tblGrid>
        <w:gridCol w:w="1188"/>
        <w:gridCol w:w="1319"/>
        <w:gridCol w:w="1043"/>
        <w:gridCol w:w="1142"/>
        <w:gridCol w:w="1459"/>
        <w:gridCol w:w="1332"/>
        <w:gridCol w:w="870"/>
        <w:gridCol w:w="998"/>
        <w:gridCol w:w="850"/>
        <w:gridCol w:w="709"/>
        <w:gridCol w:w="4592"/>
      </w:tblGrid>
      <w:tr w:rsidR="00764877" w:rsidRPr="003B132A" w14:paraId="2B218278" w14:textId="77777777" w:rsidTr="0052157A">
        <w:trPr>
          <w:trHeight w:val="740"/>
          <w:tblHeader/>
          <w:jc w:val="center"/>
        </w:trPr>
        <w:tc>
          <w:tcPr>
            <w:tcW w:w="11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BA7082D"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F15BFE"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632193"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142" w:type="dxa"/>
            <w:vMerge w:val="restart"/>
            <w:tcBorders>
              <w:top w:val="single" w:sz="4" w:space="0" w:color="auto"/>
              <w:left w:val="nil"/>
              <w:bottom w:val="single" w:sz="4" w:space="0" w:color="auto"/>
              <w:right w:val="single" w:sz="4" w:space="0" w:color="auto"/>
            </w:tcBorders>
            <w:shd w:val="clear" w:color="auto" w:fill="BDD7EE"/>
            <w:vAlign w:val="center"/>
            <w:hideMark/>
          </w:tcPr>
          <w:p w14:paraId="1D0BD973"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A1CA78"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200" w:type="dxa"/>
            <w:gridSpan w:val="3"/>
            <w:tcBorders>
              <w:top w:val="single" w:sz="4" w:space="0" w:color="auto"/>
              <w:left w:val="nil"/>
              <w:bottom w:val="single" w:sz="4" w:space="0" w:color="auto"/>
              <w:right w:val="single" w:sz="4" w:space="0" w:color="auto"/>
            </w:tcBorders>
            <w:shd w:val="clear" w:color="auto" w:fill="BDD7EE"/>
            <w:vAlign w:val="center"/>
            <w:hideMark/>
          </w:tcPr>
          <w:p w14:paraId="5BE1588D"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6F0EF5D5"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5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F9D9B3"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64877" w:rsidRPr="00E02B5D" w14:paraId="20A0C741" w14:textId="77777777" w:rsidTr="0052157A">
        <w:trPr>
          <w:trHeight w:val="512"/>
          <w:tblHeader/>
          <w:jc w:val="center"/>
        </w:trPr>
        <w:tc>
          <w:tcPr>
            <w:tcW w:w="1188" w:type="dxa"/>
            <w:vMerge/>
            <w:tcBorders>
              <w:top w:val="single" w:sz="4" w:space="0" w:color="auto"/>
              <w:left w:val="single" w:sz="4" w:space="0" w:color="auto"/>
              <w:bottom w:val="single" w:sz="4" w:space="0" w:color="000000"/>
              <w:right w:val="single" w:sz="4" w:space="0" w:color="auto"/>
            </w:tcBorders>
            <w:vAlign w:val="center"/>
            <w:hideMark/>
          </w:tcPr>
          <w:p w14:paraId="3F96F249"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1CD9B94E"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14:paraId="67A6B68E"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142" w:type="dxa"/>
            <w:vMerge/>
            <w:tcBorders>
              <w:top w:val="single" w:sz="4" w:space="0" w:color="auto"/>
              <w:left w:val="nil"/>
              <w:bottom w:val="single" w:sz="4" w:space="0" w:color="000000"/>
              <w:right w:val="single" w:sz="4" w:space="0" w:color="auto"/>
            </w:tcBorders>
            <w:vAlign w:val="center"/>
            <w:hideMark/>
          </w:tcPr>
          <w:p w14:paraId="01B661E5"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14:paraId="4CD64EC7"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332" w:type="dxa"/>
            <w:tcBorders>
              <w:top w:val="single" w:sz="4" w:space="0" w:color="auto"/>
              <w:left w:val="nil"/>
              <w:bottom w:val="single" w:sz="4" w:space="0" w:color="auto"/>
              <w:right w:val="single" w:sz="4" w:space="0" w:color="auto"/>
            </w:tcBorders>
            <w:shd w:val="clear" w:color="auto" w:fill="BDD7EE"/>
            <w:vAlign w:val="center"/>
            <w:hideMark/>
          </w:tcPr>
          <w:p w14:paraId="5499182A"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870" w:type="dxa"/>
            <w:tcBorders>
              <w:top w:val="single" w:sz="4" w:space="0" w:color="auto"/>
              <w:left w:val="nil"/>
              <w:bottom w:val="single" w:sz="4" w:space="0" w:color="auto"/>
              <w:right w:val="single" w:sz="4" w:space="0" w:color="auto"/>
            </w:tcBorders>
            <w:shd w:val="clear" w:color="auto" w:fill="BDD7EE"/>
            <w:vAlign w:val="center"/>
            <w:hideMark/>
          </w:tcPr>
          <w:p w14:paraId="1040D502"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98" w:type="dxa"/>
            <w:tcBorders>
              <w:top w:val="single" w:sz="4" w:space="0" w:color="auto"/>
              <w:left w:val="nil"/>
              <w:bottom w:val="single" w:sz="4" w:space="0" w:color="auto"/>
              <w:right w:val="single" w:sz="4" w:space="0" w:color="auto"/>
            </w:tcBorders>
            <w:shd w:val="clear" w:color="auto" w:fill="BDD7EE"/>
            <w:vAlign w:val="center"/>
            <w:hideMark/>
          </w:tcPr>
          <w:p w14:paraId="223867B9"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14:paraId="68EFEE4F"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57963F30"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592" w:type="dxa"/>
            <w:vMerge/>
            <w:tcBorders>
              <w:top w:val="single" w:sz="4" w:space="0" w:color="auto"/>
              <w:left w:val="single" w:sz="4" w:space="0" w:color="auto"/>
              <w:bottom w:val="single" w:sz="4" w:space="0" w:color="auto"/>
              <w:right w:val="single" w:sz="4" w:space="0" w:color="auto"/>
            </w:tcBorders>
            <w:vAlign w:val="center"/>
            <w:hideMark/>
          </w:tcPr>
          <w:p w14:paraId="3A030342" w14:textId="77777777" w:rsidR="00764877" w:rsidRPr="00E02B5D" w:rsidRDefault="00764877" w:rsidP="00D16F13">
            <w:pPr>
              <w:spacing w:after="0" w:line="240" w:lineRule="auto"/>
              <w:rPr>
                <w:rFonts w:ascii="Times New Roman" w:eastAsia="Times New Roman" w:hAnsi="Times New Roman" w:cs="Times New Roman"/>
                <w:b/>
                <w:bCs/>
                <w:noProof/>
                <w:sz w:val="18"/>
                <w:szCs w:val="18"/>
                <w:lang w:val="en-GB" w:eastAsia="en-GB"/>
              </w:rPr>
            </w:pPr>
          </w:p>
        </w:tc>
      </w:tr>
      <w:tr w:rsidR="00764877" w:rsidRPr="003B132A" w14:paraId="2D62275F" w14:textId="77777777" w:rsidTr="00D16F13">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14:paraId="5308DF0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138</w:t>
            </w:r>
          </w:p>
        </w:tc>
        <w:tc>
          <w:tcPr>
            <w:tcW w:w="1319" w:type="dxa"/>
            <w:tcBorders>
              <w:top w:val="nil"/>
              <w:left w:val="nil"/>
              <w:bottom w:val="single" w:sz="4" w:space="0" w:color="auto"/>
              <w:right w:val="single" w:sz="4" w:space="0" w:color="auto"/>
            </w:tcBorders>
            <w:shd w:val="clear" w:color="auto" w:fill="C6EFCE"/>
            <w:noWrap/>
          </w:tcPr>
          <w:p w14:paraId="166013C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16913_Elukestvate oskuste omandamise uus strateegia: Kreeka oskuste täiendamise ja ümberõppe süsteemi ajakohastamine ja täiendamine</w:t>
            </w:r>
          </w:p>
        </w:tc>
        <w:tc>
          <w:tcPr>
            <w:tcW w:w="1043" w:type="dxa"/>
            <w:tcBorders>
              <w:top w:val="nil"/>
              <w:left w:val="nil"/>
              <w:bottom w:val="single" w:sz="4" w:space="0" w:color="auto"/>
              <w:right w:val="single" w:sz="4" w:space="0" w:color="auto"/>
            </w:tcBorders>
            <w:shd w:val="clear" w:color="auto" w:fill="C6EFCE"/>
            <w:noWrap/>
          </w:tcPr>
          <w:p w14:paraId="7EE2F6F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142" w:type="dxa"/>
            <w:tcBorders>
              <w:top w:val="nil"/>
              <w:left w:val="nil"/>
              <w:bottom w:val="single" w:sz="4" w:space="0" w:color="auto"/>
              <w:right w:val="single" w:sz="4" w:space="0" w:color="auto"/>
            </w:tcBorders>
            <w:shd w:val="clear" w:color="auto" w:fill="C6EFCE"/>
            <w:noWrap/>
          </w:tcPr>
          <w:p w14:paraId="6429DE8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Elukestva õppe strateegia õigusaktide jõustumine</w:t>
            </w:r>
          </w:p>
        </w:tc>
        <w:tc>
          <w:tcPr>
            <w:tcW w:w="1459" w:type="dxa"/>
            <w:tcBorders>
              <w:top w:val="nil"/>
              <w:left w:val="nil"/>
              <w:bottom w:val="single" w:sz="4" w:space="0" w:color="auto"/>
              <w:right w:val="single" w:sz="4" w:space="0" w:color="auto"/>
            </w:tcBorders>
            <w:shd w:val="clear" w:color="auto" w:fill="C6EFCE"/>
            <w:noWrap/>
          </w:tcPr>
          <w:p w14:paraId="354B289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Esmaste ja teiseste õigusaktide jõustumine </w:t>
            </w:r>
          </w:p>
        </w:tc>
        <w:tc>
          <w:tcPr>
            <w:tcW w:w="1332" w:type="dxa"/>
            <w:tcBorders>
              <w:top w:val="nil"/>
              <w:left w:val="nil"/>
              <w:bottom w:val="single" w:sz="4" w:space="0" w:color="auto"/>
              <w:right w:val="single" w:sz="4" w:space="0" w:color="auto"/>
            </w:tcBorders>
            <w:shd w:val="clear" w:color="auto" w:fill="C6EFCE"/>
            <w:noWrap/>
          </w:tcPr>
          <w:p w14:paraId="1F608471"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70" w:type="dxa"/>
            <w:tcBorders>
              <w:top w:val="nil"/>
              <w:left w:val="nil"/>
              <w:bottom w:val="single" w:sz="4" w:space="0" w:color="auto"/>
              <w:right w:val="single" w:sz="4" w:space="0" w:color="auto"/>
            </w:tcBorders>
            <w:shd w:val="clear" w:color="auto" w:fill="C6EFCE"/>
            <w:noWrap/>
          </w:tcPr>
          <w:p w14:paraId="54C5B240"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98" w:type="dxa"/>
            <w:tcBorders>
              <w:top w:val="nil"/>
              <w:left w:val="nil"/>
              <w:bottom w:val="single" w:sz="4" w:space="0" w:color="auto"/>
              <w:right w:val="single" w:sz="4" w:space="0" w:color="auto"/>
            </w:tcBorders>
            <w:shd w:val="clear" w:color="auto" w:fill="C6EFCE"/>
            <w:noWrap/>
          </w:tcPr>
          <w:p w14:paraId="3F541ADD"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50" w:type="dxa"/>
            <w:tcBorders>
              <w:top w:val="nil"/>
              <w:left w:val="nil"/>
              <w:bottom w:val="single" w:sz="4" w:space="0" w:color="auto"/>
              <w:right w:val="single" w:sz="4" w:space="0" w:color="auto"/>
            </w:tcBorders>
            <w:shd w:val="clear" w:color="auto" w:fill="C6EFCE"/>
            <w:noWrap/>
          </w:tcPr>
          <w:p w14:paraId="1897736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709" w:type="dxa"/>
            <w:tcBorders>
              <w:top w:val="nil"/>
              <w:left w:val="nil"/>
              <w:bottom w:val="single" w:sz="4" w:space="0" w:color="auto"/>
              <w:right w:val="single" w:sz="4" w:space="0" w:color="auto"/>
            </w:tcBorders>
            <w:shd w:val="clear" w:color="auto" w:fill="C6EFCE"/>
            <w:noWrap/>
          </w:tcPr>
          <w:p w14:paraId="05338F4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2022</w:t>
            </w:r>
          </w:p>
        </w:tc>
        <w:tc>
          <w:tcPr>
            <w:tcW w:w="4592" w:type="dxa"/>
            <w:tcBorders>
              <w:top w:val="nil"/>
              <w:left w:val="nil"/>
              <w:bottom w:val="single" w:sz="4" w:space="0" w:color="auto"/>
              <w:right w:val="single" w:sz="4" w:space="0" w:color="auto"/>
            </w:tcBorders>
            <w:shd w:val="clear" w:color="auto" w:fill="C6EFCE"/>
            <w:noWrap/>
          </w:tcPr>
          <w:p w14:paraId="260BCA7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Elukestva õppe riikliku strateegia alusel jõustuvad esmased ja teisesed õigusaktid, milles sätestatakse uue elukestva õppe raamistiku põhielemendid (sealhulgas sätted, millega luuakse riiklik oskuste nõukogu keskse järelevalveorganina, et luua elukestva õppe oskuste arvepidamine, riiklik abikõlblike koolituspakkujate nimekiri ja tulemustabel ning tööturu diagnoosimismehhanism).</w:t>
            </w:r>
          </w:p>
        </w:tc>
      </w:tr>
      <w:tr w:rsidR="00764877" w:rsidRPr="003B132A" w14:paraId="0FCBA511" w14:textId="77777777" w:rsidTr="00D16F13">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14:paraId="298D249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139</w:t>
            </w:r>
          </w:p>
        </w:tc>
        <w:tc>
          <w:tcPr>
            <w:tcW w:w="1319" w:type="dxa"/>
            <w:tcBorders>
              <w:top w:val="nil"/>
              <w:left w:val="nil"/>
              <w:bottom w:val="single" w:sz="4" w:space="0" w:color="auto"/>
              <w:right w:val="single" w:sz="4" w:space="0" w:color="auto"/>
            </w:tcBorders>
            <w:shd w:val="clear" w:color="auto" w:fill="C6EFCE"/>
            <w:noWrap/>
          </w:tcPr>
          <w:p w14:paraId="26C11D0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16913_Elukestvate oskuste omandamise uus strateegia: Kreeka oskuste täiendamise ja ümberõppe süsteemi ajakohastamine ja täiendamine</w:t>
            </w:r>
          </w:p>
        </w:tc>
        <w:tc>
          <w:tcPr>
            <w:tcW w:w="1043" w:type="dxa"/>
            <w:tcBorders>
              <w:top w:val="nil"/>
              <w:left w:val="nil"/>
              <w:bottom w:val="single" w:sz="4" w:space="0" w:color="auto"/>
              <w:right w:val="single" w:sz="4" w:space="0" w:color="auto"/>
            </w:tcBorders>
            <w:shd w:val="clear" w:color="auto" w:fill="C6EFCE"/>
            <w:noWrap/>
          </w:tcPr>
          <w:p w14:paraId="5983788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142" w:type="dxa"/>
            <w:tcBorders>
              <w:top w:val="nil"/>
              <w:left w:val="nil"/>
              <w:bottom w:val="single" w:sz="4" w:space="0" w:color="auto"/>
              <w:right w:val="single" w:sz="4" w:space="0" w:color="auto"/>
            </w:tcBorders>
            <w:shd w:val="clear" w:color="auto" w:fill="C6EFCE"/>
            <w:noWrap/>
          </w:tcPr>
          <w:p w14:paraId="23B3847F" w14:textId="77777777" w:rsidR="00764877" w:rsidRPr="00E02B5D" w:rsidRDefault="00764877" w:rsidP="00D16F13">
            <w:pPr>
              <w:spacing w:after="0" w:line="240" w:lineRule="auto"/>
              <w:rPr>
                <w:rFonts w:eastAsia="Times New Roman" w:cs="Calibri"/>
                <w:noProof/>
                <w:color w:val="006100"/>
                <w:sz w:val="18"/>
                <w:szCs w:val="18"/>
                <w:highlight w:val="yellow"/>
              </w:rPr>
            </w:pPr>
            <w:r>
              <w:rPr>
                <w:noProof/>
                <w:color w:val="006100"/>
                <w:sz w:val="18"/>
              </w:rPr>
              <w:t>Koolitusprogrammid „Elukestev õpe“ – strateegia lõpuleviimine – valideerimine</w:t>
            </w:r>
          </w:p>
        </w:tc>
        <w:tc>
          <w:tcPr>
            <w:tcW w:w="1459" w:type="dxa"/>
            <w:tcBorders>
              <w:top w:val="nil"/>
              <w:left w:val="nil"/>
              <w:bottom w:val="single" w:sz="4" w:space="0" w:color="auto"/>
              <w:right w:val="single" w:sz="4" w:space="0" w:color="auto"/>
            </w:tcBorders>
            <w:shd w:val="clear" w:color="auto" w:fill="C6EFCE"/>
            <w:noWrap/>
          </w:tcPr>
          <w:p w14:paraId="38EED17B" w14:textId="77777777" w:rsidR="00764877" w:rsidRPr="00AD4052" w:rsidRDefault="00764877" w:rsidP="00D16F13">
            <w:pPr>
              <w:spacing w:after="0" w:line="240" w:lineRule="auto"/>
              <w:rPr>
                <w:rFonts w:eastAsia="Times New Roman" w:cs="Calibri"/>
                <w:noProof/>
                <w:color w:val="006100"/>
                <w:sz w:val="18"/>
                <w:szCs w:val="18"/>
                <w:lang w:val="it-IT" w:eastAsia="en-GB"/>
              </w:rPr>
            </w:pPr>
          </w:p>
        </w:tc>
        <w:tc>
          <w:tcPr>
            <w:tcW w:w="1332" w:type="dxa"/>
            <w:tcBorders>
              <w:top w:val="nil"/>
              <w:left w:val="nil"/>
              <w:bottom w:val="single" w:sz="4" w:space="0" w:color="auto"/>
              <w:right w:val="single" w:sz="4" w:space="0" w:color="auto"/>
            </w:tcBorders>
            <w:shd w:val="clear" w:color="auto" w:fill="C6EFCE"/>
            <w:noWrap/>
          </w:tcPr>
          <w:p w14:paraId="3CE7314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Eduka pakkuja tõendi saanud isikute arv</w:t>
            </w:r>
          </w:p>
          <w:p w14:paraId="0C594EB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koolitusprogrammis osalemine</w:t>
            </w:r>
          </w:p>
        </w:tc>
        <w:tc>
          <w:tcPr>
            <w:tcW w:w="870" w:type="dxa"/>
            <w:tcBorders>
              <w:top w:val="nil"/>
              <w:left w:val="nil"/>
              <w:bottom w:val="single" w:sz="4" w:space="0" w:color="auto"/>
              <w:right w:val="single" w:sz="4" w:space="0" w:color="auto"/>
            </w:tcBorders>
            <w:shd w:val="clear" w:color="auto" w:fill="C6EFCE"/>
            <w:noWrap/>
          </w:tcPr>
          <w:p w14:paraId="592DED51" w14:textId="77777777" w:rsidR="00764877" w:rsidRDefault="00764877" w:rsidP="00D16F13">
            <w:pPr>
              <w:spacing w:after="0" w:line="240" w:lineRule="auto"/>
              <w:rPr>
                <w:noProof/>
                <w:color w:val="006100"/>
                <w:sz w:val="18"/>
              </w:rPr>
            </w:pPr>
            <w:r>
              <w:rPr>
                <w:noProof/>
                <w:color w:val="006100"/>
                <w:sz w:val="18"/>
              </w:rPr>
              <w:t>0</w:t>
            </w:r>
          </w:p>
          <w:p w14:paraId="51F61BA9" w14:textId="77777777" w:rsidR="00AA541B" w:rsidRPr="00AA541B" w:rsidRDefault="00AA541B" w:rsidP="00AA541B">
            <w:pPr>
              <w:rPr>
                <w:rFonts w:eastAsia="Times New Roman" w:cs="Calibri"/>
                <w:noProof/>
                <w:sz w:val="18"/>
                <w:szCs w:val="18"/>
                <w:lang w:val="en-GB"/>
              </w:rPr>
            </w:pPr>
          </w:p>
          <w:p w14:paraId="698FF710" w14:textId="77777777" w:rsidR="00AA541B" w:rsidRPr="00AA541B" w:rsidRDefault="00AA541B" w:rsidP="00AA541B">
            <w:pPr>
              <w:rPr>
                <w:rFonts w:eastAsia="Times New Roman" w:cs="Calibri"/>
                <w:noProof/>
                <w:sz w:val="18"/>
                <w:szCs w:val="18"/>
                <w:lang w:val="en-GB"/>
              </w:rPr>
            </w:pPr>
          </w:p>
          <w:p w14:paraId="53060464" w14:textId="77777777" w:rsidR="00AA541B" w:rsidRPr="00AA541B" w:rsidRDefault="00AA541B" w:rsidP="00AA541B">
            <w:pPr>
              <w:rPr>
                <w:rFonts w:eastAsia="Times New Roman" w:cs="Calibri"/>
                <w:noProof/>
                <w:sz w:val="18"/>
                <w:szCs w:val="18"/>
                <w:lang w:val="en-GB"/>
              </w:rPr>
            </w:pPr>
          </w:p>
          <w:p w14:paraId="28E35987" w14:textId="77777777" w:rsidR="00AA541B" w:rsidRPr="00AA541B" w:rsidRDefault="00AA541B" w:rsidP="00AA541B">
            <w:pPr>
              <w:rPr>
                <w:rFonts w:eastAsia="Times New Roman" w:cs="Calibri"/>
                <w:noProof/>
                <w:sz w:val="18"/>
                <w:szCs w:val="18"/>
                <w:lang w:val="en-GB"/>
              </w:rPr>
            </w:pPr>
          </w:p>
          <w:p w14:paraId="34EE6AC8" w14:textId="77777777" w:rsidR="00AA541B" w:rsidRPr="00AA541B" w:rsidRDefault="00AA541B" w:rsidP="00AA541B">
            <w:pPr>
              <w:rPr>
                <w:rFonts w:eastAsia="Times New Roman" w:cs="Calibri"/>
                <w:noProof/>
                <w:sz w:val="18"/>
                <w:szCs w:val="18"/>
                <w:lang w:val="en-GB"/>
              </w:rPr>
            </w:pPr>
          </w:p>
          <w:p w14:paraId="39835339" w14:textId="77777777" w:rsidR="00AA541B" w:rsidRPr="00AA541B" w:rsidRDefault="00AA541B" w:rsidP="00AA541B">
            <w:pPr>
              <w:rPr>
                <w:rFonts w:eastAsia="Times New Roman" w:cs="Calibri"/>
                <w:noProof/>
                <w:sz w:val="18"/>
                <w:szCs w:val="18"/>
                <w:lang w:val="en-GB"/>
              </w:rPr>
            </w:pPr>
          </w:p>
          <w:p w14:paraId="7E1C8001" w14:textId="77777777" w:rsidR="00AA541B" w:rsidRPr="00AA541B" w:rsidRDefault="00AA541B" w:rsidP="00AA541B">
            <w:pPr>
              <w:rPr>
                <w:rFonts w:eastAsia="Times New Roman" w:cs="Calibri"/>
                <w:noProof/>
                <w:sz w:val="18"/>
                <w:szCs w:val="18"/>
                <w:lang w:val="en-GB"/>
              </w:rPr>
            </w:pPr>
          </w:p>
        </w:tc>
        <w:tc>
          <w:tcPr>
            <w:tcW w:w="998" w:type="dxa"/>
            <w:tcBorders>
              <w:top w:val="nil"/>
              <w:left w:val="nil"/>
              <w:bottom w:val="single" w:sz="4" w:space="0" w:color="auto"/>
              <w:right w:val="single" w:sz="4" w:space="0" w:color="auto"/>
            </w:tcBorders>
            <w:shd w:val="clear" w:color="auto" w:fill="C6EFCE"/>
            <w:noWrap/>
          </w:tcPr>
          <w:p w14:paraId="26679F7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150 000</w:t>
            </w:r>
          </w:p>
        </w:tc>
        <w:tc>
          <w:tcPr>
            <w:tcW w:w="850" w:type="dxa"/>
            <w:tcBorders>
              <w:top w:val="nil"/>
              <w:left w:val="nil"/>
              <w:bottom w:val="single" w:sz="4" w:space="0" w:color="auto"/>
              <w:right w:val="single" w:sz="4" w:space="0" w:color="auto"/>
            </w:tcBorders>
            <w:shd w:val="clear" w:color="auto" w:fill="C6EFCE"/>
            <w:noWrap/>
          </w:tcPr>
          <w:p w14:paraId="705CC6A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323D161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2022</w:t>
            </w:r>
          </w:p>
        </w:tc>
        <w:tc>
          <w:tcPr>
            <w:tcW w:w="4592" w:type="dxa"/>
            <w:tcBorders>
              <w:top w:val="nil"/>
              <w:left w:val="nil"/>
              <w:bottom w:val="single" w:sz="4" w:space="0" w:color="auto"/>
              <w:right w:val="single" w:sz="4" w:space="0" w:color="auto"/>
            </w:tcBorders>
            <w:shd w:val="clear" w:color="auto" w:fill="C6EFCE"/>
            <w:noWrap/>
          </w:tcPr>
          <w:p w14:paraId="6C86015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Digitaal-, keskkonna- ja finantskirjaoskuse alaste koolitusprogrammide lõpuleviimine vähemalt 150 000 osaleja jaoks ning kõigi edukate osalejate jaoks omandatud oskuste valideerimine ja sertifitseerimine. </w:t>
            </w:r>
          </w:p>
          <w:p w14:paraId="6BED75C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 Selle investeeringuga täidetakse järgmiste elanikkonnarühmade digikirjaoskuse, rohelise kirjaoskuse ja finantskirjaoskusega seotud vajadused: a) töötud, eelkõige noored ja pikaajalised töötud, b) töötajad, eelkõige need, kellel on suur töötuse oht, ja need, kes on tööruumi tehnoloogia tõttu kõrvale jäetud, c) töötajad, eriti VKEdes, kellel on piiratud ettevõttesisene koolitussuutlikkus, d) avaliku sektori töötajad, sealhulgas õpetajad. Pakutavad oskused on järgmised: a) algtaseme digioskused, b) kesktaseme digioskused, c) rohelised oskused ja d) finantskirjaoskuse oskused.</w:t>
            </w:r>
          </w:p>
        </w:tc>
      </w:tr>
      <w:tr w:rsidR="00764877" w:rsidRPr="003B132A" w14:paraId="4AAEAD81" w14:textId="77777777" w:rsidTr="00D16F13">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hideMark/>
          </w:tcPr>
          <w:p w14:paraId="12882DF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140</w:t>
            </w:r>
          </w:p>
        </w:tc>
        <w:tc>
          <w:tcPr>
            <w:tcW w:w="1319" w:type="dxa"/>
            <w:tcBorders>
              <w:top w:val="nil"/>
              <w:left w:val="nil"/>
              <w:bottom w:val="single" w:sz="4" w:space="0" w:color="auto"/>
              <w:right w:val="single" w:sz="4" w:space="0" w:color="auto"/>
            </w:tcBorders>
            <w:shd w:val="clear" w:color="auto" w:fill="C6EFCE"/>
            <w:noWrap/>
            <w:hideMark/>
          </w:tcPr>
          <w:p w14:paraId="0D57CD00" w14:textId="265505C6"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16913_Elukestvate oskuste omandamise uus strateegia: Kreeka oskuste täiendamise ja ümberõppe süsteemi ajakohastamine ja täiendamine</w:t>
            </w:r>
          </w:p>
        </w:tc>
        <w:tc>
          <w:tcPr>
            <w:tcW w:w="1043" w:type="dxa"/>
            <w:tcBorders>
              <w:top w:val="nil"/>
              <w:left w:val="nil"/>
              <w:bottom w:val="single" w:sz="4" w:space="0" w:color="auto"/>
              <w:right w:val="single" w:sz="4" w:space="0" w:color="auto"/>
            </w:tcBorders>
            <w:shd w:val="clear" w:color="auto" w:fill="C6EFCE"/>
            <w:noWrap/>
            <w:hideMark/>
          </w:tcPr>
          <w:p w14:paraId="7C6026E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142" w:type="dxa"/>
            <w:tcBorders>
              <w:top w:val="nil"/>
              <w:left w:val="nil"/>
              <w:bottom w:val="single" w:sz="4" w:space="0" w:color="auto"/>
              <w:right w:val="single" w:sz="4" w:space="0" w:color="auto"/>
            </w:tcBorders>
            <w:shd w:val="clear" w:color="auto" w:fill="C6EFCE"/>
            <w:noWrap/>
            <w:hideMark/>
          </w:tcPr>
          <w:p w14:paraId="0FC25F9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Elukestva õppe programmide etapiviisilise lõpetamise valideerimine</w:t>
            </w:r>
          </w:p>
        </w:tc>
        <w:tc>
          <w:tcPr>
            <w:tcW w:w="1459" w:type="dxa"/>
            <w:tcBorders>
              <w:top w:val="nil"/>
              <w:left w:val="nil"/>
              <w:bottom w:val="single" w:sz="4" w:space="0" w:color="auto"/>
              <w:right w:val="single" w:sz="4" w:space="0" w:color="auto"/>
            </w:tcBorders>
            <w:shd w:val="clear" w:color="auto" w:fill="C6EFCE"/>
            <w:noWrap/>
            <w:hideMark/>
          </w:tcPr>
          <w:p w14:paraId="2ED8EEC1"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1332" w:type="dxa"/>
            <w:tcBorders>
              <w:top w:val="nil"/>
              <w:left w:val="nil"/>
              <w:bottom w:val="single" w:sz="4" w:space="0" w:color="auto"/>
              <w:right w:val="single" w:sz="4" w:space="0" w:color="auto"/>
            </w:tcBorders>
            <w:shd w:val="clear" w:color="auto" w:fill="C6EFCE"/>
            <w:noWrap/>
            <w:hideMark/>
          </w:tcPr>
          <w:p w14:paraId="534C3AF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Eduka pakkuja tõendi saanud isikute arv</w:t>
            </w:r>
          </w:p>
          <w:p w14:paraId="2E7F72F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koolitusprogrammi lõpuleviimine</w:t>
            </w:r>
          </w:p>
        </w:tc>
        <w:tc>
          <w:tcPr>
            <w:tcW w:w="870" w:type="dxa"/>
            <w:tcBorders>
              <w:top w:val="nil"/>
              <w:left w:val="nil"/>
              <w:bottom w:val="single" w:sz="4" w:space="0" w:color="auto"/>
              <w:right w:val="single" w:sz="4" w:space="0" w:color="auto"/>
            </w:tcBorders>
            <w:shd w:val="clear" w:color="auto" w:fill="C6EFCE"/>
            <w:noWrap/>
            <w:hideMark/>
          </w:tcPr>
          <w:p w14:paraId="6A6B62D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150 000</w:t>
            </w:r>
          </w:p>
        </w:tc>
        <w:tc>
          <w:tcPr>
            <w:tcW w:w="998" w:type="dxa"/>
            <w:tcBorders>
              <w:top w:val="nil"/>
              <w:left w:val="nil"/>
              <w:bottom w:val="single" w:sz="4" w:space="0" w:color="auto"/>
              <w:right w:val="single" w:sz="4" w:space="0" w:color="auto"/>
            </w:tcBorders>
            <w:shd w:val="clear" w:color="auto" w:fill="C6EFCE"/>
            <w:noWrap/>
            <w:hideMark/>
          </w:tcPr>
          <w:p w14:paraId="34BCF4B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500 000</w:t>
            </w:r>
          </w:p>
        </w:tc>
        <w:tc>
          <w:tcPr>
            <w:tcW w:w="850" w:type="dxa"/>
            <w:tcBorders>
              <w:top w:val="nil"/>
              <w:left w:val="nil"/>
              <w:bottom w:val="single" w:sz="4" w:space="0" w:color="auto"/>
              <w:right w:val="single" w:sz="4" w:space="0" w:color="auto"/>
            </w:tcBorders>
            <w:shd w:val="clear" w:color="auto" w:fill="C6EFCE"/>
            <w:noWrap/>
            <w:hideMark/>
          </w:tcPr>
          <w:p w14:paraId="50057D1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hideMark/>
          </w:tcPr>
          <w:p w14:paraId="7D9D401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592" w:type="dxa"/>
            <w:tcBorders>
              <w:top w:val="nil"/>
              <w:left w:val="nil"/>
              <w:bottom w:val="single" w:sz="4" w:space="0" w:color="auto"/>
              <w:right w:val="single" w:sz="4" w:space="0" w:color="auto"/>
            </w:tcBorders>
            <w:shd w:val="clear" w:color="auto" w:fill="C6EFCE"/>
            <w:noWrap/>
            <w:hideMark/>
          </w:tcPr>
          <w:p w14:paraId="14B1611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Digitaal-, keskkonna- ja finantskirjaoskuse alaste koolitusprogrammide lõpuleviimine 500 000 osaleja jaoks (kumulatiivne, 1. ja 2. õppelaine) ning mõlema koolituslaine kaudu omandatud oskuste valideerimine ja sertifitseerimine kõigi edukate osalejate jaoks. </w:t>
            </w:r>
          </w:p>
          <w:p w14:paraId="73E59C6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Osalejate koguarvust vähemalt 33 % (167 000 osalejat) peavad olema läbi viinud keskkonnahoidlike oskuste ja keskkonnahoidliku majanduse töökohtadega seotud koolitusprogramme. </w:t>
            </w:r>
          </w:p>
        </w:tc>
      </w:tr>
    </w:tbl>
    <w:p w14:paraId="2A4318CA" w14:textId="77777777" w:rsidR="00764877" w:rsidRPr="00AD4052" w:rsidRDefault="00764877" w:rsidP="00645BC7">
      <w:pPr>
        <w:spacing w:before="120" w:after="120" w:line="240" w:lineRule="auto"/>
        <w:jc w:val="both"/>
        <w:rPr>
          <w:rFonts w:ascii="Times New Roman" w:hAnsi="Times New Roman" w:cs="Times New Roman"/>
          <w:noProof/>
          <w:sz w:val="24"/>
        </w:rPr>
      </w:pPr>
    </w:p>
    <w:p w14:paraId="6B1AB893" w14:textId="77777777" w:rsidR="00764877" w:rsidRPr="00AD4052" w:rsidRDefault="00764877" w:rsidP="00645BC7">
      <w:pPr>
        <w:spacing w:before="120" w:after="120" w:line="240" w:lineRule="auto"/>
        <w:ind w:left="709"/>
        <w:jc w:val="both"/>
        <w:rPr>
          <w:rFonts w:ascii="Times New Roman" w:hAnsi="Times New Roman" w:cs="Times New Roman"/>
          <w:noProof/>
          <w:sz w:val="24"/>
          <w:szCs w:val="24"/>
        </w:rPr>
      </w:pPr>
    </w:p>
    <w:p w14:paraId="099EE4D8" w14:textId="77777777" w:rsidR="00AA541B" w:rsidRPr="00AD4052" w:rsidRDefault="00AA541B" w:rsidP="00645BC7">
      <w:pPr>
        <w:keepNext/>
        <w:keepLines/>
        <w:spacing w:before="40" w:after="0" w:line="240" w:lineRule="auto"/>
        <w:jc w:val="both"/>
        <w:outlineLvl w:val="4"/>
        <w:rPr>
          <w:rFonts w:ascii="Cambria" w:hAnsi="Cambria"/>
          <w:noProof/>
          <w:color w:val="365F91" w:themeColor="accent1" w:themeShade="BF"/>
          <w:sz w:val="24"/>
        </w:rPr>
        <w:sectPr w:rsidR="00AA541B" w:rsidRPr="00AD4052" w:rsidSect="00271D33">
          <w:headerReference w:type="even" r:id="rId188"/>
          <w:headerReference w:type="default" r:id="rId189"/>
          <w:footerReference w:type="even" r:id="rId190"/>
          <w:footerReference w:type="default" r:id="rId191"/>
          <w:headerReference w:type="first" r:id="rId192"/>
          <w:footerReference w:type="first" r:id="rId193"/>
          <w:pgSz w:w="16839" w:h="11907" w:orient="landscape"/>
          <w:pgMar w:top="720" w:right="720" w:bottom="720" w:left="720" w:header="709" w:footer="75" w:gutter="0"/>
          <w:cols w:space="720"/>
          <w:docGrid w:linePitch="360"/>
        </w:sectPr>
      </w:pPr>
    </w:p>
    <w:p w14:paraId="2FBDDAEE" w14:textId="77777777" w:rsidR="00764877" w:rsidRPr="00E02B5D" w:rsidRDefault="00764877" w:rsidP="00645BC7">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themeColor="accent1" w:themeShade="BF"/>
          <w:sz w:val="24"/>
        </w:rPr>
        <w:t>Grupp 11: Edendada töökohtade loomist ja osalemist tööturul/hariduses, kutsehariduses ja -koolituses ning oskuste omandamises – Avalikud tööturuasutused – Reformid ja investeeringud</w:t>
      </w:r>
    </w:p>
    <w:p w14:paraId="2184B999" w14:textId="77777777" w:rsidR="00764877" w:rsidRPr="00E02B5D" w:rsidRDefault="00764877" w:rsidP="00DE1EE5">
      <w:pPr>
        <w:numPr>
          <w:ilvl w:val="0"/>
          <w:numId w:val="43"/>
        </w:numPr>
        <w:spacing w:before="120" w:after="0" w:line="240" w:lineRule="auto"/>
        <w:jc w:val="both"/>
        <w:rPr>
          <w:rFonts w:ascii="Times New Roman" w:hAnsi="Times New Roman" w:cs="Times New Roman"/>
          <w:noProof/>
        </w:rPr>
      </w:pPr>
      <w:r>
        <w:rPr>
          <w:rFonts w:ascii="Times New Roman" w:hAnsi="Times New Roman"/>
          <w:noProof/>
          <w:sz w:val="24"/>
        </w:rPr>
        <w:t>DYPA kohaliku tööturuasutuse (KPA2) ümberkorraldamine ja ümbermärgistamine (ID: 16941)</w:t>
      </w:r>
    </w:p>
    <w:p w14:paraId="7BD0F3F3" w14:textId="77777777" w:rsidR="00764877" w:rsidRPr="00E02B5D" w:rsidRDefault="00764877" w:rsidP="00DE1EE5">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Aktiivne tööturupoliitika reform (ID: 16747)</w:t>
      </w:r>
    </w:p>
    <w:p w14:paraId="1A2BBB86" w14:textId="77777777" w:rsidR="00764877" w:rsidRPr="00E02B5D" w:rsidRDefault="00764877" w:rsidP="00DE1EE5">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Õpipoisiõppe süsteemi tugevdamine (ID: 16794)</w:t>
      </w:r>
    </w:p>
    <w:p w14:paraId="1AC5BC1A" w14:textId="77777777" w:rsidR="00764877" w:rsidRPr="00E02B5D" w:rsidRDefault="00764877" w:rsidP="00DE1EE5">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Passiivse tööturupoliitika reform, et toetada üleminekut tööhõivele (ID: 16746)</w:t>
      </w:r>
    </w:p>
    <w:p w14:paraId="2ECE02AB" w14:textId="77777777" w:rsidR="00764877" w:rsidRPr="00E02B5D" w:rsidRDefault="00764877" w:rsidP="00DE1EE5">
      <w:pPr>
        <w:numPr>
          <w:ilvl w:val="0"/>
          <w:numId w:val="43"/>
        </w:numPr>
        <w:spacing w:before="120" w:after="120" w:line="240" w:lineRule="auto"/>
        <w:jc w:val="both"/>
        <w:rPr>
          <w:rFonts w:ascii="Times New Roman" w:hAnsi="Times New Roman" w:cs="Times New Roman"/>
          <w:noProof/>
          <w:sz w:val="24"/>
        </w:rPr>
        <w:sectPr w:rsidR="00764877" w:rsidRPr="00E02B5D" w:rsidSect="0018328F">
          <w:headerReference w:type="even" r:id="rId194"/>
          <w:headerReference w:type="default" r:id="rId195"/>
          <w:footerReference w:type="even" r:id="rId196"/>
          <w:footerReference w:type="default" r:id="rId197"/>
          <w:headerReference w:type="first" r:id="rId198"/>
          <w:footerReference w:type="first" r:id="rId199"/>
          <w:pgSz w:w="11907" w:h="16839"/>
          <w:pgMar w:top="720" w:right="720" w:bottom="720" w:left="720" w:header="709" w:footer="709" w:gutter="0"/>
          <w:cols w:space="720"/>
          <w:docGrid w:linePitch="360"/>
        </w:sectPr>
      </w:pPr>
      <w:r>
        <w:rPr>
          <w:rFonts w:ascii="Times New Roman" w:hAnsi="Times New Roman"/>
          <w:noProof/>
          <w:sz w:val="24"/>
        </w:rPr>
        <w:t>Tööjõu oskuste omandamine, ümber- ja täiendusõpe reformitud koolitusmudeli (kutsehariduse ja -koolituse reform) kaudu (ID: 16792)</w:t>
      </w:r>
    </w:p>
    <w:tbl>
      <w:tblPr>
        <w:tblW w:w="15617" w:type="dxa"/>
        <w:jc w:val="center"/>
        <w:tblLayout w:type="fixed"/>
        <w:tblLook w:val="04A0" w:firstRow="1" w:lastRow="0" w:firstColumn="1" w:lastColumn="0" w:noHBand="0" w:noVBand="1"/>
      </w:tblPr>
      <w:tblGrid>
        <w:gridCol w:w="1116"/>
        <w:gridCol w:w="1797"/>
        <w:gridCol w:w="1099"/>
        <w:gridCol w:w="1365"/>
        <w:gridCol w:w="1471"/>
        <w:gridCol w:w="1135"/>
        <w:gridCol w:w="924"/>
        <w:gridCol w:w="896"/>
        <w:gridCol w:w="846"/>
        <w:gridCol w:w="783"/>
        <w:gridCol w:w="4185"/>
      </w:tblGrid>
      <w:tr w:rsidR="007B4D63" w:rsidRPr="003B132A" w14:paraId="7116724C" w14:textId="77777777" w:rsidTr="008AECE0">
        <w:trPr>
          <w:trHeight w:val="741"/>
          <w:tblHeade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493011"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C5BCC5"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E774B4"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7524DD"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140C6D"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95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92D78C7"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629" w:type="dxa"/>
            <w:gridSpan w:val="2"/>
            <w:tcBorders>
              <w:top w:val="single" w:sz="4" w:space="0" w:color="auto"/>
              <w:left w:val="nil"/>
              <w:bottom w:val="single" w:sz="4" w:space="0" w:color="auto"/>
              <w:right w:val="single" w:sz="4" w:space="0" w:color="auto"/>
            </w:tcBorders>
            <w:shd w:val="clear" w:color="auto" w:fill="BDD7EE"/>
            <w:vAlign w:val="center"/>
            <w:hideMark/>
          </w:tcPr>
          <w:p w14:paraId="107F5991"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1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9BB90A"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6E0EA2" w:rsidRPr="00E02B5D" w14:paraId="1FA0DE13" w14:textId="77777777" w:rsidTr="003C6EEF">
        <w:trPr>
          <w:trHeight w:val="512"/>
          <w:tblHeader/>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052BBA43"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79954386"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6E4C6BCE"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4D0AF0E"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54D8713E"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E7D4A77"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2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79E8321"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89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198945"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4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9B3CE58"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8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1FFDB3E"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185" w:type="dxa"/>
            <w:vMerge/>
            <w:tcBorders>
              <w:top w:val="single" w:sz="4" w:space="0" w:color="auto"/>
              <w:left w:val="single" w:sz="4" w:space="0" w:color="auto"/>
              <w:bottom w:val="single" w:sz="4" w:space="0" w:color="auto"/>
              <w:right w:val="single" w:sz="4" w:space="0" w:color="auto"/>
            </w:tcBorders>
            <w:vAlign w:val="center"/>
            <w:hideMark/>
          </w:tcPr>
          <w:p w14:paraId="1F8A81C3" w14:textId="77777777" w:rsidR="00764877" w:rsidRPr="00E02B5D" w:rsidRDefault="00764877" w:rsidP="00D16F13">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57B191D2" w14:textId="77777777" w:rsidTr="008AECE0">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974364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141</w:t>
            </w:r>
          </w:p>
        </w:tc>
        <w:tc>
          <w:tcPr>
            <w:tcW w:w="1797" w:type="dxa"/>
            <w:tcBorders>
              <w:top w:val="single" w:sz="4" w:space="0" w:color="auto"/>
              <w:left w:val="nil"/>
              <w:bottom w:val="single" w:sz="4" w:space="0" w:color="auto"/>
              <w:right w:val="single" w:sz="4" w:space="0" w:color="auto"/>
            </w:tcBorders>
            <w:shd w:val="clear" w:color="auto" w:fill="C6EFCE"/>
            <w:noWrap/>
          </w:tcPr>
          <w:p w14:paraId="7A52FE2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16941_Avalike tööturuasutuste ümberkujundamine ja nende kaubamärgi muutmine (KPA2)</w:t>
            </w:r>
          </w:p>
        </w:tc>
        <w:tc>
          <w:tcPr>
            <w:tcW w:w="1099" w:type="dxa"/>
            <w:tcBorders>
              <w:top w:val="single" w:sz="4" w:space="0" w:color="auto"/>
              <w:left w:val="nil"/>
              <w:bottom w:val="single" w:sz="4" w:space="0" w:color="auto"/>
              <w:right w:val="single" w:sz="4" w:space="0" w:color="auto"/>
            </w:tcBorders>
            <w:shd w:val="clear" w:color="auto" w:fill="C6EFCE"/>
            <w:noWrap/>
          </w:tcPr>
          <w:p w14:paraId="5CEE3A7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65" w:type="dxa"/>
            <w:tcBorders>
              <w:top w:val="single" w:sz="4" w:space="0" w:color="auto"/>
              <w:left w:val="nil"/>
              <w:bottom w:val="single" w:sz="4" w:space="0" w:color="auto"/>
              <w:right w:val="single" w:sz="4" w:space="0" w:color="auto"/>
            </w:tcBorders>
            <w:shd w:val="clear" w:color="auto" w:fill="C6EFCE"/>
            <w:noWrap/>
          </w:tcPr>
          <w:p w14:paraId="3A4709D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DYPA – organisatsioonireform – õigusaktide jõustumine </w:t>
            </w:r>
          </w:p>
        </w:tc>
        <w:tc>
          <w:tcPr>
            <w:tcW w:w="1471" w:type="dxa"/>
            <w:tcBorders>
              <w:top w:val="single" w:sz="4" w:space="0" w:color="auto"/>
              <w:left w:val="nil"/>
              <w:bottom w:val="single" w:sz="4" w:space="0" w:color="auto"/>
              <w:right w:val="single" w:sz="4" w:space="0" w:color="auto"/>
            </w:tcBorders>
            <w:shd w:val="clear" w:color="auto" w:fill="C6EFCE"/>
            <w:noWrap/>
          </w:tcPr>
          <w:p w14:paraId="5251E9B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Õigusaktide jõustumine </w:t>
            </w:r>
          </w:p>
        </w:tc>
        <w:tc>
          <w:tcPr>
            <w:tcW w:w="1135" w:type="dxa"/>
            <w:tcBorders>
              <w:top w:val="single" w:sz="4" w:space="0" w:color="auto"/>
              <w:left w:val="nil"/>
              <w:bottom w:val="single" w:sz="4" w:space="0" w:color="auto"/>
              <w:right w:val="single" w:sz="4" w:space="0" w:color="auto"/>
            </w:tcBorders>
            <w:shd w:val="clear" w:color="auto" w:fill="C6EFCE"/>
            <w:noWrap/>
          </w:tcPr>
          <w:p w14:paraId="2B80763D"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24" w:type="dxa"/>
            <w:tcBorders>
              <w:top w:val="single" w:sz="4" w:space="0" w:color="auto"/>
              <w:left w:val="nil"/>
              <w:bottom w:val="single" w:sz="4" w:space="0" w:color="auto"/>
              <w:right w:val="single" w:sz="4" w:space="0" w:color="auto"/>
            </w:tcBorders>
            <w:shd w:val="clear" w:color="auto" w:fill="C6EFCE"/>
            <w:noWrap/>
          </w:tcPr>
          <w:p w14:paraId="7A44CAB0"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96" w:type="dxa"/>
            <w:tcBorders>
              <w:top w:val="single" w:sz="4" w:space="0" w:color="auto"/>
              <w:left w:val="nil"/>
              <w:bottom w:val="single" w:sz="4" w:space="0" w:color="auto"/>
              <w:right w:val="single" w:sz="4" w:space="0" w:color="auto"/>
            </w:tcBorders>
            <w:shd w:val="clear" w:color="auto" w:fill="C6EFCE"/>
            <w:noWrap/>
          </w:tcPr>
          <w:p w14:paraId="3C20BB8C"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4EC7BC3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3. kv</w:t>
            </w:r>
          </w:p>
        </w:tc>
        <w:tc>
          <w:tcPr>
            <w:tcW w:w="783" w:type="dxa"/>
            <w:tcBorders>
              <w:top w:val="single" w:sz="4" w:space="0" w:color="auto"/>
              <w:left w:val="nil"/>
              <w:bottom w:val="single" w:sz="4" w:space="0" w:color="auto"/>
              <w:right w:val="single" w:sz="4" w:space="0" w:color="auto"/>
            </w:tcBorders>
            <w:shd w:val="clear" w:color="auto" w:fill="C6EFCE"/>
            <w:noWrap/>
          </w:tcPr>
          <w:p w14:paraId="5F8C08A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2021</w:t>
            </w:r>
          </w:p>
        </w:tc>
        <w:tc>
          <w:tcPr>
            <w:tcW w:w="4185" w:type="dxa"/>
            <w:tcBorders>
              <w:top w:val="single" w:sz="4" w:space="0" w:color="auto"/>
              <w:left w:val="nil"/>
              <w:bottom w:val="single" w:sz="4" w:space="0" w:color="auto"/>
              <w:right w:val="single" w:sz="4" w:space="0" w:color="auto"/>
            </w:tcBorders>
            <w:shd w:val="clear" w:color="auto" w:fill="C6EFCE"/>
            <w:noWrap/>
          </w:tcPr>
          <w:p w14:paraId="1A33FE5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Jõustub Kreeka tööjõu tööhõive organisatsiooni (OAED) organisatsioonireform ning korraldatakse ümber, renoveeritakse ja kujundatakse ümber kohalikud avalikud tööturuasutused, et parandada pakutavate teenuste kvaliteeti, suutlikkust ja tõhusust.</w:t>
            </w:r>
          </w:p>
        </w:tc>
      </w:tr>
      <w:tr w:rsidR="00764877" w:rsidRPr="003B132A" w14:paraId="68E841AD" w14:textId="77777777" w:rsidTr="008AECE0">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5233F7E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141a</w:t>
            </w:r>
          </w:p>
        </w:tc>
        <w:tc>
          <w:tcPr>
            <w:tcW w:w="1797" w:type="dxa"/>
            <w:tcBorders>
              <w:top w:val="nil"/>
              <w:left w:val="nil"/>
              <w:bottom w:val="single" w:sz="4" w:space="0" w:color="auto"/>
              <w:right w:val="single" w:sz="4" w:space="0" w:color="auto"/>
            </w:tcBorders>
            <w:shd w:val="clear" w:color="auto" w:fill="C6EFCE"/>
            <w:noWrap/>
          </w:tcPr>
          <w:p w14:paraId="2EBB731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16941_Avalike tööturuasutuste ümberkujundamine ja nende kaubamärgi muutmine (KPA2)</w:t>
            </w:r>
          </w:p>
        </w:tc>
        <w:tc>
          <w:tcPr>
            <w:tcW w:w="1099" w:type="dxa"/>
            <w:tcBorders>
              <w:top w:val="nil"/>
              <w:left w:val="nil"/>
              <w:bottom w:val="single" w:sz="4" w:space="0" w:color="auto"/>
              <w:right w:val="single" w:sz="4" w:space="0" w:color="auto"/>
            </w:tcBorders>
            <w:shd w:val="clear" w:color="auto" w:fill="C6EFCE"/>
            <w:noWrap/>
          </w:tcPr>
          <w:p w14:paraId="683A854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65" w:type="dxa"/>
            <w:tcBorders>
              <w:top w:val="nil"/>
              <w:left w:val="nil"/>
              <w:bottom w:val="single" w:sz="4" w:space="0" w:color="auto"/>
              <w:right w:val="single" w:sz="4" w:space="0" w:color="auto"/>
            </w:tcBorders>
            <w:shd w:val="clear" w:color="auto" w:fill="C6EFCE"/>
            <w:noWrap/>
          </w:tcPr>
          <w:p w14:paraId="2817EBC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Teise põhimeetme renoveerimine, kommunikatsioonistrateegia, klienditeeninduse kvaliteedi kontroll, profiilianalüüsi ja nõustamisteenuste uued vormid.</w:t>
            </w:r>
          </w:p>
        </w:tc>
        <w:tc>
          <w:tcPr>
            <w:tcW w:w="1471" w:type="dxa"/>
            <w:tcBorders>
              <w:top w:val="nil"/>
              <w:left w:val="nil"/>
              <w:bottom w:val="single" w:sz="4" w:space="0" w:color="auto"/>
              <w:right w:val="single" w:sz="4" w:space="0" w:color="auto"/>
            </w:tcBorders>
            <w:shd w:val="clear" w:color="auto" w:fill="C6EFCE"/>
            <w:noWrap/>
          </w:tcPr>
          <w:p w14:paraId="38BD1C3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DYPA aruanne, milles kinnitatakse projektide a, b, c ja d lõpuleviimist.</w:t>
            </w:r>
          </w:p>
        </w:tc>
        <w:tc>
          <w:tcPr>
            <w:tcW w:w="1135" w:type="dxa"/>
            <w:tcBorders>
              <w:top w:val="nil"/>
              <w:left w:val="nil"/>
              <w:bottom w:val="single" w:sz="4" w:space="0" w:color="auto"/>
              <w:right w:val="single" w:sz="4" w:space="0" w:color="auto"/>
            </w:tcBorders>
            <w:shd w:val="clear" w:color="auto" w:fill="C6EFCE"/>
            <w:noWrap/>
          </w:tcPr>
          <w:p w14:paraId="49F04B89"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24" w:type="dxa"/>
            <w:tcBorders>
              <w:top w:val="nil"/>
              <w:left w:val="nil"/>
              <w:bottom w:val="single" w:sz="4" w:space="0" w:color="auto"/>
              <w:right w:val="single" w:sz="4" w:space="0" w:color="auto"/>
            </w:tcBorders>
            <w:shd w:val="clear" w:color="auto" w:fill="C6EFCE"/>
            <w:noWrap/>
          </w:tcPr>
          <w:p w14:paraId="228EB3A4"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96" w:type="dxa"/>
            <w:tcBorders>
              <w:top w:val="nil"/>
              <w:left w:val="nil"/>
              <w:bottom w:val="single" w:sz="4" w:space="0" w:color="auto"/>
              <w:right w:val="single" w:sz="4" w:space="0" w:color="auto"/>
            </w:tcBorders>
            <w:shd w:val="clear" w:color="auto" w:fill="C6EFCE"/>
            <w:noWrap/>
          </w:tcPr>
          <w:p w14:paraId="578E717E"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0EA4E39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83" w:type="dxa"/>
            <w:tcBorders>
              <w:top w:val="nil"/>
              <w:left w:val="nil"/>
              <w:bottom w:val="single" w:sz="4" w:space="0" w:color="auto"/>
              <w:right w:val="single" w:sz="4" w:space="0" w:color="auto"/>
            </w:tcBorders>
            <w:shd w:val="clear" w:color="auto" w:fill="C6EFCE"/>
            <w:noWrap/>
          </w:tcPr>
          <w:p w14:paraId="66BBD22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185" w:type="dxa"/>
            <w:tcBorders>
              <w:top w:val="nil"/>
              <w:left w:val="nil"/>
              <w:bottom w:val="single" w:sz="4" w:space="0" w:color="auto"/>
              <w:right w:val="single" w:sz="4" w:space="0" w:color="auto"/>
            </w:tcBorders>
            <w:shd w:val="clear" w:color="auto" w:fill="C6EFCE"/>
            <w:noWrap/>
          </w:tcPr>
          <w:p w14:paraId="4E79E1C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Järgmiste projektide lõpuleviimine: </w:t>
            </w:r>
          </w:p>
          <w:p w14:paraId="34D797A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a) DYPA 118 kohaliku haru ümberkavandamine ja renoveerimine tööhõive edendamiseks (KPA2); </w:t>
            </w:r>
          </w:p>
          <w:p w14:paraId="4DE21EB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b) DYPA uue kommunikatsioonistrateegia rakendamine; </w:t>
            </w:r>
          </w:p>
          <w:p w14:paraId="76C110A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c) klienditeeninduse kvaliteedikontrolli mehhanismide parandamine tulemuslikkuse, tõhususe, tootlikkuse ja klientide rahulolu aspektide mõõtmise ja jälgimise kaudu; </w:t>
            </w:r>
          </w:p>
          <w:p w14:paraId="67A9672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 profiilianalüüsi ja nõustamisteenuste uute vormide rakendamine.</w:t>
            </w:r>
          </w:p>
        </w:tc>
      </w:tr>
      <w:tr w:rsidR="007B4D63" w:rsidRPr="003B132A" w14:paraId="36795586" w14:textId="77777777" w:rsidTr="008AECE0">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312C6E4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142</w:t>
            </w:r>
          </w:p>
        </w:tc>
        <w:tc>
          <w:tcPr>
            <w:tcW w:w="1797" w:type="dxa"/>
            <w:tcBorders>
              <w:top w:val="nil"/>
              <w:left w:val="nil"/>
              <w:bottom w:val="single" w:sz="4" w:space="0" w:color="auto"/>
              <w:right w:val="single" w:sz="4" w:space="0" w:color="auto"/>
            </w:tcBorders>
            <w:shd w:val="clear" w:color="auto" w:fill="C6EFCE"/>
            <w:noWrap/>
          </w:tcPr>
          <w:p w14:paraId="108E766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16746_Reform, mis käsitleb passiivset tööturupoliitikat, et toetada üleminekut tööhõivele</w:t>
            </w:r>
          </w:p>
        </w:tc>
        <w:tc>
          <w:tcPr>
            <w:tcW w:w="1099" w:type="dxa"/>
            <w:tcBorders>
              <w:top w:val="nil"/>
              <w:left w:val="nil"/>
              <w:bottom w:val="single" w:sz="4" w:space="0" w:color="auto"/>
              <w:right w:val="single" w:sz="4" w:space="0" w:color="auto"/>
            </w:tcBorders>
            <w:shd w:val="clear" w:color="auto" w:fill="C6EFCE"/>
            <w:noWrap/>
          </w:tcPr>
          <w:p w14:paraId="446014A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65" w:type="dxa"/>
            <w:tcBorders>
              <w:top w:val="nil"/>
              <w:left w:val="nil"/>
              <w:bottom w:val="single" w:sz="4" w:space="0" w:color="auto"/>
              <w:right w:val="single" w:sz="4" w:space="0" w:color="auto"/>
            </w:tcBorders>
            <w:shd w:val="clear" w:color="auto" w:fill="C6EFCE"/>
            <w:noWrap/>
          </w:tcPr>
          <w:p w14:paraId="3504DAA1" w14:textId="77777777" w:rsidR="00764877" w:rsidRPr="00E02B5D" w:rsidRDefault="00764877" w:rsidP="00D16F13">
            <w:pPr>
              <w:spacing w:after="0" w:line="240" w:lineRule="auto"/>
              <w:rPr>
                <w:rFonts w:eastAsia="Times New Roman" w:cs="Calibri"/>
                <w:noProof/>
                <w:color w:val="006100"/>
                <w:sz w:val="18"/>
                <w:szCs w:val="18"/>
                <w:highlight w:val="yellow"/>
              </w:rPr>
            </w:pPr>
            <w:r>
              <w:rPr>
                <w:noProof/>
                <w:color w:val="006100"/>
                <w:sz w:val="18"/>
              </w:rPr>
              <w:t xml:space="preserve">Vastastikuse kohustuse raamistiku reformi jõustumine </w:t>
            </w:r>
          </w:p>
        </w:tc>
        <w:tc>
          <w:tcPr>
            <w:tcW w:w="1471" w:type="dxa"/>
            <w:tcBorders>
              <w:top w:val="nil"/>
              <w:left w:val="nil"/>
              <w:bottom w:val="single" w:sz="4" w:space="0" w:color="auto"/>
              <w:right w:val="single" w:sz="4" w:space="0" w:color="auto"/>
            </w:tcBorders>
            <w:shd w:val="clear" w:color="auto" w:fill="C6EFCE"/>
            <w:noWrap/>
          </w:tcPr>
          <w:p w14:paraId="1644206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Õigusaktide jõustumine</w:t>
            </w:r>
          </w:p>
        </w:tc>
        <w:tc>
          <w:tcPr>
            <w:tcW w:w="1135" w:type="dxa"/>
            <w:tcBorders>
              <w:top w:val="nil"/>
              <w:left w:val="nil"/>
              <w:bottom w:val="single" w:sz="4" w:space="0" w:color="auto"/>
              <w:right w:val="single" w:sz="4" w:space="0" w:color="auto"/>
            </w:tcBorders>
            <w:shd w:val="clear" w:color="auto" w:fill="C6EFCE"/>
            <w:noWrap/>
          </w:tcPr>
          <w:p w14:paraId="4E9C58C0"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24" w:type="dxa"/>
            <w:tcBorders>
              <w:top w:val="nil"/>
              <w:left w:val="nil"/>
              <w:bottom w:val="single" w:sz="4" w:space="0" w:color="auto"/>
              <w:right w:val="single" w:sz="4" w:space="0" w:color="auto"/>
            </w:tcBorders>
            <w:shd w:val="clear" w:color="auto" w:fill="C6EFCE"/>
            <w:noWrap/>
          </w:tcPr>
          <w:p w14:paraId="5F059A36"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96" w:type="dxa"/>
            <w:tcBorders>
              <w:top w:val="nil"/>
              <w:left w:val="nil"/>
              <w:bottom w:val="single" w:sz="4" w:space="0" w:color="auto"/>
              <w:right w:val="single" w:sz="4" w:space="0" w:color="auto"/>
            </w:tcBorders>
            <w:shd w:val="clear" w:color="auto" w:fill="C6EFCE"/>
            <w:noWrap/>
          </w:tcPr>
          <w:p w14:paraId="74F9E8FF"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326C879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3. kv</w:t>
            </w:r>
          </w:p>
        </w:tc>
        <w:tc>
          <w:tcPr>
            <w:tcW w:w="783" w:type="dxa"/>
            <w:tcBorders>
              <w:top w:val="nil"/>
              <w:left w:val="nil"/>
              <w:bottom w:val="single" w:sz="4" w:space="0" w:color="auto"/>
              <w:right w:val="single" w:sz="4" w:space="0" w:color="auto"/>
            </w:tcBorders>
            <w:shd w:val="clear" w:color="auto" w:fill="C6EFCE"/>
            <w:noWrap/>
          </w:tcPr>
          <w:p w14:paraId="089B20A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2022</w:t>
            </w:r>
          </w:p>
        </w:tc>
        <w:tc>
          <w:tcPr>
            <w:tcW w:w="4185" w:type="dxa"/>
            <w:tcBorders>
              <w:top w:val="nil"/>
              <w:left w:val="nil"/>
              <w:bottom w:val="single" w:sz="4" w:space="0" w:color="auto"/>
              <w:right w:val="single" w:sz="4" w:space="0" w:color="auto"/>
            </w:tcBorders>
            <w:shd w:val="clear" w:color="auto" w:fill="C6EFCE"/>
            <w:noWrap/>
          </w:tcPr>
          <w:p w14:paraId="424043E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Jõustuvad õigusaktid, millega reformitakse vastastikuste kohustuste raamistikku, milles sätestatakse avaliku tööturuasutuse ja tööotsija vahelised suhted. Muu hulgas hõlmab reform aktiivse tööotsimise uut määratlust ja sanktsioone töötutele, kes ei järgi uusi eeskirju.</w:t>
            </w:r>
          </w:p>
        </w:tc>
      </w:tr>
      <w:tr w:rsidR="00764877" w:rsidRPr="003B132A" w14:paraId="4C78AAD2" w14:textId="77777777" w:rsidTr="008AECE0">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67D2CB6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142a</w:t>
            </w:r>
          </w:p>
        </w:tc>
        <w:tc>
          <w:tcPr>
            <w:tcW w:w="1797" w:type="dxa"/>
            <w:tcBorders>
              <w:top w:val="nil"/>
              <w:left w:val="nil"/>
              <w:bottom w:val="single" w:sz="4" w:space="0" w:color="auto"/>
              <w:right w:val="single" w:sz="4" w:space="0" w:color="auto"/>
            </w:tcBorders>
            <w:shd w:val="clear" w:color="auto" w:fill="C6EFCE"/>
            <w:noWrap/>
          </w:tcPr>
          <w:p w14:paraId="1CD1DA1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16746_Reform, mis käsitleb passiivset tööturupoliitikat, et toetada üleminekut tööhõivele</w:t>
            </w:r>
          </w:p>
        </w:tc>
        <w:tc>
          <w:tcPr>
            <w:tcW w:w="1099" w:type="dxa"/>
            <w:tcBorders>
              <w:top w:val="nil"/>
              <w:left w:val="nil"/>
              <w:bottom w:val="single" w:sz="4" w:space="0" w:color="auto"/>
              <w:right w:val="single" w:sz="4" w:space="0" w:color="auto"/>
            </w:tcBorders>
            <w:shd w:val="clear" w:color="auto" w:fill="C6EFCE"/>
            <w:noWrap/>
          </w:tcPr>
          <w:p w14:paraId="39A8ED5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65" w:type="dxa"/>
            <w:tcBorders>
              <w:top w:val="nil"/>
              <w:left w:val="nil"/>
              <w:bottom w:val="single" w:sz="4" w:space="0" w:color="auto"/>
              <w:right w:val="single" w:sz="4" w:space="0" w:color="auto"/>
            </w:tcBorders>
            <w:shd w:val="clear" w:color="auto" w:fill="C6EFCE"/>
            <w:noWrap/>
          </w:tcPr>
          <w:p w14:paraId="20A4F60C" w14:textId="41E5472A"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Töötushüvitisi ja toetusi käsitlevad õigusaktid </w:t>
            </w:r>
          </w:p>
        </w:tc>
        <w:tc>
          <w:tcPr>
            <w:tcW w:w="1471" w:type="dxa"/>
            <w:tcBorders>
              <w:top w:val="single" w:sz="4" w:space="0" w:color="auto"/>
              <w:left w:val="nil"/>
              <w:bottom w:val="single" w:sz="4" w:space="0" w:color="auto"/>
              <w:right w:val="single" w:sz="4" w:space="0" w:color="auto"/>
            </w:tcBorders>
            <w:shd w:val="clear" w:color="auto" w:fill="C6EFCE"/>
            <w:noWrap/>
          </w:tcPr>
          <w:p w14:paraId="737FF7F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Õigusakt jõustus</w:t>
            </w:r>
          </w:p>
          <w:p w14:paraId="0F595F48" w14:textId="13E7E23D" w:rsidR="00764877" w:rsidRPr="00E02B5D" w:rsidRDefault="00764877" w:rsidP="00D16F13">
            <w:pPr>
              <w:spacing w:after="0" w:line="240" w:lineRule="auto"/>
              <w:rPr>
                <w:rFonts w:eastAsia="Times New Roman" w:cs="Calibri"/>
                <w:noProof/>
                <w:color w:val="006100"/>
                <w:sz w:val="18"/>
                <w:szCs w:val="18"/>
                <w:lang w:val="en-GB"/>
              </w:rPr>
            </w:pPr>
          </w:p>
        </w:tc>
        <w:tc>
          <w:tcPr>
            <w:tcW w:w="1135" w:type="dxa"/>
            <w:tcBorders>
              <w:top w:val="nil"/>
              <w:left w:val="nil"/>
              <w:bottom w:val="single" w:sz="4" w:space="0" w:color="auto"/>
              <w:right w:val="single" w:sz="4" w:space="0" w:color="auto"/>
            </w:tcBorders>
            <w:shd w:val="clear" w:color="auto" w:fill="C6EFCE"/>
            <w:noWrap/>
          </w:tcPr>
          <w:p w14:paraId="72A913D0"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24" w:type="dxa"/>
            <w:tcBorders>
              <w:top w:val="nil"/>
              <w:left w:val="nil"/>
              <w:bottom w:val="single" w:sz="4" w:space="0" w:color="auto"/>
              <w:right w:val="single" w:sz="4" w:space="0" w:color="auto"/>
            </w:tcBorders>
            <w:shd w:val="clear" w:color="auto" w:fill="C6EFCE"/>
            <w:noWrap/>
          </w:tcPr>
          <w:p w14:paraId="5B69F76A"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96" w:type="dxa"/>
            <w:tcBorders>
              <w:top w:val="nil"/>
              <w:left w:val="nil"/>
              <w:bottom w:val="single" w:sz="4" w:space="0" w:color="auto"/>
              <w:right w:val="single" w:sz="4" w:space="0" w:color="auto"/>
            </w:tcBorders>
            <w:shd w:val="clear" w:color="auto" w:fill="C6EFCE"/>
            <w:noWrap/>
          </w:tcPr>
          <w:p w14:paraId="0B458A3B"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05D4C26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83" w:type="dxa"/>
            <w:tcBorders>
              <w:top w:val="nil"/>
              <w:left w:val="nil"/>
              <w:bottom w:val="single" w:sz="4" w:space="0" w:color="auto"/>
              <w:right w:val="single" w:sz="4" w:space="0" w:color="auto"/>
            </w:tcBorders>
            <w:shd w:val="clear" w:color="auto" w:fill="C6EFCE"/>
            <w:noWrap/>
          </w:tcPr>
          <w:p w14:paraId="4E33333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2024</w:t>
            </w:r>
          </w:p>
        </w:tc>
        <w:tc>
          <w:tcPr>
            <w:tcW w:w="4185" w:type="dxa"/>
            <w:tcBorders>
              <w:top w:val="nil"/>
              <w:left w:val="nil"/>
              <w:bottom w:val="single" w:sz="4" w:space="0" w:color="auto"/>
              <w:right w:val="single" w:sz="4" w:space="0" w:color="auto"/>
            </w:tcBorders>
            <w:shd w:val="clear" w:color="auto" w:fill="C6EFCE"/>
            <w:noWrap/>
          </w:tcPr>
          <w:p w14:paraId="1D400B70" w14:textId="4C4C17C6" w:rsidR="00764877" w:rsidRPr="00E02B5D" w:rsidRDefault="00764877" w:rsidP="00D16F13">
            <w:pPr>
              <w:pStyle w:val="paragraph"/>
              <w:spacing w:before="0" w:beforeAutospacing="0" w:after="0" w:afterAutospacing="0"/>
              <w:textAlignment w:val="baseline"/>
              <w:rPr>
                <w:rFonts w:ascii="Calibri" w:hAnsi="Calibri" w:cs="Calibri"/>
                <w:noProof/>
                <w:color w:val="006100"/>
                <w:sz w:val="18"/>
                <w:szCs w:val="18"/>
              </w:rPr>
            </w:pPr>
            <w:r>
              <w:rPr>
                <w:rFonts w:ascii="Calibri" w:hAnsi="Calibri"/>
                <w:noProof/>
                <w:color w:val="006100"/>
                <w:sz w:val="18"/>
              </w:rPr>
              <w:t>Selliste õigusaktide jõustumine, mille eesmärk on konsolideerida ja ühtlustada töötushüvitisi ja -toetusi, et parandada avaliku sektori kulutuste tõhusust ning kõrvaldada töötute täiend- ja ümberõpet pärssivad tegurid, säilitades koolitusel osalemise ajal nende õiguse töötushüvitistele.</w:t>
            </w:r>
          </w:p>
          <w:p w14:paraId="3D038E58" w14:textId="21F6FFBB" w:rsidR="00764877" w:rsidRPr="00AD4052" w:rsidRDefault="00764877" w:rsidP="00D16F13">
            <w:pPr>
              <w:pStyle w:val="paragraph"/>
              <w:spacing w:before="0" w:beforeAutospacing="0" w:after="0" w:afterAutospacing="0"/>
              <w:textAlignment w:val="baseline"/>
              <w:rPr>
                <w:rFonts w:ascii="Calibri" w:hAnsi="Calibri" w:cs="Calibri"/>
                <w:noProof/>
                <w:color w:val="006100"/>
                <w:sz w:val="18"/>
                <w:szCs w:val="18"/>
              </w:rPr>
            </w:pPr>
          </w:p>
        </w:tc>
      </w:tr>
      <w:tr w:rsidR="00237965" w:rsidRPr="003B132A" w14:paraId="7C1751B5" w14:textId="77777777" w:rsidTr="001D2930">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C3E26DC" w14:textId="77777777" w:rsidR="00237965" w:rsidRPr="00E02B5D" w:rsidRDefault="00237965" w:rsidP="00237965">
            <w:pPr>
              <w:spacing w:after="0" w:line="240" w:lineRule="auto"/>
              <w:rPr>
                <w:noProof/>
                <w:color w:val="006100"/>
                <w:sz w:val="18"/>
              </w:rPr>
            </w:pPr>
            <w:r>
              <w:rPr>
                <w:noProof/>
                <w:color w:val="006100"/>
                <w:sz w:val="18"/>
              </w:rPr>
              <w:t>142b</w:t>
            </w:r>
          </w:p>
        </w:tc>
        <w:tc>
          <w:tcPr>
            <w:tcW w:w="1797" w:type="dxa"/>
            <w:tcBorders>
              <w:top w:val="nil"/>
              <w:left w:val="nil"/>
              <w:bottom w:val="single" w:sz="4" w:space="0" w:color="auto"/>
              <w:right w:val="single" w:sz="4" w:space="0" w:color="auto"/>
            </w:tcBorders>
            <w:shd w:val="clear" w:color="auto" w:fill="C6EFCE"/>
            <w:noWrap/>
          </w:tcPr>
          <w:p w14:paraId="0765A755" w14:textId="77777777" w:rsidR="00237965" w:rsidRPr="00E02B5D" w:rsidRDefault="4F0C9EBE" w:rsidP="008AECE0">
            <w:pPr>
              <w:spacing w:after="0" w:line="240" w:lineRule="auto"/>
              <w:rPr>
                <w:noProof/>
                <w:color w:val="006100"/>
                <w:sz w:val="18"/>
                <w:szCs w:val="18"/>
              </w:rPr>
            </w:pPr>
            <w:r>
              <w:rPr>
                <w:noProof/>
                <w:color w:val="006100"/>
                <w:sz w:val="18"/>
              </w:rPr>
              <w:t>8-3.1. Edendada töökohtade loomist ja tööturul osalemist – 16746_Reform, mis käsitleb passiivset tööturupoliitikat, et toetada üleminekut tööhõivele</w:t>
            </w:r>
          </w:p>
        </w:tc>
        <w:tc>
          <w:tcPr>
            <w:tcW w:w="1099" w:type="dxa"/>
            <w:tcBorders>
              <w:top w:val="single" w:sz="4" w:space="0" w:color="auto"/>
              <w:left w:val="nil"/>
              <w:bottom w:val="single" w:sz="4" w:space="0" w:color="auto"/>
              <w:right w:val="single" w:sz="4" w:space="0" w:color="auto"/>
            </w:tcBorders>
            <w:shd w:val="clear" w:color="auto" w:fill="C6EFCE"/>
            <w:noWrap/>
          </w:tcPr>
          <w:p w14:paraId="61D12073" w14:textId="77777777" w:rsidR="00237965" w:rsidRPr="00E02B5D" w:rsidRDefault="00237965" w:rsidP="00237965">
            <w:pPr>
              <w:spacing w:after="0" w:line="240" w:lineRule="auto"/>
              <w:rPr>
                <w:noProof/>
                <w:color w:val="006100"/>
                <w:sz w:val="18"/>
              </w:rPr>
            </w:pPr>
            <w:r>
              <w:rPr>
                <w:noProof/>
                <w:color w:val="006100"/>
                <w:sz w:val="18"/>
              </w:rPr>
              <w:t>Eesmärk</w:t>
            </w:r>
          </w:p>
        </w:tc>
        <w:tc>
          <w:tcPr>
            <w:tcW w:w="1365" w:type="dxa"/>
            <w:tcBorders>
              <w:top w:val="single" w:sz="4" w:space="0" w:color="auto"/>
              <w:left w:val="nil"/>
              <w:bottom w:val="single" w:sz="4" w:space="0" w:color="auto"/>
              <w:right w:val="single" w:sz="4" w:space="0" w:color="auto"/>
            </w:tcBorders>
            <w:shd w:val="clear" w:color="auto" w:fill="C6EFCE"/>
            <w:noWrap/>
          </w:tcPr>
          <w:p w14:paraId="2ED6BAF0" w14:textId="77777777" w:rsidR="00237965" w:rsidRPr="00E02B5D" w:rsidRDefault="00237965">
            <w:pPr>
              <w:spacing w:after="0" w:line="240" w:lineRule="auto"/>
              <w:rPr>
                <w:noProof/>
                <w:color w:val="006100"/>
                <w:sz w:val="18"/>
              </w:rPr>
            </w:pPr>
            <w:r>
              <w:rPr>
                <w:noProof/>
                <w:color w:val="006100"/>
                <w:sz w:val="18"/>
              </w:rPr>
              <w:t>Töötushüvitiste konsolideerimise ja ühtlustamise katseprojekt</w:t>
            </w:r>
          </w:p>
        </w:tc>
        <w:tc>
          <w:tcPr>
            <w:tcW w:w="1471" w:type="dxa"/>
            <w:tcBorders>
              <w:top w:val="single" w:sz="4" w:space="0" w:color="auto"/>
              <w:left w:val="nil"/>
              <w:bottom w:val="single" w:sz="4" w:space="0" w:color="auto"/>
              <w:right w:val="single" w:sz="4" w:space="0" w:color="auto"/>
            </w:tcBorders>
            <w:shd w:val="clear" w:color="auto" w:fill="C6EFCE"/>
            <w:noWrap/>
          </w:tcPr>
          <w:p w14:paraId="7ECE56E2" w14:textId="77777777" w:rsidR="00237965" w:rsidRPr="00E02B5D" w:rsidRDefault="00237965" w:rsidP="00237965">
            <w:pPr>
              <w:spacing w:after="0" w:line="240" w:lineRule="auto"/>
              <w:rPr>
                <w:noProof/>
                <w:color w:val="006100"/>
                <w:sz w:val="18"/>
              </w:rPr>
            </w:pPr>
            <w:r>
              <w:rPr>
                <w:noProof/>
                <w:color w:val="006100"/>
                <w:sz w:val="18"/>
              </w:rPr>
              <w:t>DYPA aruanne, milles kinnitatakse katseprojekti lõpuleviimist</w:t>
            </w:r>
          </w:p>
        </w:tc>
        <w:tc>
          <w:tcPr>
            <w:tcW w:w="1135" w:type="dxa"/>
            <w:tcBorders>
              <w:top w:val="single" w:sz="4" w:space="0" w:color="auto"/>
              <w:left w:val="nil"/>
              <w:bottom w:val="single" w:sz="4" w:space="0" w:color="auto"/>
              <w:right w:val="single" w:sz="4" w:space="0" w:color="auto"/>
            </w:tcBorders>
            <w:shd w:val="clear" w:color="auto" w:fill="C6EFCE"/>
            <w:noWrap/>
          </w:tcPr>
          <w:p w14:paraId="4CE82A2A" w14:textId="77777777" w:rsidR="00237965" w:rsidRPr="00AD4052" w:rsidRDefault="00237965" w:rsidP="00237965">
            <w:pPr>
              <w:spacing w:after="0" w:line="240" w:lineRule="auto"/>
              <w:rPr>
                <w:rFonts w:eastAsia="Times New Roman" w:cs="Calibri"/>
                <w:noProof/>
                <w:color w:val="006100"/>
                <w:sz w:val="18"/>
                <w:szCs w:val="18"/>
                <w:lang w:eastAsia="en-GB"/>
              </w:rPr>
            </w:pPr>
          </w:p>
        </w:tc>
        <w:tc>
          <w:tcPr>
            <w:tcW w:w="924" w:type="dxa"/>
            <w:tcBorders>
              <w:top w:val="single" w:sz="4" w:space="0" w:color="auto"/>
              <w:left w:val="nil"/>
              <w:bottom w:val="single" w:sz="4" w:space="0" w:color="auto"/>
              <w:right w:val="single" w:sz="4" w:space="0" w:color="auto"/>
            </w:tcBorders>
            <w:shd w:val="clear" w:color="auto" w:fill="C6EFCE"/>
            <w:noWrap/>
          </w:tcPr>
          <w:p w14:paraId="01A67616" w14:textId="77777777" w:rsidR="00237965" w:rsidRPr="00AD4052" w:rsidRDefault="00237965" w:rsidP="00237965">
            <w:pPr>
              <w:spacing w:after="0" w:line="240" w:lineRule="auto"/>
              <w:rPr>
                <w:rFonts w:eastAsia="Times New Roman" w:cs="Calibri"/>
                <w:noProof/>
                <w:color w:val="006100"/>
                <w:sz w:val="18"/>
                <w:szCs w:val="18"/>
                <w:lang w:eastAsia="en-GB"/>
              </w:rPr>
            </w:pPr>
          </w:p>
        </w:tc>
        <w:tc>
          <w:tcPr>
            <w:tcW w:w="896" w:type="dxa"/>
            <w:tcBorders>
              <w:top w:val="single" w:sz="4" w:space="0" w:color="auto"/>
              <w:left w:val="nil"/>
              <w:bottom w:val="single" w:sz="4" w:space="0" w:color="auto"/>
              <w:right w:val="single" w:sz="4" w:space="0" w:color="auto"/>
            </w:tcBorders>
            <w:shd w:val="clear" w:color="auto" w:fill="C6EFCE"/>
            <w:noWrap/>
          </w:tcPr>
          <w:p w14:paraId="6A0CE1E3" w14:textId="77777777" w:rsidR="00237965" w:rsidRPr="00AD4052" w:rsidRDefault="00237965" w:rsidP="00237965">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0B42AEA4" w14:textId="77777777" w:rsidR="00237965" w:rsidRPr="00E02B5D" w:rsidRDefault="00237965" w:rsidP="00237965">
            <w:pPr>
              <w:spacing w:after="0" w:line="240" w:lineRule="auto"/>
              <w:rPr>
                <w:noProof/>
                <w:color w:val="006100"/>
                <w:sz w:val="18"/>
              </w:rPr>
            </w:pPr>
            <w:r>
              <w:rPr>
                <w:noProof/>
                <w:color w:val="006100"/>
                <w:sz w:val="18"/>
              </w:rPr>
              <w:t>4. kv</w:t>
            </w:r>
          </w:p>
        </w:tc>
        <w:tc>
          <w:tcPr>
            <w:tcW w:w="783" w:type="dxa"/>
            <w:tcBorders>
              <w:top w:val="single" w:sz="4" w:space="0" w:color="auto"/>
              <w:left w:val="nil"/>
              <w:bottom w:val="single" w:sz="4" w:space="0" w:color="auto"/>
              <w:right w:val="single" w:sz="4" w:space="0" w:color="auto"/>
            </w:tcBorders>
            <w:shd w:val="clear" w:color="auto" w:fill="C6EFCE"/>
            <w:noWrap/>
          </w:tcPr>
          <w:p w14:paraId="18327B1C" w14:textId="77777777" w:rsidR="00237965" w:rsidRPr="00E02B5D" w:rsidRDefault="00237965" w:rsidP="00237965">
            <w:pPr>
              <w:spacing w:after="0" w:line="240" w:lineRule="auto"/>
              <w:rPr>
                <w:noProof/>
                <w:color w:val="006100"/>
                <w:sz w:val="18"/>
              </w:rPr>
            </w:pPr>
            <w:r>
              <w:rPr>
                <w:noProof/>
                <w:color w:val="006100"/>
                <w:sz w:val="18"/>
              </w:rPr>
              <w:t>2025</w:t>
            </w:r>
          </w:p>
        </w:tc>
        <w:tc>
          <w:tcPr>
            <w:tcW w:w="4185" w:type="dxa"/>
            <w:tcBorders>
              <w:top w:val="single" w:sz="4" w:space="0" w:color="auto"/>
              <w:left w:val="nil"/>
              <w:bottom w:val="single" w:sz="4" w:space="0" w:color="auto"/>
              <w:right w:val="single" w:sz="4" w:space="0" w:color="auto"/>
            </w:tcBorders>
            <w:shd w:val="clear" w:color="auto" w:fill="C6EFCE"/>
            <w:noWrap/>
          </w:tcPr>
          <w:p w14:paraId="63A9971E" w14:textId="77777777" w:rsidR="00237965" w:rsidRPr="00A978AB" w:rsidRDefault="4F0C9EBE" w:rsidP="008AECE0">
            <w:pPr>
              <w:spacing w:after="0" w:line="240" w:lineRule="auto"/>
              <w:rPr>
                <w:noProof/>
                <w:color w:val="006100"/>
                <w:sz w:val="18"/>
                <w:szCs w:val="18"/>
              </w:rPr>
            </w:pPr>
            <w:r>
              <w:rPr>
                <w:noProof/>
                <w:color w:val="006100"/>
                <w:sz w:val="18"/>
              </w:rPr>
              <w:t xml:space="preserve">Katseprojekti lõpuleviimine, millega indekseeritakse kombineeritud töötushüvitised viimase päeva netopalga tasemele. </w:t>
            </w:r>
          </w:p>
        </w:tc>
      </w:tr>
      <w:tr w:rsidR="007B4D63" w:rsidRPr="003B132A" w14:paraId="22BB942A" w14:textId="77777777" w:rsidTr="008AECE0">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5A6779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143</w:t>
            </w:r>
          </w:p>
        </w:tc>
        <w:tc>
          <w:tcPr>
            <w:tcW w:w="1797" w:type="dxa"/>
            <w:tcBorders>
              <w:top w:val="single" w:sz="4" w:space="0" w:color="auto"/>
              <w:left w:val="nil"/>
              <w:bottom w:val="single" w:sz="4" w:space="0" w:color="auto"/>
              <w:right w:val="single" w:sz="4" w:space="0" w:color="auto"/>
            </w:tcBorders>
            <w:shd w:val="clear" w:color="auto" w:fill="C6EFCE"/>
            <w:noWrap/>
          </w:tcPr>
          <w:p w14:paraId="7E4729A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16792_Tööjõu oskused, ümberõpe ja oskuste täiendamine reformitud koolitusmudeli kaudu (kutseharidus ja -koolitus; koolitusreform)</w:t>
            </w:r>
          </w:p>
        </w:tc>
        <w:tc>
          <w:tcPr>
            <w:tcW w:w="1099" w:type="dxa"/>
            <w:tcBorders>
              <w:top w:val="single" w:sz="4" w:space="0" w:color="auto"/>
              <w:left w:val="nil"/>
              <w:bottom w:val="single" w:sz="4" w:space="0" w:color="auto"/>
              <w:right w:val="single" w:sz="4" w:space="0" w:color="auto"/>
            </w:tcBorders>
            <w:shd w:val="clear" w:color="auto" w:fill="C6EFCE"/>
            <w:noWrap/>
          </w:tcPr>
          <w:p w14:paraId="0B16F72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65" w:type="dxa"/>
            <w:tcBorders>
              <w:top w:val="single" w:sz="4" w:space="0" w:color="auto"/>
              <w:left w:val="nil"/>
              <w:bottom w:val="single" w:sz="4" w:space="0" w:color="auto"/>
              <w:right w:val="single" w:sz="4" w:space="0" w:color="auto"/>
            </w:tcBorders>
            <w:shd w:val="clear" w:color="auto" w:fill="C6EFCE"/>
            <w:noWrap/>
          </w:tcPr>
          <w:p w14:paraId="0B13EE8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Kutsehariduse ja -koolituse kvaliteedikontrolli süsteemi lepingute sõlmimine</w:t>
            </w:r>
          </w:p>
        </w:tc>
        <w:tc>
          <w:tcPr>
            <w:tcW w:w="1471" w:type="dxa"/>
            <w:tcBorders>
              <w:top w:val="single" w:sz="4" w:space="0" w:color="auto"/>
              <w:left w:val="nil"/>
              <w:bottom w:val="single" w:sz="4" w:space="0" w:color="auto"/>
              <w:right w:val="single" w:sz="4" w:space="0" w:color="auto"/>
            </w:tcBorders>
            <w:shd w:val="clear" w:color="auto" w:fill="C6EFCE"/>
            <w:noWrap/>
          </w:tcPr>
          <w:p w14:paraId="16B291B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Teade lepingu sõlmimise kohta</w:t>
            </w:r>
          </w:p>
        </w:tc>
        <w:tc>
          <w:tcPr>
            <w:tcW w:w="1135" w:type="dxa"/>
            <w:tcBorders>
              <w:top w:val="single" w:sz="4" w:space="0" w:color="auto"/>
              <w:left w:val="nil"/>
              <w:bottom w:val="single" w:sz="4" w:space="0" w:color="auto"/>
              <w:right w:val="single" w:sz="4" w:space="0" w:color="auto"/>
            </w:tcBorders>
            <w:shd w:val="clear" w:color="auto" w:fill="C6EFCE"/>
            <w:noWrap/>
          </w:tcPr>
          <w:p w14:paraId="5B8C6601"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24" w:type="dxa"/>
            <w:tcBorders>
              <w:top w:val="single" w:sz="4" w:space="0" w:color="auto"/>
              <w:left w:val="nil"/>
              <w:bottom w:val="single" w:sz="4" w:space="0" w:color="auto"/>
              <w:right w:val="single" w:sz="4" w:space="0" w:color="auto"/>
            </w:tcBorders>
            <w:shd w:val="clear" w:color="auto" w:fill="C6EFCE"/>
            <w:noWrap/>
          </w:tcPr>
          <w:p w14:paraId="3432165F"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96" w:type="dxa"/>
            <w:tcBorders>
              <w:top w:val="single" w:sz="4" w:space="0" w:color="auto"/>
              <w:left w:val="nil"/>
              <w:bottom w:val="single" w:sz="4" w:space="0" w:color="auto"/>
              <w:right w:val="single" w:sz="4" w:space="0" w:color="auto"/>
            </w:tcBorders>
            <w:shd w:val="clear" w:color="auto" w:fill="C6EFCE"/>
            <w:noWrap/>
          </w:tcPr>
          <w:p w14:paraId="00910478"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56652DC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783" w:type="dxa"/>
            <w:tcBorders>
              <w:top w:val="single" w:sz="4" w:space="0" w:color="auto"/>
              <w:left w:val="nil"/>
              <w:bottom w:val="single" w:sz="4" w:space="0" w:color="auto"/>
              <w:right w:val="single" w:sz="4" w:space="0" w:color="auto"/>
            </w:tcBorders>
            <w:shd w:val="clear" w:color="auto" w:fill="C6EFCE"/>
            <w:noWrap/>
          </w:tcPr>
          <w:p w14:paraId="029A48B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2023</w:t>
            </w:r>
          </w:p>
        </w:tc>
        <w:tc>
          <w:tcPr>
            <w:tcW w:w="4185" w:type="dxa"/>
            <w:tcBorders>
              <w:top w:val="single" w:sz="4" w:space="0" w:color="auto"/>
              <w:left w:val="nil"/>
              <w:bottom w:val="single" w:sz="4" w:space="0" w:color="auto"/>
              <w:right w:val="single" w:sz="4" w:space="0" w:color="auto"/>
            </w:tcBorders>
            <w:shd w:val="clear" w:color="auto" w:fill="C6EFCE"/>
            <w:noWrap/>
          </w:tcPr>
          <w:p w14:paraId="73E491D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Kutsehariduse ja -koolituse kvaliteedikontrolli süsteemi (VET) lepingute sõlmimise eesmärk oli parandada kvaliteedikontrolli Kreeka tööjõu tööhõive organisatsiooni (OAED) kutseõppeüksuste üle, peamiselt hinnates selle tulemusi ning jälgides praktikantide edusamme ja tulemuslikkust tööturul.</w:t>
            </w:r>
          </w:p>
        </w:tc>
      </w:tr>
      <w:tr w:rsidR="007B4D63" w:rsidRPr="003B132A" w14:paraId="6B5F8C6F" w14:textId="77777777" w:rsidTr="008AECE0">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12FDC8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144</w:t>
            </w:r>
          </w:p>
        </w:tc>
        <w:tc>
          <w:tcPr>
            <w:tcW w:w="1797" w:type="dxa"/>
            <w:tcBorders>
              <w:top w:val="single" w:sz="4" w:space="0" w:color="auto"/>
              <w:left w:val="nil"/>
              <w:bottom w:val="single" w:sz="4" w:space="0" w:color="auto"/>
              <w:right w:val="single" w:sz="4" w:space="0" w:color="auto"/>
            </w:tcBorders>
            <w:shd w:val="clear" w:color="auto" w:fill="C6EFCE"/>
            <w:noWrap/>
          </w:tcPr>
          <w:p w14:paraId="742B4B7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16747_Aktiivne tööturupoliitika reform</w:t>
            </w:r>
          </w:p>
        </w:tc>
        <w:tc>
          <w:tcPr>
            <w:tcW w:w="1099" w:type="dxa"/>
            <w:tcBorders>
              <w:top w:val="single" w:sz="4" w:space="0" w:color="auto"/>
              <w:left w:val="nil"/>
              <w:bottom w:val="single" w:sz="4" w:space="0" w:color="auto"/>
              <w:right w:val="single" w:sz="4" w:space="0" w:color="auto"/>
            </w:tcBorders>
            <w:shd w:val="clear" w:color="auto" w:fill="C6EFCE"/>
            <w:noWrap/>
          </w:tcPr>
          <w:p w14:paraId="3BFB88D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365" w:type="dxa"/>
            <w:tcBorders>
              <w:top w:val="single" w:sz="4" w:space="0" w:color="auto"/>
              <w:left w:val="nil"/>
              <w:bottom w:val="single" w:sz="4" w:space="0" w:color="auto"/>
              <w:right w:val="single" w:sz="4" w:space="0" w:color="auto"/>
            </w:tcBorders>
            <w:shd w:val="clear" w:color="auto" w:fill="C6EFCE"/>
            <w:noWrap/>
          </w:tcPr>
          <w:p w14:paraId="3BBEAF1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Aktiivse tööturupoliitika oskuste täiendamise tööhõiveprogrammi lõpuleviimine </w:t>
            </w:r>
          </w:p>
        </w:tc>
        <w:tc>
          <w:tcPr>
            <w:tcW w:w="1471" w:type="dxa"/>
            <w:tcBorders>
              <w:top w:val="single" w:sz="4" w:space="0" w:color="auto"/>
              <w:left w:val="nil"/>
              <w:bottom w:val="single" w:sz="4" w:space="0" w:color="auto"/>
              <w:right w:val="single" w:sz="4" w:space="0" w:color="auto"/>
            </w:tcBorders>
            <w:shd w:val="clear" w:color="auto" w:fill="C6EFCE"/>
            <w:noWrap/>
          </w:tcPr>
          <w:p w14:paraId="1D5034FD"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1135" w:type="dxa"/>
            <w:tcBorders>
              <w:top w:val="single" w:sz="4" w:space="0" w:color="auto"/>
              <w:left w:val="nil"/>
              <w:bottom w:val="single" w:sz="4" w:space="0" w:color="auto"/>
              <w:right w:val="single" w:sz="4" w:space="0" w:color="auto"/>
            </w:tcBorders>
            <w:shd w:val="clear" w:color="auto" w:fill="C6EFCE"/>
            <w:noWrap/>
          </w:tcPr>
          <w:p w14:paraId="0A9051F2" w14:textId="271DE32F" w:rsidR="00764877" w:rsidRPr="00E02B5D" w:rsidRDefault="000F3DF1" w:rsidP="00D16F13">
            <w:pPr>
              <w:spacing w:after="0" w:line="240" w:lineRule="auto"/>
              <w:rPr>
                <w:rFonts w:eastAsia="Times New Roman" w:cs="Calibri"/>
                <w:noProof/>
                <w:color w:val="006100"/>
                <w:sz w:val="18"/>
                <w:szCs w:val="18"/>
              </w:rPr>
            </w:pPr>
            <w:r w:rsidRPr="000F3DF1">
              <w:rPr>
                <w:noProof/>
                <w:color w:val="006100"/>
                <w:sz w:val="18"/>
              </w:rPr>
              <w:t>Koolitusprogrammi eduka läbimise tunnistuse saanud 25–45-aastaste töötute arv</w:t>
            </w:r>
          </w:p>
        </w:tc>
        <w:tc>
          <w:tcPr>
            <w:tcW w:w="924" w:type="dxa"/>
            <w:tcBorders>
              <w:top w:val="single" w:sz="4" w:space="0" w:color="auto"/>
              <w:left w:val="nil"/>
              <w:bottom w:val="single" w:sz="4" w:space="0" w:color="auto"/>
              <w:right w:val="single" w:sz="4" w:space="0" w:color="auto"/>
            </w:tcBorders>
            <w:shd w:val="clear" w:color="auto" w:fill="C6EFCE"/>
            <w:noWrap/>
          </w:tcPr>
          <w:p w14:paraId="5DA45FB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0</w:t>
            </w:r>
          </w:p>
        </w:tc>
        <w:tc>
          <w:tcPr>
            <w:tcW w:w="896" w:type="dxa"/>
            <w:tcBorders>
              <w:top w:val="single" w:sz="4" w:space="0" w:color="auto"/>
              <w:left w:val="nil"/>
              <w:bottom w:val="single" w:sz="4" w:space="0" w:color="auto"/>
              <w:right w:val="single" w:sz="4" w:space="0" w:color="auto"/>
            </w:tcBorders>
            <w:shd w:val="clear" w:color="auto" w:fill="C6EFCE"/>
            <w:noWrap/>
          </w:tcPr>
          <w:p w14:paraId="05F9EA0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7 000</w:t>
            </w:r>
          </w:p>
        </w:tc>
        <w:tc>
          <w:tcPr>
            <w:tcW w:w="846" w:type="dxa"/>
            <w:tcBorders>
              <w:top w:val="single" w:sz="4" w:space="0" w:color="auto"/>
              <w:left w:val="nil"/>
              <w:bottom w:val="single" w:sz="4" w:space="0" w:color="auto"/>
              <w:right w:val="single" w:sz="4" w:space="0" w:color="auto"/>
            </w:tcBorders>
            <w:shd w:val="clear" w:color="auto" w:fill="C6EFCE"/>
            <w:noWrap/>
          </w:tcPr>
          <w:p w14:paraId="5F938E2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83" w:type="dxa"/>
            <w:tcBorders>
              <w:top w:val="single" w:sz="4" w:space="0" w:color="auto"/>
              <w:left w:val="nil"/>
              <w:bottom w:val="single" w:sz="4" w:space="0" w:color="auto"/>
              <w:right w:val="single" w:sz="4" w:space="0" w:color="auto"/>
            </w:tcBorders>
            <w:shd w:val="clear" w:color="auto" w:fill="C6EFCE"/>
            <w:noWrap/>
          </w:tcPr>
          <w:p w14:paraId="3AC1E4FB" w14:textId="77777777" w:rsidR="00764877" w:rsidRPr="00A33C10" w:rsidRDefault="00764877" w:rsidP="00D16F13">
            <w:pPr>
              <w:spacing w:after="0" w:line="240" w:lineRule="auto"/>
              <w:rPr>
                <w:noProof/>
                <w:color w:val="006100"/>
                <w:sz w:val="18"/>
                <w:szCs w:val="18"/>
              </w:rPr>
            </w:pPr>
            <w:r>
              <w:rPr>
                <w:noProof/>
                <w:color w:val="006100"/>
                <w:sz w:val="18"/>
              </w:rPr>
              <w:t>2024</w:t>
            </w:r>
          </w:p>
        </w:tc>
        <w:tc>
          <w:tcPr>
            <w:tcW w:w="4185" w:type="dxa"/>
            <w:tcBorders>
              <w:top w:val="single" w:sz="4" w:space="0" w:color="auto"/>
              <w:left w:val="nil"/>
              <w:bottom w:val="single" w:sz="4" w:space="0" w:color="auto"/>
              <w:right w:val="single" w:sz="4" w:space="0" w:color="auto"/>
            </w:tcBorders>
            <w:shd w:val="clear" w:color="auto" w:fill="C6EFCE"/>
            <w:noWrap/>
          </w:tcPr>
          <w:p w14:paraId="3B7A5776" w14:textId="7C310984" w:rsidR="00764877" w:rsidRPr="00E02B5D" w:rsidRDefault="00764877" w:rsidP="00D16F13">
            <w:pPr>
              <w:spacing w:after="0" w:line="240" w:lineRule="auto"/>
              <w:rPr>
                <w:rFonts w:eastAsia="Times New Roman" w:cs="Calibri"/>
                <w:noProof/>
                <w:color w:val="006100"/>
                <w:sz w:val="18"/>
                <w:szCs w:val="18"/>
              </w:rPr>
            </w:pPr>
            <w:r>
              <w:rPr>
                <w:noProof/>
                <w:color w:val="006100"/>
                <w:sz w:val="18"/>
              </w:rPr>
              <w:t>Põhjaliku täiendus-/ümberõppe- ja lühiajalise tööhõive programmi lõpuleviimine vähemalt 7 000 töötule (25–45aastastele) 7 500 toetusesaajast</w:t>
            </w:r>
          </w:p>
          <w:p w14:paraId="5F7A216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19 % eraldatud vahenditest peaks aitama kaasa keskkonnasäästlike oskuste ja töökohtade loomisele ning keskkonnasäästlikule majandusele</w:t>
            </w:r>
          </w:p>
        </w:tc>
      </w:tr>
      <w:tr w:rsidR="00764877" w:rsidRPr="003B132A" w14:paraId="7079FBE8" w14:textId="77777777" w:rsidTr="008AECE0">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B9B646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144a</w:t>
            </w:r>
          </w:p>
        </w:tc>
        <w:tc>
          <w:tcPr>
            <w:tcW w:w="1797" w:type="dxa"/>
            <w:tcBorders>
              <w:top w:val="single" w:sz="4" w:space="0" w:color="auto"/>
              <w:left w:val="nil"/>
              <w:bottom w:val="single" w:sz="4" w:space="0" w:color="auto"/>
              <w:right w:val="single" w:sz="4" w:space="0" w:color="auto"/>
            </w:tcBorders>
            <w:shd w:val="clear" w:color="auto" w:fill="C6EFCE"/>
            <w:noWrap/>
          </w:tcPr>
          <w:p w14:paraId="2366A00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8-3.1. Edendada töökohtade loomist ja tööturul osalemist – 16747_Aktiivne tööturupoliitika reform</w:t>
            </w:r>
          </w:p>
        </w:tc>
        <w:tc>
          <w:tcPr>
            <w:tcW w:w="1099" w:type="dxa"/>
            <w:tcBorders>
              <w:top w:val="single" w:sz="4" w:space="0" w:color="auto"/>
              <w:left w:val="nil"/>
              <w:bottom w:val="single" w:sz="4" w:space="0" w:color="auto"/>
              <w:right w:val="single" w:sz="4" w:space="0" w:color="auto"/>
            </w:tcBorders>
            <w:shd w:val="clear" w:color="auto" w:fill="C6EFCE"/>
            <w:noWrap/>
          </w:tcPr>
          <w:p w14:paraId="3314F3C5" w14:textId="77777777" w:rsidR="00764877" w:rsidRPr="00E02B5D" w:rsidRDefault="00764877" w:rsidP="00D16F13">
            <w:pPr>
              <w:spacing w:after="0" w:line="240" w:lineRule="auto"/>
              <w:rPr>
                <w:noProof/>
              </w:rPr>
            </w:pPr>
            <w:r>
              <w:rPr>
                <w:noProof/>
                <w:color w:val="006100"/>
                <w:sz w:val="18"/>
              </w:rPr>
              <w:t>Eesmärk</w:t>
            </w:r>
          </w:p>
        </w:tc>
        <w:tc>
          <w:tcPr>
            <w:tcW w:w="1365" w:type="dxa"/>
            <w:tcBorders>
              <w:top w:val="single" w:sz="4" w:space="0" w:color="auto"/>
              <w:left w:val="nil"/>
              <w:bottom w:val="single" w:sz="4" w:space="0" w:color="auto"/>
              <w:right w:val="single" w:sz="4" w:space="0" w:color="auto"/>
            </w:tcBorders>
            <w:shd w:val="clear" w:color="auto" w:fill="C6EFCE"/>
            <w:noWrap/>
          </w:tcPr>
          <w:p w14:paraId="45D8A94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Aktiivse tööturupoliitika programmi lõpuleviimine </w:t>
            </w:r>
          </w:p>
        </w:tc>
        <w:tc>
          <w:tcPr>
            <w:tcW w:w="1471" w:type="dxa"/>
            <w:tcBorders>
              <w:top w:val="single" w:sz="4" w:space="0" w:color="auto"/>
              <w:left w:val="nil"/>
              <w:bottom w:val="single" w:sz="4" w:space="0" w:color="auto"/>
              <w:right w:val="single" w:sz="4" w:space="0" w:color="auto"/>
            </w:tcBorders>
            <w:shd w:val="clear" w:color="auto" w:fill="C6EFCE"/>
            <w:noWrap/>
          </w:tcPr>
          <w:p w14:paraId="23E1F08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DYPA aruanne programmide lõpuleviimise kohta</w:t>
            </w:r>
          </w:p>
        </w:tc>
        <w:tc>
          <w:tcPr>
            <w:tcW w:w="1135" w:type="dxa"/>
            <w:tcBorders>
              <w:top w:val="single" w:sz="4" w:space="0" w:color="auto"/>
              <w:left w:val="nil"/>
              <w:bottom w:val="single" w:sz="4" w:space="0" w:color="auto"/>
              <w:right w:val="single" w:sz="4" w:space="0" w:color="auto"/>
            </w:tcBorders>
            <w:shd w:val="clear" w:color="auto" w:fill="C6EFCE"/>
            <w:noWrap/>
          </w:tcPr>
          <w:p w14:paraId="2DD5B460"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24" w:type="dxa"/>
            <w:tcBorders>
              <w:top w:val="single" w:sz="4" w:space="0" w:color="auto"/>
              <w:left w:val="nil"/>
              <w:bottom w:val="single" w:sz="4" w:space="0" w:color="auto"/>
              <w:right w:val="single" w:sz="4" w:space="0" w:color="auto"/>
            </w:tcBorders>
            <w:shd w:val="clear" w:color="auto" w:fill="C6EFCE"/>
            <w:noWrap/>
          </w:tcPr>
          <w:p w14:paraId="7A75A355"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96" w:type="dxa"/>
            <w:tcBorders>
              <w:top w:val="single" w:sz="4" w:space="0" w:color="auto"/>
              <w:left w:val="nil"/>
              <w:bottom w:val="single" w:sz="4" w:space="0" w:color="auto"/>
              <w:right w:val="single" w:sz="4" w:space="0" w:color="auto"/>
            </w:tcBorders>
            <w:shd w:val="clear" w:color="auto" w:fill="C6EFCE"/>
            <w:noWrap/>
          </w:tcPr>
          <w:p w14:paraId="0E07F9A1"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630051C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83" w:type="dxa"/>
            <w:tcBorders>
              <w:top w:val="single" w:sz="4" w:space="0" w:color="auto"/>
              <w:left w:val="nil"/>
              <w:bottom w:val="single" w:sz="4" w:space="0" w:color="auto"/>
              <w:right w:val="single" w:sz="4" w:space="0" w:color="auto"/>
            </w:tcBorders>
            <w:shd w:val="clear" w:color="auto" w:fill="C6EFCE"/>
            <w:noWrap/>
          </w:tcPr>
          <w:p w14:paraId="1E4F2E25" w14:textId="77777777" w:rsidR="00764877" w:rsidRPr="00E02B5D" w:rsidDel="2893544A"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185" w:type="dxa"/>
            <w:tcBorders>
              <w:top w:val="single" w:sz="4" w:space="0" w:color="auto"/>
              <w:left w:val="nil"/>
              <w:bottom w:val="single" w:sz="4" w:space="0" w:color="auto"/>
              <w:right w:val="single" w:sz="4" w:space="0" w:color="auto"/>
            </w:tcBorders>
            <w:shd w:val="clear" w:color="auto" w:fill="C6EFCE"/>
            <w:noWrap/>
          </w:tcPr>
          <w:p w14:paraId="5EAA00E7" w14:textId="77777777" w:rsidR="00764877" w:rsidRPr="00E02B5D" w:rsidRDefault="00764877" w:rsidP="00D16F13">
            <w:pPr>
              <w:pStyle w:val="paragraph"/>
              <w:spacing w:before="0" w:beforeAutospacing="0" w:after="0" w:afterAutospacing="0"/>
              <w:textAlignment w:val="baseline"/>
              <w:rPr>
                <w:rFonts w:ascii="Calibri" w:hAnsi="Calibri" w:cs="Calibri"/>
                <w:noProof/>
                <w:color w:val="006100"/>
                <w:sz w:val="18"/>
                <w:szCs w:val="18"/>
              </w:rPr>
            </w:pPr>
            <w:r>
              <w:rPr>
                <w:rFonts w:ascii="Calibri" w:hAnsi="Calibri"/>
                <w:noProof/>
                <w:color w:val="006100"/>
                <w:sz w:val="18"/>
              </w:rPr>
              <w:t xml:space="preserve">Järgmiste aktiivse tööturupoliitika programmide lõpuleviimine: </w:t>
            </w:r>
          </w:p>
          <w:p w14:paraId="3AF1985A" w14:textId="66F423DA" w:rsidR="00764877" w:rsidRPr="00E02B5D" w:rsidRDefault="00764877" w:rsidP="00D16F13">
            <w:pPr>
              <w:pStyle w:val="paragraph"/>
              <w:spacing w:before="0" w:beforeAutospacing="0" w:after="0" w:afterAutospacing="0"/>
              <w:textAlignment w:val="baseline"/>
              <w:rPr>
                <w:rFonts w:ascii="Calibri" w:hAnsi="Calibri" w:cs="Calibri"/>
                <w:noProof/>
                <w:color w:val="006100"/>
                <w:sz w:val="18"/>
                <w:szCs w:val="18"/>
              </w:rPr>
            </w:pPr>
            <w:r>
              <w:rPr>
                <w:rFonts w:ascii="Calibri" w:hAnsi="Calibri"/>
                <w:noProof/>
                <w:color w:val="006100"/>
                <w:sz w:val="18"/>
              </w:rPr>
              <w:t xml:space="preserve">a) neli sihtotstarbelist lühiajalist programmi, millega toetatakse erasektoris tööhõivet kokku 34 000 toetusesaajast vähemalt 30 600 töötu jaoks </w:t>
            </w:r>
          </w:p>
          <w:p w14:paraId="616E86E4" w14:textId="1F1A2898" w:rsidR="00764877" w:rsidRPr="00E02B5D" w:rsidRDefault="00764877" w:rsidP="00D16F13">
            <w:pPr>
              <w:pStyle w:val="paragraph"/>
              <w:spacing w:before="0" w:beforeAutospacing="0" w:after="0" w:afterAutospacing="0"/>
              <w:textAlignment w:val="baseline"/>
              <w:rPr>
                <w:rFonts w:ascii="Calibri" w:hAnsi="Calibri" w:cs="Calibri"/>
                <w:noProof/>
                <w:color w:val="006100"/>
                <w:sz w:val="18"/>
                <w:szCs w:val="18"/>
              </w:rPr>
            </w:pPr>
            <w:r>
              <w:rPr>
                <w:rFonts w:ascii="Calibri" w:hAnsi="Calibri"/>
                <w:noProof/>
                <w:color w:val="006100"/>
                <w:sz w:val="18"/>
              </w:rPr>
              <w:t>b) aktiivse tööturupoliitika uue katsekatsetatud avatud raamkava rakendamine veel kolmes geograafilises piirkonnas (kus osalejatele pakutakse 22 500 koolitusprogrammi, 7 000 tööhõivetoetust ja 850 ettevõtlustoetust) </w:t>
            </w:r>
          </w:p>
          <w:p w14:paraId="6839BCA1" w14:textId="77777777" w:rsidR="00764877" w:rsidRPr="00E02B5D" w:rsidRDefault="00764877" w:rsidP="00D16F13">
            <w:pPr>
              <w:pStyle w:val="paragraph"/>
              <w:spacing w:before="0" w:beforeAutospacing="0" w:after="0" w:afterAutospacing="0"/>
              <w:textAlignment w:val="baseline"/>
              <w:rPr>
                <w:rFonts w:ascii="Calibri" w:hAnsi="Calibri" w:cs="Calibri"/>
                <w:noProof/>
                <w:color w:val="006100"/>
                <w:sz w:val="18"/>
                <w:szCs w:val="18"/>
              </w:rPr>
            </w:pPr>
            <w:r>
              <w:rPr>
                <w:rFonts w:ascii="Calibri" w:hAnsi="Calibri"/>
                <w:noProof/>
                <w:color w:val="006100"/>
                <w:sz w:val="18"/>
              </w:rPr>
              <w:t>c) Riikliku tööturuasutuse nõustajate ajutine suurendamine 600 täiendava nõustaja töölevõtmisega ning  </w:t>
            </w:r>
          </w:p>
          <w:p w14:paraId="0A066A99" w14:textId="42D3294E" w:rsidR="00764877" w:rsidRPr="00E02B5D" w:rsidRDefault="00764877" w:rsidP="00D16F13">
            <w:pPr>
              <w:pStyle w:val="paragraph"/>
              <w:spacing w:before="0" w:beforeAutospacing="0" w:after="0" w:afterAutospacing="0"/>
              <w:textAlignment w:val="baseline"/>
              <w:rPr>
                <w:rFonts w:ascii="Calibri" w:hAnsi="Calibri" w:cs="Calibri"/>
                <w:noProof/>
                <w:color w:val="006100"/>
                <w:sz w:val="18"/>
                <w:szCs w:val="18"/>
              </w:rPr>
            </w:pPr>
            <w:r>
              <w:rPr>
                <w:rFonts w:ascii="Calibri" w:hAnsi="Calibri"/>
                <w:noProof/>
                <w:color w:val="006100"/>
                <w:sz w:val="18"/>
              </w:rPr>
              <w:t>d) 1 000 riikliku tööturuasutuse tööhõivenõuniku koolitus.  </w:t>
            </w:r>
          </w:p>
          <w:p w14:paraId="33341798" w14:textId="77777777" w:rsidR="00764877" w:rsidRPr="00AD4052" w:rsidRDefault="00764877" w:rsidP="00D16F13">
            <w:pPr>
              <w:pStyle w:val="paragraph"/>
              <w:spacing w:before="0" w:beforeAutospacing="0" w:after="0" w:afterAutospacing="0"/>
              <w:textAlignment w:val="baseline"/>
              <w:rPr>
                <w:rFonts w:ascii="Calibri" w:hAnsi="Calibri" w:cs="Calibri"/>
                <w:noProof/>
                <w:color w:val="006100"/>
                <w:sz w:val="18"/>
                <w:szCs w:val="18"/>
              </w:rPr>
            </w:pPr>
          </w:p>
        </w:tc>
      </w:tr>
      <w:tr w:rsidR="007B4D63" w:rsidRPr="003B132A" w14:paraId="3795FEB6" w14:textId="77777777" w:rsidTr="008AECE0">
        <w:trPr>
          <w:trHeight w:val="2040"/>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2C1DD6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145</w:t>
            </w:r>
          </w:p>
        </w:tc>
        <w:tc>
          <w:tcPr>
            <w:tcW w:w="1797" w:type="dxa"/>
            <w:tcBorders>
              <w:top w:val="single" w:sz="4" w:space="0" w:color="auto"/>
              <w:left w:val="nil"/>
              <w:bottom w:val="single" w:sz="4" w:space="0" w:color="auto"/>
              <w:right w:val="single" w:sz="4" w:space="0" w:color="auto"/>
            </w:tcBorders>
            <w:shd w:val="clear" w:color="auto" w:fill="C6EFCE"/>
            <w:noWrap/>
          </w:tcPr>
          <w:p w14:paraId="3256B3D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9-3.2. Haridus, kutseharidus ja -koolitus ning oskused – 16794_Õpipoisiõppe süsteemi tugevdamine </w:t>
            </w:r>
          </w:p>
        </w:tc>
        <w:tc>
          <w:tcPr>
            <w:tcW w:w="1099" w:type="dxa"/>
            <w:tcBorders>
              <w:top w:val="single" w:sz="4" w:space="0" w:color="auto"/>
              <w:left w:val="nil"/>
              <w:bottom w:val="single" w:sz="4" w:space="0" w:color="auto"/>
              <w:right w:val="single" w:sz="4" w:space="0" w:color="auto"/>
            </w:tcBorders>
            <w:shd w:val="clear" w:color="auto" w:fill="C6EFCE"/>
            <w:noWrap/>
          </w:tcPr>
          <w:p w14:paraId="433F3F7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365" w:type="dxa"/>
            <w:tcBorders>
              <w:top w:val="single" w:sz="4" w:space="0" w:color="auto"/>
              <w:left w:val="nil"/>
              <w:bottom w:val="single" w:sz="4" w:space="0" w:color="auto"/>
              <w:right w:val="single" w:sz="4" w:space="0" w:color="auto"/>
            </w:tcBorders>
            <w:shd w:val="clear" w:color="auto" w:fill="C6EFCE"/>
            <w:noWrap/>
          </w:tcPr>
          <w:p w14:paraId="6C737134" w14:textId="77777777" w:rsidR="00764877" w:rsidRPr="00E02B5D" w:rsidRDefault="00764877" w:rsidP="00D42C9F">
            <w:pPr>
              <w:spacing w:after="0" w:line="240" w:lineRule="auto"/>
              <w:rPr>
                <w:rFonts w:eastAsia="Times New Roman" w:cs="Calibri"/>
                <w:noProof/>
                <w:color w:val="006100"/>
                <w:sz w:val="18"/>
                <w:szCs w:val="18"/>
              </w:rPr>
            </w:pPr>
            <w:r>
              <w:rPr>
                <w:noProof/>
                <w:color w:val="006100"/>
                <w:sz w:val="18"/>
              </w:rPr>
              <w:t>Digiteerimisalase e-õppe koolituskursuste lõpuleviimine</w:t>
            </w:r>
          </w:p>
        </w:tc>
        <w:tc>
          <w:tcPr>
            <w:tcW w:w="1471" w:type="dxa"/>
            <w:tcBorders>
              <w:top w:val="single" w:sz="4" w:space="0" w:color="auto"/>
              <w:left w:val="nil"/>
              <w:bottom w:val="single" w:sz="4" w:space="0" w:color="auto"/>
              <w:right w:val="single" w:sz="4" w:space="0" w:color="auto"/>
            </w:tcBorders>
            <w:shd w:val="clear" w:color="auto" w:fill="C6EFCE"/>
            <w:noWrap/>
          </w:tcPr>
          <w:p w14:paraId="23CACD15" w14:textId="77777777" w:rsidR="00764877" w:rsidRPr="00AD4052" w:rsidRDefault="00764877" w:rsidP="00D16F13">
            <w:pPr>
              <w:spacing w:after="0" w:line="240" w:lineRule="auto"/>
              <w:rPr>
                <w:rFonts w:eastAsia="Times New Roman" w:cs="Calibri"/>
                <w:noProof/>
                <w:color w:val="006100"/>
                <w:sz w:val="18"/>
                <w:szCs w:val="18"/>
                <w:lang w:val="it-IT" w:eastAsia="en-GB"/>
              </w:rPr>
            </w:pPr>
          </w:p>
        </w:tc>
        <w:tc>
          <w:tcPr>
            <w:tcW w:w="1135" w:type="dxa"/>
            <w:tcBorders>
              <w:top w:val="single" w:sz="4" w:space="0" w:color="auto"/>
              <w:left w:val="nil"/>
              <w:bottom w:val="single" w:sz="4" w:space="0" w:color="auto"/>
              <w:right w:val="single" w:sz="4" w:space="0" w:color="auto"/>
            </w:tcBorders>
            <w:shd w:val="clear" w:color="auto" w:fill="C6EFCE"/>
            <w:noWrap/>
          </w:tcPr>
          <w:p w14:paraId="362A556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Digiteeritud koolituskursuste arv (e-õppe kursused)</w:t>
            </w:r>
          </w:p>
        </w:tc>
        <w:tc>
          <w:tcPr>
            <w:tcW w:w="924" w:type="dxa"/>
            <w:tcBorders>
              <w:top w:val="single" w:sz="4" w:space="0" w:color="auto"/>
              <w:left w:val="nil"/>
              <w:bottom w:val="single" w:sz="4" w:space="0" w:color="auto"/>
              <w:right w:val="single" w:sz="4" w:space="0" w:color="auto"/>
            </w:tcBorders>
            <w:shd w:val="clear" w:color="auto" w:fill="C6EFCE"/>
            <w:noWrap/>
          </w:tcPr>
          <w:p w14:paraId="111B21C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0</w:t>
            </w:r>
          </w:p>
        </w:tc>
        <w:tc>
          <w:tcPr>
            <w:tcW w:w="896" w:type="dxa"/>
            <w:tcBorders>
              <w:top w:val="single" w:sz="4" w:space="0" w:color="auto"/>
              <w:left w:val="nil"/>
              <w:bottom w:val="single" w:sz="4" w:space="0" w:color="auto"/>
              <w:right w:val="single" w:sz="4" w:space="0" w:color="auto"/>
            </w:tcBorders>
            <w:shd w:val="clear" w:color="auto" w:fill="C6EFCE"/>
            <w:noWrap/>
          </w:tcPr>
          <w:p w14:paraId="58EC264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250</w:t>
            </w:r>
          </w:p>
        </w:tc>
        <w:tc>
          <w:tcPr>
            <w:tcW w:w="846" w:type="dxa"/>
            <w:tcBorders>
              <w:top w:val="single" w:sz="4" w:space="0" w:color="auto"/>
              <w:left w:val="nil"/>
              <w:bottom w:val="single" w:sz="4" w:space="0" w:color="auto"/>
              <w:right w:val="single" w:sz="4" w:space="0" w:color="auto"/>
            </w:tcBorders>
            <w:shd w:val="clear" w:color="auto" w:fill="C6EFCE"/>
            <w:noWrap/>
          </w:tcPr>
          <w:p w14:paraId="7684B70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83" w:type="dxa"/>
            <w:tcBorders>
              <w:top w:val="single" w:sz="4" w:space="0" w:color="auto"/>
              <w:left w:val="nil"/>
              <w:bottom w:val="single" w:sz="4" w:space="0" w:color="auto"/>
              <w:right w:val="single" w:sz="4" w:space="0" w:color="auto"/>
            </w:tcBorders>
            <w:shd w:val="clear" w:color="auto" w:fill="C6EFCE"/>
            <w:noWrap/>
          </w:tcPr>
          <w:p w14:paraId="5C6F37F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185" w:type="dxa"/>
            <w:tcBorders>
              <w:top w:val="single" w:sz="4" w:space="0" w:color="auto"/>
              <w:left w:val="nil"/>
              <w:bottom w:val="single" w:sz="4" w:space="0" w:color="auto"/>
              <w:right w:val="single" w:sz="4" w:space="0" w:color="auto"/>
            </w:tcBorders>
            <w:shd w:val="clear" w:color="auto" w:fill="C6EFCE"/>
            <w:noWrap/>
          </w:tcPr>
          <w:p w14:paraId="31C34BF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Vähemalt 250 OAED-õpipoisiõppe kutsekooli (EPAS) koolituskursuse digiülemineku läbimine. </w:t>
            </w:r>
          </w:p>
          <w:p w14:paraId="2C45E38D" w14:textId="77777777" w:rsidR="00764877" w:rsidRPr="00AD4052" w:rsidRDefault="00764877" w:rsidP="00D16F13">
            <w:pPr>
              <w:spacing w:after="0" w:line="240" w:lineRule="auto"/>
              <w:rPr>
                <w:rFonts w:eastAsia="Times New Roman" w:cs="Calibri"/>
                <w:noProof/>
                <w:color w:val="006100"/>
                <w:sz w:val="18"/>
                <w:szCs w:val="18"/>
                <w:lang w:eastAsia="en-GB"/>
              </w:rPr>
            </w:pPr>
          </w:p>
          <w:p w14:paraId="1037612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Meetme eesmärk on lihtsustada õppeprotsesse ning kaasata uusi meetodeid ja vahendeid, nagu e-õppe platvormid ja digiteeritud koolitussisu nii praktikantidele kui ka koolitajatele. </w:t>
            </w:r>
          </w:p>
        </w:tc>
      </w:tr>
      <w:tr w:rsidR="00764877" w:rsidRPr="003B132A" w14:paraId="40A7A1E9" w14:textId="77777777" w:rsidTr="008AECE0">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059702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145a</w:t>
            </w:r>
          </w:p>
        </w:tc>
        <w:tc>
          <w:tcPr>
            <w:tcW w:w="1797" w:type="dxa"/>
            <w:tcBorders>
              <w:top w:val="single" w:sz="4" w:space="0" w:color="auto"/>
              <w:left w:val="nil"/>
              <w:bottom w:val="single" w:sz="4" w:space="0" w:color="auto"/>
              <w:right w:val="single" w:sz="4" w:space="0" w:color="auto"/>
            </w:tcBorders>
            <w:shd w:val="clear" w:color="auto" w:fill="C6EFCE"/>
            <w:noWrap/>
          </w:tcPr>
          <w:p w14:paraId="52302816" w14:textId="77777777" w:rsidR="00764877" w:rsidRPr="00E02B5D" w:rsidRDefault="00764877" w:rsidP="00D16F13">
            <w:pPr>
              <w:spacing w:after="0" w:line="240" w:lineRule="auto"/>
              <w:rPr>
                <w:rFonts w:eastAsia="Times New Roman"/>
                <w:noProof/>
                <w:color w:val="006100"/>
                <w:sz w:val="18"/>
                <w:szCs w:val="18"/>
              </w:rPr>
            </w:pPr>
            <w:r>
              <w:rPr>
                <w:noProof/>
                <w:color w:val="006100"/>
                <w:sz w:val="18"/>
              </w:rPr>
              <w:t xml:space="preserve">9-3.2. Haridus, kutseharidus ja -koolitus ning oskused – 16794_Õpipoisiõppe süsteemi tugevdamine </w:t>
            </w:r>
          </w:p>
        </w:tc>
        <w:tc>
          <w:tcPr>
            <w:tcW w:w="1099" w:type="dxa"/>
            <w:tcBorders>
              <w:top w:val="single" w:sz="4" w:space="0" w:color="auto"/>
              <w:left w:val="nil"/>
              <w:bottom w:val="single" w:sz="4" w:space="0" w:color="auto"/>
              <w:right w:val="single" w:sz="4" w:space="0" w:color="auto"/>
            </w:tcBorders>
            <w:shd w:val="clear" w:color="auto" w:fill="C6EFCE"/>
            <w:noWrap/>
          </w:tcPr>
          <w:p w14:paraId="1C7EBC5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65" w:type="dxa"/>
            <w:tcBorders>
              <w:top w:val="single" w:sz="4" w:space="0" w:color="auto"/>
              <w:left w:val="nil"/>
              <w:bottom w:val="single" w:sz="4" w:space="0" w:color="auto"/>
              <w:right w:val="single" w:sz="4" w:space="0" w:color="auto"/>
            </w:tcBorders>
            <w:shd w:val="clear" w:color="auto" w:fill="C6EFCE"/>
            <w:noWrap/>
          </w:tcPr>
          <w:p w14:paraId="450D3CF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Kutsehariduse ja -koolituse riiklik süsteem</w:t>
            </w:r>
          </w:p>
        </w:tc>
        <w:tc>
          <w:tcPr>
            <w:tcW w:w="1471" w:type="dxa"/>
            <w:tcBorders>
              <w:top w:val="single" w:sz="4" w:space="0" w:color="auto"/>
              <w:left w:val="nil"/>
              <w:bottom w:val="single" w:sz="4" w:space="0" w:color="auto"/>
              <w:right w:val="single" w:sz="4" w:space="0" w:color="auto"/>
            </w:tcBorders>
            <w:shd w:val="clear" w:color="auto" w:fill="C6EFCE"/>
            <w:noWrap/>
          </w:tcPr>
          <w:p w14:paraId="27E888E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Õigusaktide jõustumine</w:t>
            </w:r>
          </w:p>
        </w:tc>
        <w:tc>
          <w:tcPr>
            <w:tcW w:w="1135" w:type="dxa"/>
            <w:tcBorders>
              <w:top w:val="single" w:sz="4" w:space="0" w:color="auto"/>
              <w:left w:val="nil"/>
              <w:bottom w:val="single" w:sz="4" w:space="0" w:color="auto"/>
              <w:right w:val="single" w:sz="4" w:space="0" w:color="auto"/>
            </w:tcBorders>
            <w:shd w:val="clear" w:color="auto" w:fill="C6EFCE"/>
            <w:noWrap/>
          </w:tcPr>
          <w:p w14:paraId="1ED8D019"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24" w:type="dxa"/>
            <w:tcBorders>
              <w:top w:val="single" w:sz="4" w:space="0" w:color="auto"/>
              <w:left w:val="nil"/>
              <w:bottom w:val="single" w:sz="4" w:space="0" w:color="auto"/>
              <w:right w:val="single" w:sz="4" w:space="0" w:color="auto"/>
            </w:tcBorders>
            <w:shd w:val="clear" w:color="auto" w:fill="C6EFCE"/>
            <w:noWrap/>
          </w:tcPr>
          <w:p w14:paraId="7EB4222D"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96" w:type="dxa"/>
            <w:tcBorders>
              <w:top w:val="single" w:sz="4" w:space="0" w:color="auto"/>
              <w:left w:val="nil"/>
              <w:bottom w:val="single" w:sz="4" w:space="0" w:color="auto"/>
              <w:right w:val="single" w:sz="4" w:space="0" w:color="auto"/>
            </w:tcBorders>
            <w:shd w:val="clear" w:color="auto" w:fill="C6EFCE"/>
            <w:noWrap/>
          </w:tcPr>
          <w:p w14:paraId="5F90030B"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32D1B00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83" w:type="dxa"/>
            <w:tcBorders>
              <w:top w:val="single" w:sz="4" w:space="0" w:color="auto"/>
              <w:left w:val="nil"/>
              <w:bottom w:val="single" w:sz="4" w:space="0" w:color="auto"/>
              <w:right w:val="single" w:sz="4" w:space="0" w:color="auto"/>
            </w:tcBorders>
            <w:shd w:val="clear" w:color="auto" w:fill="C6EFCE"/>
            <w:noWrap/>
          </w:tcPr>
          <w:p w14:paraId="315A35F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2024</w:t>
            </w:r>
          </w:p>
        </w:tc>
        <w:tc>
          <w:tcPr>
            <w:tcW w:w="4185" w:type="dxa"/>
            <w:tcBorders>
              <w:top w:val="single" w:sz="4" w:space="0" w:color="auto"/>
              <w:left w:val="nil"/>
              <w:bottom w:val="single" w:sz="4" w:space="0" w:color="auto"/>
              <w:right w:val="single" w:sz="4" w:space="0" w:color="auto"/>
            </w:tcBorders>
            <w:shd w:val="clear" w:color="auto" w:fill="C6EFCE"/>
            <w:noWrap/>
          </w:tcPr>
          <w:p w14:paraId="6CD4F42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Riikliku kutsehariduse ja -koolituse süsteemi käsitleva seaduse jõustumine.</w:t>
            </w:r>
          </w:p>
        </w:tc>
      </w:tr>
      <w:tr w:rsidR="00764877" w:rsidRPr="003B132A" w14:paraId="17059DC2" w14:textId="77777777" w:rsidTr="008AECE0">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9FB396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145b</w:t>
            </w:r>
          </w:p>
        </w:tc>
        <w:tc>
          <w:tcPr>
            <w:tcW w:w="1797" w:type="dxa"/>
            <w:tcBorders>
              <w:top w:val="single" w:sz="4" w:space="0" w:color="auto"/>
              <w:left w:val="nil"/>
              <w:bottom w:val="single" w:sz="4" w:space="0" w:color="auto"/>
              <w:right w:val="single" w:sz="4" w:space="0" w:color="auto"/>
            </w:tcBorders>
            <w:shd w:val="clear" w:color="auto" w:fill="C6EFCE"/>
            <w:noWrap/>
          </w:tcPr>
          <w:p w14:paraId="35D591B0" w14:textId="77777777" w:rsidR="00764877" w:rsidRPr="00E02B5D" w:rsidRDefault="00764877" w:rsidP="00D16F13">
            <w:pPr>
              <w:spacing w:after="0" w:line="240" w:lineRule="auto"/>
              <w:rPr>
                <w:rFonts w:eastAsia="Times New Roman"/>
                <w:noProof/>
                <w:color w:val="006100"/>
                <w:sz w:val="18"/>
                <w:szCs w:val="18"/>
              </w:rPr>
            </w:pPr>
            <w:r>
              <w:rPr>
                <w:noProof/>
                <w:color w:val="006100"/>
                <w:sz w:val="18"/>
              </w:rPr>
              <w:t xml:space="preserve">9-3.2. Haridus, kutseharidus ja -koolitus ning oskused – 16794_Õpipoisiõppe süsteemi tugevdamine </w:t>
            </w:r>
          </w:p>
        </w:tc>
        <w:tc>
          <w:tcPr>
            <w:tcW w:w="1099" w:type="dxa"/>
            <w:tcBorders>
              <w:top w:val="single" w:sz="4" w:space="0" w:color="auto"/>
              <w:left w:val="nil"/>
              <w:bottom w:val="single" w:sz="4" w:space="0" w:color="auto"/>
              <w:right w:val="single" w:sz="4" w:space="0" w:color="auto"/>
            </w:tcBorders>
            <w:shd w:val="clear" w:color="auto" w:fill="C6EFCE"/>
            <w:noWrap/>
          </w:tcPr>
          <w:p w14:paraId="5D42D73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65" w:type="dxa"/>
            <w:tcBorders>
              <w:top w:val="single" w:sz="4" w:space="0" w:color="auto"/>
              <w:left w:val="nil"/>
              <w:bottom w:val="single" w:sz="4" w:space="0" w:color="auto"/>
              <w:right w:val="single" w:sz="4" w:space="0" w:color="auto"/>
            </w:tcBorders>
            <w:shd w:val="clear" w:color="auto" w:fill="C6EFCE"/>
            <w:noWrap/>
          </w:tcPr>
          <w:p w14:paraId="68464CD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Kutsehariduse ja -õppe koolide kvaliteedikontroll, õppekavade reform, kutsehariduse ja -õppe taristu ning muud projektid DYPA raames </w:t>
            </w:r>
          </w:p>
        </w:tc>
        <w:tc>
          <w:tcPr>
            <w:tcW w:w="1471" w:type="dxa"/>
            <w:tcBorders>
              <w:top w:val="single" w:sz="4" w:space="0" w:color="auto"/>
              <w:left w:val="nil"/>
              <w:bottom w:val="single" w:sz="4" w:space="0" w:color="auto"/>
              <w:right w:val="single" w:sz="4" w:space="0" w:color="auto"/>
            </w:tcBorders>
            <w:shd w:val="clear" w:color="auto" w:fill="C6EFCE"/>
            <w:noWrap/>
          </w:tcPr>
          <w:p w14:paraId="6BFFA0D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DYPA aruanne, milles kinnitatakse projektide lõpuleviimist</w:t>
            </w:r>
          </w:p>
        </w:tc>
        <w:tc>
          <w:tcPr>
            <w:tcW w:w="1135" w:type="dxa"/>
            <w:tcBorders>
              <w:top w:val="single" w:sz="4" w:space="0" w:color="auto"/>
              <w:left w:val="nil"/>
              <w:bottom w:val="single" w:sz="4" w:space="0" w:color="auto"/>
              <w:right w:val="single" w:sz="4" w:space="0" w:color="auto"/>
            </w:tcBorders>
            <w:shd w:val="clear" w:color="auto" w:fill="C6EFCE"/>
            <w:noWrap/>
          </w:tcPr>
          <w:p w14:paraId="48CB0B50"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24" w:type="dxa"/>
            <w:tcBorders>
              <w:top w:val="single" w:sz="4" w:space="0" w:color="auto"/>
              <w:left w:val="nil"/>
              <w:bottom w:val="single" w:sz="4" w:space="0" w:color="auto"/>
              <w:right w:val="single" w:sz="4" w:space="0" w:color="auto"/>
            </w:tcBorders>
            <w:shd w:val="clear" w:color="auto" w:fill="C6EFCE"/>
            <w:noWrap/>
          </w:tcPr>
          <w:p w14:paraId="307DCB6A"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96" w:type="dxa"/>
            <w:tcBorders>
              <w:top w:val="single" w:sz="4" w:space="0" w:color="auto"/>
              <w:left w:val="nil"/>
              <w:bottom w:val="single" w:sz="4" w:space="0" w:color="auto"/>
              <w:right w:val="single" w:sz="4" w:space="0" w:color="auto"/>
            </w:tcBorders>
            <w:shd w:val="clear" w:color="auto" w:fill="C6EFCE"/>
            <w:noWrap/>
          </w:tcPr>
          <w:p w14:paraId="64F162B2"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1B64218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83" w:type="dxa"/>
            <w:tcBorders>
              <w:top w:val="single" w:sz="4" w:space="0" w:color="auto"/>
              <w:left w:val="nil"/>
              <w:bottom w:val="single" w:sz="4" w:space="0" w:color="auto"/>
              <w:right w:val="single" w:sz="4" w:space="0" w:color="auto"/>
            </w:tcBorders>
            <w:shd w:val="clear" w:color="auto" w:fill="C6EFCE"/>
            <w:noWrap/>
          </w:tcPr>
          <w:p w14:paraId="6B6804B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185" w:type="dxa"/>
            <w:tcBorders>
              <w:top w:val="single" w:sz="4" w:space="0" w:color="auto"/>
              <w:left w:val="nil"/>
              <w:bottom w:val="single" w:sz="4" w:space="0" w:color="auto"/>
              <w:right w:val="single" w:sz="4" w:space="0" w:color="auto"/>
            </w:tcBorders>
            <w:shd w:val="clear" w:color="auto" w:fill="C6EFCE"/>
            <w:noWrap/>
          </w:tcPr>
          <w:p w14:paraId="108A19A2" w14:textId="77777777" w:rsidR="00764877" w:rsidRPr="00E02B5D" w:rsidRDefault="00764877" w:rsidP="00D16F13">
            <w:pPr>
              <w:pStyle w:val="paragraph"/>
              <w:spacing w:before="0" w:beforeAutospacing="0" w:after="0" w:afterAutospacing="0"/>
              <w:textAlignment w:val="baseline"/>
              <w:rPr>
                <w:rFonts w:ascii="Calibri" w:hAnsi="Calibri" w:cs="Calibri"/>
                <w:noProof/>
                <w:color w:val="006100"/>
                <w:sz w:val="18"/>
                <w:szCs w:val="18"/>
              </w:rPr>
            </w:pPr>
            <w:r>
              <w:rPr>
                <w:rFonts w:ascii="Calibri" w:hAnsi="Calibri"/>
                <w:noProof/>
                <w:color w:val="006100"/>
                <w:sz w:val="18"/>
              </w:rPr>
              <w:t>Järgmiste projektide lõpuleviimine:  1) vähemalt 34 koolitusprogrammi praeguste õppekavade hindamine, ümberkujundamine ja ajakohastamine, et viia need paremini vastavusse tööturu tegelike vajadustega;   </w:t>
            </w:r>
          </w:p>
          <w:p w14:paraId="1D060909" w14:textId="77777777" w:rsidR="00764877" w:rsidRPr="00E02B5D" w:rsidRDefault="00764877" w:rsidP="00D16F13">
            <w:pPr>
              <w:pStyle w:val="paragraph"/>
              <w:spacing w:before="0" w:beforeAutospacing="0" w:after="0" w:afterAutospacing="0"/>
              <w:rPr>
                <w:rFonts w:ascii="Calibri" w:hAnsi="Calibri" w:cs="Calibri"/>
                <w:noProof/>
                <w:color w:val="006100"/>
                <w:sz w:val="18"/>
                <w:szCs w:val="18"/>
              </w:rPr>
            </w:pPr>
            <w:r>
              <w:rPr>
                <w:rFonts w:ascii="Calibri" w:hAnsi="Calibri"/>
                <w:noProof/>
                <w:color w:val="006100"/>
                <w:sz w:val="18"/>
              </w:rPr>
              <w:t>2) kutsehariduse ja -koolituse taristu uuendamine ja ajakohastamine (vähemalt 270 laborit ja nende varustust);   </w:t>
            </w:r>
          </w:p>
          <w:p w14:paraId="0B95660E" w14:textId="77777777" w:rsidR="00764877" w:rsidRPr="00E02B5D" w:rsidRDefault="00764877" w:rsidP="00D16F13">
            <w:pPr>
              <w:pStyle w:val="paragraph"/>
              <w:spacing w:before="0" w:beforeAutospacing="0" w:after="0" w:afterAutospacing="0"/>
              <w:rPr>
                <w:rFonts w:ascii="Calibri" w:hAnsi="Calibri" w:cs="Calibri"/>
                <w:noProof/>
                <w:color w:val="006100"/>
                <w:sz w:val="18"/>
                <w:szCs w:val="18"/>
              </w:rPr>
            </w:pPr>
            <w:r>
              <w:rPr>
                <w:rFonts w:ascii="Calibri" w:hAnsi="Calibri"/>
                <w:noProof/>
                <w:color w:val="006100"/>
                <w:sz w:val="18"/>
              </w:rPr>
              <w:t>3) vähemalt 33 EPASi hoone renoveerimine, et parandada energiatõhusust ja ruumilist funktsionaalsust;   </w:t>
            </w:r>
          </w:p>
          <w:p w14:paraId="7D78DB02" w14:textId="77777777" w:rsidR="00764877" w:rsidRPr="00E02B5D" w:rsidRDefault="00764877">
            <w:pPr>
              <w:pStyle w:val="paragraph"/>
              <w:spacing w:before="0" w:beforeAutospacing="0" w:after="0" w:afterAutospacing="0"/>
              <w:rPr>
                <w:rFonts w:ascii="Calibri" w:hAnsi="Calibri" w:cs="Calibri"/>
                <w:noProof/>
                <w:color w:val="006100"/>
                <w:sz w:val="18"/>
                <w:szCs w:val="18"/>
              </w:rPr>
            </w:pPr>
            <w:r>
              <w:rPr>
                <w:rFonts w:ascii="Calibri" w:hAnsi="Calibri"/>
                <w:noProof/>
                <w:color w:val="006100"/>
                <w:sz w:val="18"/>
              </w:rPr>
              <w:t xml:space="preserve">4) virtuaalse reaalsuse tehnoloogia integreerimine igapäevastesse õppemoodulitesse;  </w:t>
            </w:r>
          </w:p>
          <w:p w14:paraId="2076D736" w14:textId="77777777" w:rsidR="00764877" w:rsidRPr="00E02B5D" w:rsidRDefault="00764877" w:rsidP="00D16F13">
            <w:pPr>
              <w:pStyle w:val="paragraph"/>
              <w:spacing w:before="0" w:beforeAutospacing="0" w:after="0" w:afterAutospacing="0"/>
              <w:rPr>
                <w:rFonts w:ascii="Calibri" w:hAnsi="Calibri" w:cs="Calibri"/>
                <w:noProof/>
                <w:color w:val="006100"/>
                <w:sz w:val="18"/>
                <w:szCs w:val="18"/>
              </w:rPr>
            </w:pPr>
            <w:r>
              <w:rPr>
                <w:rFonts w:ascii="Calibri" w:hAnsi="Calibri"/>
                <w:noProof/>
                <w:color w:val="006100"/>
                <w:sz w:val="18"/>
              </w:rPr>
              <w:t>5) ulatusliku koolitajate koolitamise programmi rakendamine EPAS koolides (hõlmab vähemalt 810 koolitajat);</w:t>
            </w:r>
          </w:p>
          <w:p w14:paraId="0A2AF349" w14:textId="77777777" w:rsidR="00764877" w:rsidRPr="00E02B5D" w:rsidRDefault="00764877">
            <w:pPr>
              <w:pStyle w:val="paragraph"/>
              <w:spacing w:before="0" w:beforeAutospacing="0" w:after="0" w:afterAutospacing="0"/>
              <w:rPr>
                <w:rFonts w:ascii="Calibri" w:hAnsi="Calibri" w:cs="Calibri"/>
                <w:noProof/>
                <w:color w:val="006100"/>
                <w:sz w:val="18"/>
                <w:szCs w:val="18"/>
              </w:rPr>
            </w:pPr>
            <w:r>
              <w:rPr>
                <w:rFonts w:ascii="Calibri" w:hAnsi="Calibri"/>
                <w:noProof/>
                <w:color w:val="006100"/>
                <w:sz w:val="18"/>
              </w:rPr>
              <w:t xml:space="preserve">6) Teavituskampaania rakendamine õpipoisiõppe süsteemi edendamiseks. </w:t>
            </w:r>
          </w:p>
          <w:p w14:paraId="2CC3E1A1" w14:textId="77777777" w:rsidR="00764877" w:rsidRPr="00AD4052" w:rsidRDefault="00764877" w:rsidP="00D16F13">
            <w:pPr>
              <w:pStyle w:val="paragraph"/>
              <w:spacing w:before="0" w:beforeAutospacing="0" w:after="0" w:afterAutospacing="0"/>
              <w:rPr>
                <w:rFonts w:ascii="Calibri" w:hAnsi="Calibri" w:cs="Calibri"/>
                <w:noProof/>
                <w:color w:val="006100"/>
                <w:sz w:val="18"/>
                <w:szCs w:val="18"/>
              </w:rPr>
            </w:pPr>
          </w:p>
          <w:p w14:paraId="71B3BA79" w14:textId="77777777" w:rsidR="00764877" w:rsidRPr="00E02B5D" w:rsidRDefault="00764877" w:rsidP="00CA2550">
            <w:pPr>
              <w:spacing w:after="0" w:line="240" w:lineRule="auto"/>
              <w:rPr>
                <w:rFonts w:eastAsia="Times New Roman" w:cs="Calibri"/>
                <w:noProof/>
                <w:color w:val="006100"/>
                <w:sz w:val="18"/>
                <w:szCs w:val="18"/>
              </w:rPr>
            </w:pPr>
            <w:r>
              <w:rPr>
                <w:noProof/>
                <w:color w:val="006100"/>
                <w:sz w:val="18"/>
              </w:rPr>
              <w:t>Projekti number 3 raames lõpuleviidud ehitus- ja renoveerimistöödega saavutatakse keskmiselt vähemalt keskmisemahuline renoveerimine, nagu on määratletud komisjoni soovituses hoonete renoveerimise kohta (EL) 2019/786, või b) saavutatakse kasvuhoonegaaside otsese ja kaudse heite vähenemine keskmiselt vähemalt 30 % võrreldes eelneva heitega.</w:t>
            </w:r>
          </w:p>
        </w:tc>
      </w:tr>
      <w:tr w:rsidR="007B4D63" w:rsidRPr="003B132A" w14:paraId="3E76C072" w14:textId="77777777" w:rsidTr="008AECE0">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D81E13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146</w:t>
            </w:r>
          </w:p>
        </w:tc>
        <w:tc>
          <w:tcPr>
            <w:tcW w:w="1797" w:type="dxa"/>
            <w:tcBorders>
              <w:top w:val="single" w:sz="4" w:space="0" w:color="auto"/>
              <w:left w:val="nil"/>
              <w:bottom w:val="single" w:sz="4" w:space="0" w:color="auto"/>
              <w:right w:val="single" w:sz="4" w:space="0" w:color="auto"/>
            </w:tcBorders>
            <w:shd w:val="clear" w:color="auto" w:fill="C6EFCE"/>
            <w:noWrap/>
          </w:tcPr>
          <w:p w14:paraId="0AAA98C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16792_Tööjõu oskused, ümberõpe ja oskuste täiendamine reformitud koolitusmudeli kaudu (kutseharidus ja -koolitus; koolitusreform)</w:t>
            </w:r>
          </w:p>
        </w:tc>
        <w:tc>
          <w:tcPr>
            <w:tcW w:w="1099" w:type="dxa"/>
            <w:tcBorders>
              <w:top w:val="single" w:sz="4" w:space="0" w:color="auto"/>
              <w:left w:val="nil"/>
              <w:bottom w:val="single" w:sz="4" w:space="0" w:color="auto"/>
              <w:right w:val="single" w:sz="4" w:space="0" w:color="auto"/>
            </w:tcBorders>
            <w:shd w:val="clear" w:color="auto" w:fill="C6EFCE"/>
            <w:noWrap/>
          </w:tcPr>
          <w:p w14:paraId="4DB31BC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365" w:type="dxa"/>
            <w:tcBorders>
              <w:top w:val="single" w:sz="4" w:space="0" w:color="auto"/>
              <w:left w:val="nil"/>
              <w:bottom w:val="single" w:sz="4" w:space="0" w:color="auto"/>
              <w:right w:val="single" w:sz="4" w:space="0" w:color="auto"/>
            </w:tcBorders>
            <w:shd w:val="clear" w:color="auto" w:fill="C6EFCE"/>
            <w:noWrap/>
          </w:tcPr>
          <w:p w14:paraId="6B3D57D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Kutsehariduse ja -koolituse kvaliteedikontrolli süsteem;</w:t>
            </w:r>
          </w:p>
          <w:p w14:paraId="2B5FB5F0" w14:textId="77777777" w:rsidR="00764877" w:rsidRPr="00E02B5D" w:rsidRDefault="00764877" w:rsidP="00D16F13">
            <w:pPr>
              <w:spacing w:after="0" w:line="240" w:lineRule="auto"/>
              <w:rPr>
                <w:rFonts w:cs="Calibri"/>
                <w:noProof/>
                <w:color w:val="006100"/>
                <w:sz w:val="18"/>
                <w:szCs w:val="18"/>
              </w:rPr>
            </w:pPr>
            <w:r>
              <w:rPr>
                <w:noProof/>
                <w:color w:val="006100"/>
                <w:sz w:val="18"/>
              </w:rPr>
              <w:t>riiklike tööturuasutuste kutseõppeüksuste moodulite ajakohastamine;</w:t>
            </w:r>
          </w:p>
          <w:p w14:paraId="11D3822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digikursused,</w:t>
            </w:r>
          </w:p>
          <w:p w14:paraId="4BAAAE8D" w14:textId="2201EC30" w:rsidR="00764877" w:rsidRPr="00E02B5D" w:rsidRDefault="007E3D00" w:rsidP="00D16F13">
            <w:pPr>
              <w:spacing w:after="0" w:line="240" w:lineRule="auto"/>
              <w:rPr>
                <w:rFonts w:eastAsia="Times New Roman" w:cs="Calibri"/>
                <w:noProof/>
                <w:color w:val="006100"/>
                <w:sz w:val="18"/>
                <w:szCs w:val="18"/>
              </w:rPr>
            </w:pPr>
            <w:r w:rsidRPr="007E3D00">
              <w:rPr>
                <w:noProof/>
                <w:color w:val="006100"/>
                <w:sz w:val="18"/>
              </w:rPr>
              <w:t>49 labori renoveerimine ja seadmete tarnimine, valdkondlike koolitusprogrammide lõpuleviimine</w:t>
            </w:r>
          </w:p>
          <w:p w14:paraId="6DF722D3" w14:textId="77777777" w:rsidR="00764877" w:rsidRPr="007E3D00" w:rsidRDefault="00764877" w:rsidP="00D16F13">
            <w:pPr>
              <w:spacing w:after="0" w:line="240" w:lineRule="auto"/>
              <w:rPr>
                <w:rFonts w:eastAsia="Times New Roman" w:cs="Calibri"/>
                <w:noProof/>
                <w:color w:val="006100"/>
                <w:sz w:val="18"/>
                <w:szCs w:val="18"/>
                <w:lang w:val="it-IT" w:eastAsia="en-GB"/>
              </w:rPr>
            </w:pPr>
          </w:p>
        </w:tc>
        <w:tc>
          <w:tcPr>
            <w:tcW w:w="1471" w:type="dxa"/>
            <w:tcBorders>
              <w:top w:val="single" w:sz="4" w:space="0" w:color="auto"/>
              <w:left w:val="nil"/>
              <w:bottom w:val="single" w:sz="4" w:space="0" w:color="auto"/>
              <w:right w:val="single" w:sz="4" w:space="0" w:color="auto"/>
            </w:tcBorders>
            <w:shd w:val="clear" w:color="auto" w:fill="C6EFCE"/>
            <w:noWrap/>
          </w:tcPr>
          <w:p w14:paraId="3CFFDD0F" w14:textId="1BBD7E94" w:rsidR="00764877" w:rsidRPr="00E02B5D" w:rsidRDefault="00764877" w:rsidP="00D16F13">
            <w:pPr>
              <w:spacing w:after="0" w:line="240" w:lineRule="auto"/>
              <w:rPr>
                <w:rFonts w:eastAsia="Times New Roman" w:cs="Calibri"/>
                <w:noProof/>
                <w:color w:val="006100"/>
                <w:sz w:val="18"/>
                <w:szCs w:val="18"/>
              </w:rPr>
            </w:pPr>
            <w:r>
              <w:rPr>
                <w:noProof/>
                <w:color w:val="006100"/>
                <w:sz w:val="18"/>
              </w:rPr>
              <w:t>Riikliku tööhõiveorganisatsiooni aruanne, milles kinnitatakse projektide a, b, c, d ja e lõpuleviimist</w:t>
            </w:r>
          </w:p>
        </w:tc>
        <w:tc>
          <w:tcPr>
            <w:tcW w:w="1135" w:type="dxa"/>
            <w:tcBorders>
              <w:top w:val="single" w:sz="4" w:space="0" w:color="auto"/>
              <w:left w:val="nil"/>
              <w:bottom w:val="single" w:sz="4" w:space="0" w:color="auto"/>
              <w:right w:val="single" w:sz="4" w:space="0" w:color="auto"/>
            </w:tcBorders>
            <w:shd w:val="clear" w:color="auto" w:fill="C6EFCE"/>
            <w:noWrap/>
          </w:tcPr>
          <w:p w14:paraId="3ED04B36"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24" w:type="dxa"/>
            <w:tcBorders>
              <w:top w:val="single" w:sz="4" w:space="0" w:color="auto"/>
              <w:left w:val="nil"/>
              <w:bottom w:val="single" w:sz="4" w:space="0" w:color="auto"/>
              <w:right w:val="single" w:sz="4" w:space="0" w:color="auto"/>
            </w:tcBorders>
            <w:shd w:val="clear" w:color="auto" w:fill="C6EFCE"/>
            <w:noWrap/>
          </w:tcPr>
          <w:p w14:paraId="57E22A63"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96" w:type="dxa"/>
            <w:tcBorders>
              <w:top w:val="single" w:sz="4" w:space="0" w:color="auto"/>
              <w:left w:val="nil"/>
              <w:bottom w:val="single" w:sz="4" w:space="0" w:color="auto"/>
              <w:right w:val="single" w:sz="4" w:space="0" w:color="auto"/>
            </w:tcBorders>
            <w:shd w:val="clear" w:color="auto" w:fill="C6EFCE"/>
            <w:noWrap/>
          </w:tcPr>
          <w:p w14:paraId="1A80F4A7"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6036789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83" w:type="dxa"/>
            <w:tcBorders>
              <w:top w:val="single" w:sz="4" w:space="0" w:color="auto"/>
              <w:left w:val="nil"/>
              <w:bottom w:val="single" w:sz="4" w:space="0" w:color="auto"/>
              <w:right w:val="single" w:sz="4" w:space="0" w:color="auto"/>
            </w:tcBorders>
            <w:shd w:val="clear" w:color="auto" w:fill="C6EFCE"/>
            <w:noWrap/>
          </w:tcPr>
          <w:p w14:paraId="24BD357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185" w:type="dxa"/>
            <w:tcBorders>
              <w:top w:val="single" w:sz="4" w:space="0" w:color="auto"/>
              <w:left w:val="nil"/>
              <w:bottom w:val="single" w:sz="4" w:space="0" w:color="auto"/>
              <w:right w:val="single" w:sz="4" w:space="0" w:color="auto"/>
            </w:tcBorders>
            <w:shd w:val="clear" w:color="auto" w:fill="C6EFCE"/>
            <w:noWrap/>
          </w:tcPr>
          <w:p w14:paraId="09B8CC5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Järgmiste projektide lõpuleviimine: </w:t>
            </w:r>
          </w:p>
          <w:p w14:paraId="118391E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a) Kutsehariduse ja -koolituse kvaliteedikontrolli süsteem, mille eesmärk on parandada riikliku tööhõiveorganisatsiooni (DYPA) kutseõppeüksuste kvaliteedikontrolli</w:t>
            </w:r>
          </w:p>
          <w:p w14:paraId="7F810728" w14:textId="77777777" w:rsidR="00764877" w:rsidRPr="00E02B5D" w:rsidRDefault="00764877" w:rsidP="00D16F13">
            <w:pPr>
              <w:pStyle w:val="paragraph"/>
              <w:spacing w:before="0" w:beforeAutospacing="0" w:after="0" w:afterAutospacing="0"/>
              <w:rPr>
                <w:rFonts w:ascii="Calibri" w:eastAsia="Calibri" w:hAnsi="Calibri" w:cs="Calibri"/>
                <w:noProof/>
                <w:color w:val="006100"/>
                <w:sz w:val="18"/>
                <w:szCs w:val="18"/>
              </w:rPr>
            </w:pPr>
            <w:r>
              <w:rPr>
                <w:rFonts w:ascii="Calibri" w:hAnsi="Calibri"/>
                <w:noProof/>
                <w:color w:val="006100"/>
                <w:sz w:val="18"/>
              </w:rPr>
              <w:t>b) Riikliku tööturuasutuse (DYPA) kutseõppeüksuste koolitusmoodulite ajakohastamise lõpuleviimine osana DYPA aktiivse tööturupoliitika ulatuslikust reformist.   </w:t>
            </w:r>
          </w:p>
          <w:p w14:paraId="13FC8B3C" w14:textId="77777777" w:rsidR="00764877" w:rsidRPr="00E02B5D" w:rsidRDefault="00764877" w:rsidP="00D16F13">
            <w:pPr>
              <w:pStyle w:val="paragraph"/>
              <w:spacing w:before="0" w:beforeAutospacing="0" w:after="0" w:afterAutospacing="0"/>
              <w:rPr>
                <w:rFonts w:ascii="Calibri" w:eastAsia="Calibri" w:hAnsi="Calibri" w:cs="Calibri"/>
                <w:noProof/>
                <w:color w:val="006100"/>
                <w:sz w:val="18"/>
                <w:szCs w:val="18"/>
              </w:rPr>
            </w:pPr>
            <w:r>
              <w:rPr>
                <w:rFonts w:ascii="Calibri" w:hAnsi="Calibri"/>
                <w:noProof/>
                <w:color w:val="006100"/>
                <w:sz w:val="18"/>
              </w:rPr>
              <w:t>c) Digikursuste arendamise lõpuleviimine </w:t>
            </w:r>
          </w:p>
          <w:p w14:paraId="5A764075" w14:textId="77777777" w:rsidR="00764877" w:rsidRPr="00E02B5D" w:rsidRDefault="00764877" w:rsidP="00D16F13">
            <w:pPr>
              <w:pStyle w:val="paragraph"/>
              <w:spacing w:before="0" w:beforeAutospacing="0" w:after="0" w:afterAutospacing="0"/>
              <w:rPr>
                <w:rFonts w:ascii="Calibri" w:eastAsia="Calibri" w:hAnsi="Calibri" w:cs="Calibri"/>
                <w:noProof/>
                <w:color w:val="006100"/>
                <w:sz w:val="18"/>
                <w:szCs w:val="18"/>
              </w:rPr>
            </w:pPr>
            <w:r>
              <w:rPr>
                <w:rFonts w:ascii="Calibri" w:hAnsi="Calibri"/>
                <w:noProof/>
                <w:color w:val="006100"/>
                <w:sz w:val="18"/>
              </w:rPr>
              <w:t xml:space="preserve">d) Kutseharidus- ja -koolituskoolide laborite ja nendega seotud seadmete renoveerimise lõpuleviimine. </w:t>
            </w:r>
          </w:p>
          <w:p w14:paraId="0BE77A39" w14:textId="478BEE1D" w:rsidR="00237965" w:rsidRPr="003C6EEF" w:rsidRDefault="00237965" w:rsidP="003C6EEF">
            <w:pPr>
              <w:pStyle w:val="paragraph"/>
              <w:spacing w:before="0" w:beforeAutospacing="0" w:after="0" w:afterAutospacing="0"/>
              <w:rPr>
                <w:rFonts w:ascii="Calibri" w:hAnsi="Calibri"/>
                <w:noProof/>
                <w:color w:val="006100"/>
                <w:sz w:val="18"/>
              </w:rPr>
            </w:pPr>
            <w:r>
              <w:rPr>
                <w:rFonts w:ascii="Calibri" w:hAnsi="Calibri"/>
                <w:noProof/>
                <w:color w:val="006100"/>
                <w:sz w:val="18"/>
              </w:rPr>
              <w:t>e) Koolitusprogrammi lõpuleviimine. </w:t>
            </w:r>
          </w:p>
          <w:p w14:paraId="1416819B" w14:textId="77777777" w:rsidR="00764877" w:rsidRPr="00560DAC" w:rsidRDefault="00764877" w:rsidP="00567281">
            <w:pPr>
              <w:spacing w:line="240" w:lineRule="auto"/>
              <w:rPr>
                <w:noProof/>
                <w:sz w:val="18"/>
                <w:szCs w:val="18"/>
                <w:lang w:val="en-IE"/>
              </w:rPr>
            </w:pPr>
          </w:p>
        </w:tc>
      </w:tr>
    </w:tbl>
    <w:p w14:paraId="6CC1A489" w14:textId="77777777" w:rsidR="003107F5" w:rsidRPr="00E02B5D" w:rsidRDefault="003107F5">
      <w:pPr>
        <w:rPr>
          <w:noProof/>
          <w:lang w:val="en-GB"/>
        </w:rPr>
      </w:pPr>
    </w:p>
    <w:p w14:paraId="5BD214C7" w14:textId="77777777" w:rsidR="003107F5" w:rsidRPr="00E02B5D" w:rsidRDefault="003107F5">
      <w:pPr>
        <w:rPr>
          <w:noProof/>
          <w:lang w:val="en-GB"/>
        </w:rPr>
      </w:pPr>
    </w:p>
    <w:p w14:paraId="2573FD9F" w14:textId="77777777" w:rsidR="00764877" w:rsidRPr="00E02B5D" w:rsidRDefault="00764877" w:rsidP="00F30E40">
      <w:pPr>
        <w:keepNext/>
        <w:keepLines/>
        <w:spacing w:before="240" w:line="240" w:lineRule="auto"/>
        <w:jc w:val="both"/>
        <w:outlineLvl w:val="4"/>
        <w:rPr>
          <w:rFonts w:ascii="Cambria" w:eastAsia="Times New Roman" w:hAnsi="Cambria"/>
          <w:noProof/>
          <w:color w:val="365F91"/>
          <w:sz w:val="24"/>
        </w:rPr>
      </w:pPr>
      <w:r>
        <w:rPr>
          <w:rFonts w:ascii="Cambria" w:hAnsi="Cambria"/>
          <w:noProof/>
          <w:color w:val="365F91"/>
          <w:sz w:val="24"/>
        </w:rPr>
        <w:t>Grupp 12: Haridus- ja usuasjade ministeerium – reformid ja investeeringud</w:t>
      </w:r>
    </w:p>
    <w:p w14:paraId="6DD582BE" w14:textId="77777777" w:rsidR="00764877" w:rsidRPr="00E02B5D" w:rsidRDefault="00764877" w:rsidP="00DE1EE5">
      <w:pPr>
        <w:numPr>
          <w:ilvl w:val="0"/>
          <w:numId w:val="42"/>
        </w:numPr>
        <w:spacing w:before="120" w:after="0" w:line="240" w:lineRule="auto"/>
        <w:jc w:val="both"/>
        <w:rPr>
          <w:rFonts w:ascii="Times New Roman" w:hAnsi="Times New Roman" w:cs="Times New Roman"/>
          <w:noProof/>
        </w:rPr>
      </w:pPr>
      <w:r>
        <w:rPr>
          <w:rFonts w:ascii="Times New Roman" w:hAnsi="Times New Roman"/>
          <w:noProof/>
          <w:sz w:val="24"/>
        </w:rPr>
        <w:t>Kutsehariduse ja -koolituse ajakohastamine: Laboriseadmete tarnimine laborikeskustele IEK, EPAL, teise aasta järgne õpipoisiõpe ja kutseõppekoolid 16933)</w:t>
      </w:r>
    </w:p>
    <w:p w14:paraId="3305A5E4" w14:textId="77777777" w:rsidR="00764877" w:rsidRPr="00E02B5D" w:rsidRDefault="00764877" w:rsidP="00DE1EE5">
      <w:pPr>
        <w:numPr>
          <w:ilvl w:val="0"/>
          <w:numId w:val="42"/>
        </w:numPr>
        <w:spacing w:before="120" w:after="0" w:line="240" w:lineRule="auto"/>
        <w:jc w:val="both"/>
        <w:rPr>
          <w:rFonts w:ascii="Times New Roman" w:hAnsi="Times New Roman" w:cs="Times New Roman"/>
          <w:noProof/>
          <w:sz w:val="24"/>
        </w:rPr>
      </w:pPr>
      <w:r>
        <w:rPr>
          <w:rFonts w:ascii="Times New Roman" w:hAnsi="Times New Roman"/>
          <w:noProof/>
          <w:sz w:val="24"/>
        </w:rPr>
        <w:t>Kutsehariduse ja -koolituse täiustamine (ID: 16934)</w:t>
      </w:r>
    </w:p>
    <w:p w14:paraId="7AB9E0D5" w14:textId="77777777" w:rsidR="00764877" w:rsidRPr="00E02B5D" w:rsidRDefault="00764877" w:rsidP="00DE1EE5">
      <w:pPr>
        <w:numPr>
          <w:ilvl w:val="0"/>
          <w:numId w:val="42"/>
        </w:numPr>
        <w:spacing w:before="120" w:after="0" w:line="240" w:lineRule="auto"/>
        <w:jc w:val="both"/>
        <w:rPr>
          <w:rFonts w:ascii="Times New Roman" w:hAnsi="Times New Roman" w:cs="Times New Roman"/>
          <w:noProof/>
          <w:sz w:val="24"/>
        </w:rPr>
      </w:pPr>
      <w:r>
        <w:rPr>
          <w:rFonts w:ascii="Times New Roman" w:hAnsi="Times New Roman"/>
          <w:noProof/>
          <w:sz w:val="24"/>
        </w:rPr>
        <w:t>Ülikoolide tipptaseme strateegia; innovatsioon (ID: 16289)</w:t>
      </w:r>
    </w:p>
    <w:p w14:paraId="47F356BF" w14:textId="77777777" w:rsidR="00764877" w:rsidRPr="00E02B5D" w:rsidRDefault="00764877" w:rsidP="00DE1EE5">
      <w:pPr>
        <w:numPr>
          <w:ilvl w:val="0"/>
          <w:numId w:val="42"/>
        </w:numPr>
        <w:spacing w:before="120" w:after="120" w:line="240" w:lineRule="auto"/>
        <w:jc w:val="both"/>
        <w:rPr>
          <w:rFonts w:ascii="Times New Roman" w:hAnsi="Times New Roman" w:cs="Times New Roman"/>
          <w:noProof/>
          <w:sz w:val="24"/>
        </w:rPr>
      </w:pPr>
      <w:r>
        <w:rPr>
          <w:rFonts w:ascii="Times New Roman" w:hAnsi="Times New Roman"/>
          <w:noProof/>
          <w:sz w:val="24"/>
        </w:rPr>
        <w:t>Hariduse digiüleminek (ID: 16676)</w:t>
      </w:r>
    </w:p>
    <w:tbl>
      <w:tblPr>
        <w:tblW w:w="15333" w:type="dxa"/>
        <w:tblInd w:w="113" w:type="dxa"/>
        <w:tblLook w:val="04A0" w:firstRow="1" w:lastRow="0" w:firstColumn="1" w:lastColumn="0" w:noHBand="0" w:noVBand="1"/>
      </w:tblPr>
      <w:tblGrid>
        <w:gridCol w:w="1129"/>
        <w:gridCol w:w="1805"/>
        <w:gridCol w:w="1424"/>
        <w:gridCol w:w="1594"/>
        <w:gridCol w:w="1793"/>
        <w:gridCol w:w="1493"/>
        <w:gridCol w:w="966"/>
        <w:gridCol w:w="906"/>
        <w:gridCol w:w="851"/>
        <w:gridCol w:w="720"/>
        <w:gridCol w:w="2652"/>
      </w:tblGrid>
      <w:tr w:rsidR="007B4D63" w:rsidRPr="003B132A" w14:paraId="712E0243" w14:textId="77777777" w:rsidTr="007E3D00">
        <w:trPr>
          <w:trHeight w:val="939"/>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D53B188" w14:textId="636B205C"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7E3D00">
              <w:rPr>
                <w:rFonts w:ascii="Times New Roman" w:hAnsi="Times New Roman"/>
                <w:b/>
                <w:noProof/>
                <w:sz w:val="18"/>
              </w:rPr>
              <w:t>-</w:t>
            </w:r>
            <w:r>
              <w:rPr>
                <w:rFonts w:ascii="Times New Roman" w:hAnsi="Times New Roman"/>
                <w:b/>
                <w:noProof/>
                <w:sz w:val="18"/>
              </w:rPr>
              <w:t>number</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CE8792"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33CBBA"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1B5066"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E82ADF"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36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1C1BAB3"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571" w:type="dxa"/>
            <w:gridSpan w:val="2"/>
            <w:tcBorders>
              <w:top w:val="single" w:sz="4" w:space="0" w:color="auto"/>
              <w:left w:val="nil"/>
              <w:bottom w:val="single" w:sz="4" w:space="0" w:color="auto"/>
              <w:right w:val="single" w:sz="4" w:space="0" w:color="auto"/>
            </w:tcBorders>
            <w:shd w:val="clear" w:color="auto" w:fill="BDD7EE"/>
            <w:vAlign w:val="center"/>
            <w:hideMark/>
          </w:tcPr>
          <w:p w14:paraId="30245173"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26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557C52"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p w14:paraId="768F43EE" w14:textId="77777777" w:rsidR="00764877" w:rsidRPr="00E02B5D" w:rsidRDefault="00764877" w:rsidP="00F30E40">
            <w:pPr>
              <w:rPr>
                <w:rFonts w:ascii="Times New Roman" w:hAnsi="Times New Roman"/>
                <w:noProof/>
                <w:sz w:val="18"/>
                <w:lang w:val="en-GB"/>
              </w:rPr>
            </w:pPr>
          </w:p>
        </w:tc>
      </w:tr>
      <w:tr w:rsidR="006E0EA2" w:rsidRPr="00E02B5D" w14:paraId="585D414C" w14:textId="77777777" w:rsidTr="007E3D00">
        <w:trPr>
          <w:trHeight w:val="574"/>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19A779" w14:textId="77777777" w:rsidR="00764877" w:rsidRPr="00E02B5D" w:rsidRDefault="00764877" w:rsidP="00D16F13">
            <w:pPr>
              <w:spacing w:after="0" w:line="240" w:lineRule="auto"/>
              <w:rPr>
                <w:rFonts w:ascii="Times New Roman" w:eastAsia="Times New Roman" w:hAnsi="Times New Roman" w:cs="Times New Roman"/>
                <w:b/>
                <w:bCs/>
                <w:noProof/>
                <w:sz w:val="18"/>
                <w:szCs w:val="18"/>
                <w:lang w:val="en-GB" w:eastAsia="en-GB"/>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14:paraId="2C3A8C6C" w14:textId="77777777" w:rsidR="00764877" w:rsidRPr="00E02B5D" w:rsidRDefault="00764877" w:rsidP="00D16F13">
            <w:pPr>
              <w:spacing w:after="0" w:line="240" w:lineRule="auto"/>
              <w:rPr>
                <w:rFonts w:ascii="Times New Roman" w:eastAsia="Times New Roman" w:hAnsi="Times New Roman" w:cs="Times New Roman"/>
                <w:b/>
                <w:bCs/>
                <w:noProof/>
                <w:sz w:val="18"/>
                <w:szCs w:val="18"/>
                <w:lang w:val="en-GB" w:eastAsia="en-GB"/>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D29DF4D" w14:textId="77777777" w:rsidR="00764877" w:rsidRPr="00E02B5D" w:rsidRDefault="00764877" w:rsidP="00D16F13">
            <w:pPr>
              <w:spacing w:after="0" w:line="240" w:lineRule="auto"/>
              <w:rPr>
                <w:rFonts w:ascii="Times New Roman" w:eastAsia="Times New Roman" w:hAnsi="Times New Roman" w:cs="Times New Roman"/>
                <w:b/>
                <w:bCs/>
                <w:noProof/>
                <w:sz w:val="18"/>
                <w:szCs w:val="18"/>
                <w:lang w:val="en-GB" w:eastAsia="en-GB"/>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2A688589" w14:textId="77777777" w:rsidR="00764877" w:rsidRPr="00E02B5D" w:rsidRDefault="00764877" w:rsidP="00D16F13">
            <w:pPr>
              <w:spacing w:after="0" w:line="240" w:lineRule="auto"/>
              <w:rPr>
                <w:rFonts w:ascii="Times New Roman" w:eastAsia="Times New Roman" w:hAnsi="Times New Roman" w:cs="Times New Roman"/>
                <w:b/>
                <w:bCs/>
                <w:noProof/>
                <w:sz w:val="18"/>
                <w:szCs w:val="18"/>
                <w:lang w:val="en-GB" w:eastAsia="en-GB"/>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06D79637" w14:textId="77777777" w:rsidR="00764877" w:rsidRPr="00E02B5D" w:rsidRDefault="00764877" w:rsidP="00D16F13">
            <w:pPr>
              <w:spacing w:after="0" w:line="240" w:lineRule="auto"/>
              <w:rPr>
                <w:rFonts w:ascii="Times New Roman" w:eastAsia="Times New Roman" w:hAnsi="Times New Roman" w:cs="Times New Roman"/>
                <w:b/>
                <w:bCs/>
                <w:noProof/>
                <w:sz w:val="18"/>
                <w:szCs w:val="18"/>
                <w:lang w:val="en-GB" w:eastAsia="en-GB"/>
              </w:rPr>
            </w:pPr>
          </w:p>
        </w:tc>
        <w:tc>
          <w:tcPr>
            <w:tcW w:w="149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AA6D5C"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03230CD"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086DBCD"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0AB0B35"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CD9E045"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2652" w:type="dxa"/>
            <w:vMerge/>
            <w:tcBorders>
              <w:top w:val="single" w:sz="4" w:space="0" w:color="auto"/>
              <w:left w:val="single" w:sz="4" w:space="0" w:color="auto"/>
              <w:bottom w:val="single" w:sz="4" w:space="0" w:color="auto"/>
              <w:right w:val="single" w:sz="4" w:space="0" w:color="auto"/>
            </w:tcBorders>
            <w:vAlign w:val="center"/>
            <w:hideMark/>
          </w:tcPr>
          <w:p w14:paraId="7D7DA62F" w14:textId="77777777" w:rsidR="00764877" w:rsidRPr="00E02B5D" w:rsidRDefault="00764877" w:rsidP="00D16F13">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2003471B" w14:textId="77777777" w:rsidTr="007E3D00">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C9EF3E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147</w:t>
            </w:r>
          </w:p>
        </w:tc>
        <w:tc>
          <w:tcPr>
            <w:tcW w:w="1805" w:type="dxa"/>
            <w:tcBorders>
              <w:top w:val="single" w:sz="4" w:space="0" w:color="auto"/>
              <w:left w:val="nil"/>
              <w:bottom w:val="single" w:sz="4" w:space="0" w:color="auto"/>
              <w:right w:val="single" w:sz="4" w:space="0" w:color="auto"/>
            </w:tcBorders>
            <w:shd w:val="clear" w:color="auto" w:fill="C6EFCE"/>
            <w:noWrap/>
          </w:tcPr>
          <w:p w14:paraId="4900937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16289_Ülikoolide tipptaseme strateegia; innovatsioon</w:t>
            </w:r>
          </w:p>
        </w:tc>
        <w:tc>
          <w:tcPr>
            <w:tcW w:w="1424" w:type="dxa"/>
            <w:tcBorders>
              <w:top w:val="single" w:sz="4" w:space="0" w:color="auto"/>
              <w:left w:val="nil"/>
              <w:bottom w:val="single" w:sz="4" w:space="0" w:color="auto"/>
              <w:right w:val="single" w:sz="4" w:space="0" w:color="auto"/>
            </w:tcBorders>
            <w:shd w:val="clear" w:color="auto" w:fill="C6EFCE"/>
            <w:noWrap/>
          </w:tcPr>
          <w:p w14:paraId="36269AF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594" w:type="dxa"/>
            <w:tcBorders>
              <w:top w:val="single" w:sz="4" w:space="0" w:color="auto"/>
              <w:left w:val="nil"/>
              <w:bottom w:val="single" w:sz="4" w:space="0" w:color="auto"/>
              <w:right w:val="single" w:sz="4" w:space="0" w:color="auto"/>
            </w:tcBorders>
            <w:shd w:val="clear" w:color="auto" w:fill="C6EFCE"/>
            <w:noWrap/>
          </w:tcPr>
          <w:p w14:paraId="0214DCCA" w14:textId="0A0CCB8D" w:rsidR="00764877" w:rsidRPr="00E02B5D" w:rsidRDefault="00764877" w:rsidP="00D16F13">
            <w:pPr>
              <w:spacing w:after="0" w:line="240" w:lineRule="auto"/>
              <w:rPr>
                <w:rFonts w:eastAsia="Times New Roman" w:cs="Calibri"/>
                <w:noProof/>
                <w:color w:val="006100"/>
                <w:sz w:val="18"/>
                <w:szCs w:val="18"/>
              </w:rPr>
            </w:pPr>
            <w:r>
              <w:rPr>
                <w:noProof/>
                <w:color w:val="006100"/>
                <w:sz w:val="18"/>
              </w:rPr>
              <w:t>Tippülikoolide ja teadusuuringute klastrite heakskiitmise otsused</w:t>
            </w:r>
          </w:p>
        </w:tc>
        <w:tc>
          <w:tcPr>
            <w:tcW w:w="1793" w:type="dxa"/>
            <w:tcBorders>
              <w:top w:val="single" w:sz="4" w:space="0" w:color="auto"/>
              <w:left w:val="nil"/>
              <w:bottom w:val="single" w:sz="4" w:space="0" w:color="auto"/>
              <w:right w:val="single" w:sz="4" w:space="0" w:color="auto"/>
            </w:tcBorders>
            <w:shd w:val="clear" w:color="auto" w:fill="C6EFCE"/>
            <w:noWrap/>
          </w:tcPr>
          <w:p w14:paraId="7566F50A" w14:textId="27E9A4EF" w:rsidR="00764877" w:rsidRPr="00E02B5D" w:rsidRDefault="005D18A1" w:rsidP="00D16F13">
            <w:pPr>
              <w:spacing w:after="0" w:line="240" w:lineRule="auto"/>
              <w:rPr>
                <w:rFonts w:eastAsia="Times New Roman" w:cs="Calibri"/>
                <w:noProof/>
                <w:color w:val="006100"/>
                <w:sz w:val="18"/>
                <w:szCs w:val="18"/>
              </w:rPr>
            </w:pPr>
            <w:r>
              <w:rPr>
                <w:noProof/>
                <w:color w:val="006100"/>
                <w:sz w:val="18"/>
              </w:rPr>
              <w:t>Heakskiitvate otsuste väljaandmine haridus-, usu- ja spordiministeeriumi poolt</w:t>
            </w:r>
          </w:p>
        </w:tc>
        <w:tc>
          <w:tcPr>
            <w:tcW w:w="1493" w:type="dxa"/>
            <w:tcBorders>
              <w:top w:val="single" w:sz="4" w:space="0" w:color="auto"/>
              <w:left w:val="nil"/>
              <w:bottom w:val="single" w:sz="4" w:space="0" w:color="auto"/>
              <w:right w:val="single" w:sz="4" w:space="0" w:color="auto"/>
            </w:tcBorders>
            <w:shd w:val="clear" w:color="auto" w:fill="C6EFCE"/>
            <w:noWrap/>
          </w:tcPr>
          <w:p w14:paraId="09D381AA"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12221913"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412897DD"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4D56C85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20" w:type="dxa"/>
            <w:tcBorders>
              <w:top w:val="single" w:sz="4" w:space="0" w:color="auto"/>
              <w:left w:val="nil"/>
              <w:bottom w:val="single" w:sz="4" w:space="0" w:color="auto"/>
              <w:right w:val="single" w:sz="4" w:space="0" w:color="auto"/>
            </w:tcBorders>
            <w:shd w:val="clear" w:color="auto" w:fill="C6EFCE"/>
            <w:noWrap/>
          </w:tcPr>
          <w:p w14:paraId="155056E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2023</w:t>
            </w:r>
          </w:p>
        </w:tc>
        <w:tc>
          <w:tcPr>
            <w:tcW w:w="2652" w:type="dxa"/>
            <w:tcBorders>
              <w:top w:val="single" w:sz="4" w:space="0" w:color="auto"/>
              <w:left w:val="nil"/>
              <w:bottom w:val="single" w:sz="4" w:space="0" w:color="auto"/>
              <w:right w:val="single" w:sz="4" w:space="0" w:color="auto"/>
            </w:tcBorders>
            <w:shd w:val="clear" w:color="auto" w:fill="C6EFCE"/>
            <w:noWrap/>
          </w:tcPr>
          <w:p w14:paraId="462360BE" w14:textId="3CD467B4" w:rsidR="00764877" w:rsidRPr="00E02B5D" w:rsidRDefault="00E35CA1" w:rsidP="00D16F13">
            <w:pPr>
              <w:spacing w:after="0" w:line="240" w:lineRule="auto"/>
              <w:rPr>
                <w:rFonts w:eastAsia="Times New Roman" w:cs="Calibri"/>
                <w:noProof/>
                <w:color w:val="006100"/>
                <w:sz w:val="18"/>
                <w:szCs w:val="18"/>
              </w:rPr>
            </w:pPr>
            <w:r>
              <w:rPr>
                <w:noProof/>
                <w:color w:val="006100"/>
                <w:sz w:val="18"/>
              </w:rPr>
              <w:t>Haridus-, usu- ja spordiministeeriumi heakskiitvad otsused valitud ülikoolidele, et ajakohastada ja parandada oma teadus- ja haridustaristut (näiteks seadmed või teaduslaborid), laieneda uutesse uurimisvaldkondadesse ja parandada pakutavat koolitust.</w:t>
            </w:r>
          </w:p>
          <w:p w14:paraId="56433E07" w14:textId="77777777" w:rsidR="00764877" w:rsidRPr="00AD4052" w:rsidRDefault="00764877" w:rsidP="00D16F13">
            <w:pPr>
              <w:spacing w:after="0" w:line="240" w:lineRule="auto"/>
              <w:rPr>
                <w:rFonts w:eastAsia="Times New Roman" w:cs="Calibri"/>
                <w:noProof/>
                <w:color w:val="006100"/>
                <w:sz w:val="18"/>
                <w:szCs w:val="18"/>
                <w:lang w:eastAsia="en-GB"/>
              </w:rPr>
            </w:pPr>
          </w:p>
          <w:p w14:paraId="6CAF66AF" w14:textId="2942E468" w:rsidR="00764877" w:rsidRPr="00E02B5D" w:rsidRDefault="00E35CA1" w:rsidP="00D16F13">
            <w:pPr>
              <w:spacing w:after="0" w:line="240" w:lineRule="auto"/>
              <w:rPr>
                <w:rFonts w:eastAsia="Times New Roman" w:cs="Calibri"/>
                <w:noProof/>
                <w:color w:val="006100"/>
                <w:sz w:val="18"/>
                <w:szCs w:val="18"/>
              </w:rPr>
            </w:pPr>
            <w:r>
              <w:rPr>
                <w:noProof/>
                <w:color w:val="006100"/>
                <w:sz w:val="18"/>
              </w:rPr>
              <w:t>Haridus-, usu- ja spordiministeeriumi heakskiitev otsus 70 teaduskoostööprojekti kohta ülikoolide ja erasektori vahel teadusuuringute tipptaseme klastrite algatuse raames.</w:t>
            </w:r>
          </w:p>
        </w:tc>
      </w:tr>
      <w:tr w:rsidR="007B4D63" w:rsidRPr="003B132A" w14:paraId="65DBA76F" w14:textId="77777777" w:rsidTr="007E3D00">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38CB904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148</w:t>
            </w:r>
          </w:p>
        </w:tc>
        <w:tc>
          <w:tcPr>
            <w:tcW w:w="1805" w:type="dxa"/>
            <w:tcBorders>
              <w:top w:val="nil"/>
              <w:left w:val="nil"/>
              <w:bottom w:val="single" w:sz="4" w:space="0" w:color="auto"/>
              <w:right w:val="single" w:sz="4" w:space="0" w:color="auto"/>
            </w:tcBorders>
            <w:shd w:val="clear" w:color="auto" w:fill="C6EFCE"/>
            <w:noWrap/>
          </w:tcPr>
          <w:p w14:paraId="746AD9D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16676_Hariduse digitaalne ümberkujundamine</w:t>
            </w:r>
          </w:p>
        </w:tc>
        <w:tc>
          <w:tcPr>
            <w:tcW w:w="1424" w:type="dxa"/>
            <w:tcBorders>
              <w:top w:val="nil"/>
              <w:left w:val="nil"/>
              <w:bottom w:val="single" w:sz="4" w:space="0" w:color="auto"/>
              <w:right w:val="single" w:sz="4" w:space="0" w:color="auto"/>
            </w:tcBorders>
            <w:shd w:val="clear" w:color="auto" w:fill="C6EFCE"/>
            <w:noWrap/>
          </w:tcPr>
          <w:p w14:paraId="42341C7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594" w:type="dxa"/>
            <w:tcBorders>
              <w:top w:val="nil"/>
              <w:left w:val="nil"/>
              <w:bottom w:val="single" w:sz="4" w:space="0" w:color="auto"/>
              <w:right w:val="single" w:sz="4" w:space="0" w:color="auto"/>
            </w:tcBorders>
            <w:shd w:val="clear" w:color="auto" w:fill="C6EFCE"/>
            <w:noWrap/>
          </w:tcPr>
          <w:p w14:paraId="6434075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Interaktiivsete süsteemide paigaldamise lõpuleviimine</w:t>
            </w:r>
          </w:p>
        </w:tc>
        <w:tc>
          <w:tcPr>
            <w:tcW w:w="1793" w:type="dxa"/>
            <w:tcBorders>
              <w:top w:val="nil"/>
              <w:left w:val="nil"/>
              <w:bottom w:val="single" w:sz="4" w:space="0" w:color="auto"/>
              <w:right w:val="single" w:sz="4" w:space="0" w:color="auto"/>
            </w:tcBorders>
            <w:shd w:val="clear" w:color="auto" w:fill="C6EFCE"/>
            <w:noWrap/>
          </w:tcPr>
          <w:p w14:paraId="3B09C0B0"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1493" w:type="dxa"/>
            <w:tcBorders>
              <w:top w:val="nil"/>
              <w:left w:val="nil"/>
              <w:bottom w:val="single" w:sz="4" w:space="0" w:color="auto"/>
              <w:right w:val="single" w:sz="4" w:space="0" w:color="auto"/>
            </w:tcBorders>
            <w:shd w:val="clear" w:color="auto" w:fill="C6EFCE"/>
            <w:noWrap/>
          </w:tcPr>
          <w:p w14:paraId="0031E8F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Paigaldatud interaktiivsete õppesüsteemide arv</w:t>
            </w:r>
          </w:p>
        </w:tc>
        <w:tc>
          <w:tcPr>
            <w:tcW w:w="966" w:type="dxa"/>
            <w:tcBorders>
              <w:top w:val="nil"/>
              <w:left w:val="nil"/>
              <w:bottom w:val="single" w:sz="4" w:space="0" w:color="auto"/>
              <w:right w:val="single" w:sz="4" w:space="0" w:color="auto"/>
            </w:tcBorders>
            <w:shd w:val="clear" w:color="auto" w:fill="C6EFCE"/>
            <w:noWrap/>
          </w:tcPr>
          <w:p w14:paraId="15C435F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0</w:t>
            </w:r>
          </w:p>
        </w:tc>
        <w:tc>
          <w:tcPr>
            <w:tcW w:w="906" w:type="dxa"/>
            <w:tcBorders>
              <w:top w:val="nil"/>
              <w:left w:val="nil"/>
              <w:bottom w:val="single" w:sz="4" w:space="0" w:color="auto"/>
              <w:right w:val="single" w:sz="4" w:space="0" w:color="auto"/>
            </w:tcBorders>
            <w:shd w:val="clear" w:color="auto" w:fill="C6EFCE"/>
            <w:noWrap/>
          </w:tcPr>
          <w:p w14:paraId="2355ED9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36 000</w:t>
            </w:r>
          </w:p>
        </w:tc>
        <w:tc>
          <w:tcPr>
            <w:tcW w:w="851" w:type="dxa"/>
            <w:tcBorders>
              <w:top w:val="nil"/>
              <w:left w:val="nil"/>
              <w:bottom w:val="single" w:sz="4" w:space="0" w:color="auto"/>
              <w:right w:val="single" w:sz="4" w:space="0" w:color="auto"/>
            </w:tcBorders>
            <w:shd w:val="clear" w:color="auto" w:fill="C6EFCE"/>
            <w:noWrap/>
          </w:tcPr>
          <w:p w14:paraId="3289757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20" w:type="dxa"/>
            <w:tcBorders>
              <w:top w:val="nil"/>
              <w:left w:val="nil"/>
              <w:bottom w:val="single" w:sz="4" w:space="0" w:color="auto"/>
              <w:right w:val="single" w:sz="4" w:space="0" w:color="auto"/>
            </w:tcBorders>
            <w:shd w:val="clear" w:color="auto" w:fill="C6EFCE"/>
            <w:noWrap/>
          </w:tcPr>
          <w:p w14:paraId="5E6B07B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2024</w:t>
            </w:r>
          </w:p>
        </w:tc>
        <w:tc>
          <w:tcPr>
            <w:tcW w:w="2652" w:type="dxa"/>
            <w:tcBorders>
              <w:top w:val="nil"/>
              <w:left w:val="nil"/>
              <w:bottom w:val="single" w:sz="4" w:space="0" w:color="auto"/>
              <w:right w:val="single" w:sz="4" w:space="0" w:color="auto"/>
            </w:tcBorders>
            <w:shd w:val="clear" w:color="auto" w:fill="C6EFCE"/>
            <w:noWrap/>
          </w:tcPr>
          <w:p w14:paraId="4B1453B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Vähemalt 36 000 interaktiivse õppesüsteemi (sh tahvlid, sülearvutid, interaktiivsed projektorid ja sisekaablid) paigaldamine alg- ja keskkoolide klassiruumidesse</w:t>
            </w:r>
          </w:p>
        </w:tc>
      </w:tr>
      <w:tr w:rsidR="00764877" w:rsidRPr="003B132A" w14:paraId="570BE653" w14:textId="77777777" w:rsidTr="007E3D00">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36B32A0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148a</w:t>
            </w:r>
          </w:p>
        </w:tc>
        <w:tc>
          <w:tcPr>
            <w:tcW w:w="1805" w:type="dxa"/>
            <w:tcBorders>
              <w:top w:val="nil"/>
              <w:left w:val="nil"/>
              <w:bottom w:val="single" w:sz="4" w:space="0" w:color="auto"/>
              <w:right w:val="single" w:sz="4" w:space="0" w:color="auto"/>
            </w:tcBorders>
            <w:shd w:val="clear" w:color="auto" w:fill="C6EFCE"/>
            <w:noWrap/>
          </w:tcPr>
          <w:p w14:paraId="125F830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16676_Hariduse digitaalne ümberkujundamine</w:t>
            </w:r>
          </w:p>
        </w:tc>
        <w:tc>
          <w:tcPr>
            <w:tcW w:w="1424" w:type="dxa"/>
            <w:tcBorders>
              <w:top w:val="nil"/>
              <w:left w:val="nil"/>
              <w:bottom w:val="single" w:sz="4" w:space="0" w:color="auto"/>
              <w:right w:val="single" w:sz="4" w:space="0" w:color="auto"/>
            </w:tcBorders>
            <w:shd w:val="clear" w:color="auto" w:fill="C6EFCE"/>
            <w:noWrap/>
          </w:tcPr>
          <w:p w14:paraId="753206B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594" w:type="dxa"/>
            <w:tcBorders>
              <w:top w:val="nil"/>
              <w:left w:val="nil"/>
              <w:bottom w:val="single" w:sz="4" w:space="0" w:color="auto"/>
              <w:right w:val="single" w:sz="4" w:space="0" w:color="auto"/>
            </w:tcBorders>
            <w:shd w:val="clear" w:color="auto" w:fill="C6EFCE"/>
            <w:noWrap/>
          </w:tcPr>
          <w:p w14:paraId="1B37B72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Õppekavade ajakohastamise, teenuste ratsionaliseerimise ja haridustulemuste jälgimise strateegia</w:t>
            </w:r>
          </w:p>
        </w:tc>
        <w:tc>
          <w:tcPr>
            <w:tcW w:w="1793" w:type="dxa"/>
            <w:tcBorders>
              <w:top w:val="nil"/>
              <w:left w:val="nil"/>
              <w:bottom w:val="single" w:sz="4" w:space="0" w:color="auto"/>
              <w:right w:val="single" w:sz="4" w:space="0" w:color="auto"/>
            </w:tcBorders>
            <w:shd w:val="clear" w:color="auto" w:fill="C6EFCE"/>
            <w:noWrap/>
          </w:tcPr>
          <w:p w14:paraId="4379262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Ulatusliku reformistrateegia avaldamine õppekavade ajakohastamiseks, teenuste ratsionaliseerimiseks ja haridustulemuste jälgimiseks</w:t>
            </w:r>
          </w:p>
        </w:tc>
        <w:tc>
          <w:tcPr>
            <w:tcW w:w="1493" w:type="dxa"/>
            <w:tcBorders>
              <w:top w:val="nil"/>
              <w:left w:val="nil"/>
              <w:bottom w:val="single" w:sz="4" w:space="0" w:color="auto"/>
              <w:right w:val="single" w:sz="4" w:space="0" w:color="auto"/>
            </w:tcBorders>
            <w:shd w:val="clear" w:color="auto" w:fill="C6EFCE"/>
            <w:noWrap/>
          </w:tcPr>
          <w:p w14:paraId="19B9BD14"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05975500"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19A4A556"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14:paraId="5C67A0E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720" w:type="dxa"/>
            <w:tcBorders>
              <w:top w:val="nil"/>
              <w:left w:val="nil"/>
              <w:bottom w:val="single" w:sz="4" w:space="0" w:color="auto"/>
              <w:right w:val="single" w:sz="4" w:space="0" w:color="auto"/>
            </w:tcBorders>
            <w:shd w:val="clear" w:color="auto" w:fill="C6EFCE"/>
            <w:noWrap/>
          </w:tcPr>
          <w:p w14:paraId="0E94441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2652" w:type="dxa"/>
            <w:tcBorders>
              <w:top w:val="nil"/>
              <w:left w:val="nil"/>
              <w:bottom w:val="single" w:sz="4" w:space="0" w:color="auto"/>
              <w:right w:val="single" w:sz="4" w:space="0" w:color="auto"/>
            </w:tcBorders>
            <w:shd w:val="clear" w:color="auto" w:fill="C6EFCE"/>
            <w:noWrap/>
          </w:tcPr>
          <w:p w14:paraId="6903EF9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Tervikliku reformistrateegia väljatöötamine õppekavade ajakohastamiseks, teenuste ratsionaliseerimiseks ja haridustulemuste jälgimiseks.</w:t>
            </w:r>
            <w:r>
              <w:rPr>
                <w:rStyle w:val="eop"/>
                <w:noProof/>
                <w:color w:val="D13438"/>
                <w:sz w:val="20"/>
              </w:rPr>
              <w:t xml:space="preserve"> </w:t>
            </w:r>
          </w:p>
        </w:tc>
      </w:tr>
      <w:tr w:rsidR="00764877" w:rsidRPr="003B132A" w14:paraId="5A13E28B" w14:textId="77777777" w:rsidTr="007E3D00">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7E8FCFE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148b</w:t>
            </w:r>
          </w:p>
        </w:tc>
        <w:tc>
          <w:tcPr>
            <w:tcW w:w="1805" w:type="dxa"/>
            <w:tcBorders>
              <w:top w:val="nil"/>
              <w:left w:val="nil"/>
              <w:bottom w:val="single" w:sz="4" w:space="0" w:color="auto"/>
              <w:right w:val="single" w:sz="4" w:space="0" w:color="auto"/>
            </w:tcBorders>
            <w:shd w:val="clear" w:color="auto" w:fill="C6EFCE"/>
            <w:noWrap/>
          </w:tcPr>
          <w:p w14:paraId="6E278AE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16676_Hariduse digitaalne ümberkujundamine</w:t>
            </w:r>
          </w:p>
        </w:tc>
        <w:tc>
          <w:tcPr>
            <w:tcW w:w="1424" w:type="dxa"/>
            <w:tcBorders>
              <w:top w:val="nil"/>
              <w:left w:val="nil"/>
              <w:bottom w:val="single" w:sz="4" w:space="0" w:color="auto"/>
              <w:right w:val="single" w:sz="4" w:space="0" w:color="auto"/>
            </w:tcBorders>
            <w:shd w:val="clear" w:color="auto" w:fill="C6EFCE"/>
            <w:noWrap/>
          </w:tcPr>
          <w:p w14:paraId="7E08FD4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594" w:type="dxa"/>
            <w:tcBorders>
              <w:top w:val="nil"/>
              <w:left w:val="nil"/>
              <w:bottom w:val="single" w:sz="4" w:space="0" w:color="auto"/>
              <w:right w:val="single" w:sz="4" w:space="0" w:color="auto"/>
            </w:tcBorders>
            <w:shd w:val="clear" w:color="auto" w:fill="C6EFCE"/>
            <w:noWrap/>
          </w:tcPr>
          <w:p w14:paraId="39E8CD7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Hariduse digiüleminek</w:t>
            </w:r>
          </w:p>
        </w:tc>
        <w:tc>
          <w:tcPr>
            <w:tcW w:w="1793" w:type="dxa"/>
            <w:tcBorders>
              <w:top w:val="nil"/>
              <w:left w:val="nil"/>
              <w:bottom w:val="single" w:sz="4" w:space="0" w:color="auto"/>
              <w:right w:val="single" w:sz="4" w:space="0" w:color="auto"/>
            </w:tcBorders>
            <w:shd w:val="clear" w:color="auto" w:fill="C6EFCE"/>
            <w:noWrap/>
          </w:tcPr>
          <w:p w14:paraId="331FAEF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Haridusministeeriumi aruanne, mis kinnitab projektide lõpuleviimist</w:t>
            </w:r>
          </w:p>
        </w:tc>
        <w:tc>
          <w:tcPr>
            <w:tcW w:w="1493" w:type="dxa"/>
            <w:tcBorders>
              <w:top w:val="nil"/>
              <w:left w:val="nil"/>
              <w:bottom w:val="single" w:sz="4" w:space="0" w:color="auto"/>
              <w:right w:val="single" w:sz="4" w:space="0" w:color="auto"/>
            </w:tcBorders>
            <w:shd w:val="clear" w:color="auto" w:fill="C6EFCE"/>
            <w:noWrap/>
          </w:tcPr>
          <w:p w14:paraId="6187236C"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1866D834"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3C8100EF"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14:paraId="3C0D939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20" w:type="dxa"/>
            <w:tcBorders>
              <w:top w:val="nil"/>
              <w:left w:val="nil"/>
              <w:bottom w:val="single" w:sz="4" w:space="0" w:color="auto"/>
              <w:right w:val="single" w:sz="4" w:space="0" w:color="auto"/>
            </w:tcBorders>
            <w:shd w:val="clear" w:color="auto" w:fill="C6EFCE"/>
            <w:noWrap/>
          </w:tcPr>
          <w:p w14:paraId="6FE3B54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2652" w:type="dxa"/>
            <w:tcBorders>
              <w:top w:val="nil"/>
              <w:left w:val="nil"/>
              <w:bottom w:val="single" w:sz="4" w:space="0" w:color="auto"/>
              <w:right w:val="single" w:sz="4" w:space="0" w:color="auto"/>
            </w:tcBorders>
            <w:shd w:val="clear" w:color="auto" w:fill="C6EFCE"/>
            <w:noWrap/>
          </w:tcPr>
          <w:p w14:paraId="0DADA808" w14:textId="77777777" w:rsidR="00764877" w:rsidRPr="00E02B5D" w:rsidRDefault="00764877" w:rsidP="00D16F13">
            <w:pPr>
              <w:pStyle w:val="paragraph"/>
              <w:spacing w:before="0" w:beforeAutospacing="0" w:after="0" w:afterAutospacing="0"/>
              <w:textAlignment w:val="baseline"/>
              <w:rPr>
                <w:rFonts w:cs="Calibri"/>
                <w:noProof/>
                <w:color w:val="006100"/>
                <w:sz w:val="18"/>
                <w:szCs w:val="18"/>
              </w:rPr>
            </w:pPr>
            <w:r>
              <w:rPr>
                <w:rFonts w:ascii="Calibri" w:hAnsi="Calibri"/>
                <w:noProof/>
                <w:color w:val="006100"/>
                <w:sz w:val="18"/>
              </w:rPr>
              <w:t xml:space="preserve">Hariduse digitaalse ümberkujundamise lõpuleviimine sisu ja teenuste osas. </w:t>
            </w:r>
          </w:p>
        </w:tc>
      </w:tr>
      <w:tr w:rsidR="007B4D63" w:rsidRPr="003B132A" w14:paraId="63733DEE" w14:textId="77777777" w:rsidTr="007E3D00">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47E6CBB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149</w:t>
            </w:r>
          </w:p>
        </w:tc>
        <w:tc>
          <w:tcPr>
            <w:tcW w:w="1805" w:type="dxa"/>
            <w:tcBorders>
              <w:top w:val="nil"/>
              <w:left w:val="nil"/>
              <w:bottom w:val="single" w:sz="4" w:space="0" w:color="auto"/>
              <w:right w:val="single" w:sz="4" w:space="0" w:color="auto"/>
            </w:tcBorders>
            <w:shd w:val="clear" w:color="auto" w:fill="C6EFCE"/>
            <w:noWrap/>
          </w:tcPr>
          <w:p w14:paraId="7C21B71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16933_Kutsehariduse ja -koolituse ajakohastamine: Laboriseadmete tarnimine laborikeskustele IEK, EPAL, teise aasta järgne õpipoisiõpe ja kutseõppekoolid</w:t>
            </w:r>
          </w:p>
        </w:tc>
        <w:tc>
          <w:tcPr>
            <w:tcW w:w="1424" w:type="dxa"/>
            <w:tcBorders>
              <w:top w:val="nil"/>
              <w:left w:val="nil"/>
              <w:bottom w:val="single" w:sz="4" w:space="0" w:color="auto"/>
              <w:right w:val="single" w:sz="4" w:space="0" w:color="auto"/>
            </w:tcBorders>
            <w:shd w:val="clear" w:color="auto" w:fill="C6EFCE"/>
            <w:noWrap/>
          </w:tcPr>
          <w:p w14:paraId="3479F37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594" w:type="dxa"/>
            <w:tcBorders>
              <w:top w:val="nil"/>
              <w:left w:val="nil"/>
              <w:bottom w:val="single" w:sz="4" w:space="0" w:color="auto"/>
              <w:right w:val="single" w:sz="4" w:space="0" w:color="auto"/>
            </w:tcBorders>
            <w:shd w:val="clear" w:color="auto" w:fill="C6EFCE"/>
            <w:noWrap/>
          </w:tcPr>
          <w:p w14:paraId="457E6E8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Kutsehariduse ja -koolituse laborikeskuste valmimise uuendamine</w:t>
            </w:r>
          </w:p>
        </w:tc>
        <w:tc>
          <w:tcPr>
            <w:tcW w:w="1793" w:type="dxa"/>
            <w:tcBorders>
              <w:top w:val="nil"/>
              <w:left w:val="nil"/>
              <w:bottom w:val="single" w:sz="4" w:space="0" w:color="auto"/>
              <w:right w:val="single" w:sz="4" w:space="0" w:color="auto"/>
            </w:tcBorders>
            <w:shd w:val="clear" w:color="auto" w:fill="C6EFCE"/>
            <w:noWrap/>
          </w:tcPr>
          <w:p w14:paraId="1E641242"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1493" w:type="dxa"/>
            <w:tcBorders>
              <w:top w:val="nil"/>
              <w:left w:val="nil"/>
              <w:bottom w:val="single" w:sz="4" w:space="0" w:color="auto"/>
              <w:right w:val="single" w:sz="4" w:space="0" w:color="auto"/>
            </w:tcBorders>
            <w:shd w:val="clear" w:color="auto" w:fill="C6EFCE"/>
            <w:noWrap/>
          </w:tcPr>
          <w:p w14:paraId="001D2B3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Täielikult ajakohastatud ja uuendatud laborite arv kutseharidus- ja -koolitusasutustes</w:t>
            </w:r>
          </w:p>
        </w:tc>
        <w:tc>
          <w:tcPr>
            <w:tcW w:w="966" w:type="dxa"/>
            <w:tcBorders>
              <w:top w:val="nil"/>
              <w:left w:val="nil"/>
              <w:bottom w:val="single" w:sz="4" w:space="0" w:color="auto"/>
              <w:right w:val="single" w:sz="4" w:space="0" w:color="auto"/>
            </w:tcBorders>
            <w:shd w:val="clear" w:color="auto" w:fill="C6EFCE"/>
            <w:noWrap/>
          </w:tcPr>
          <w:p w14:paraId="7A0EDFF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0</w:t>
            </w:r>
          </w:p>
        </w:tc>
        <w:tc>
          <w:tcPr>
            <w:tcW w:w="906" w:type="dxa"/>
            <w:tcBorders>
              <w:top w:val="nil"/>
              <w:left w:val="nil"/>
              <w:bottom w:val="single" w:sz="4" w:space="0" w:color="auto"/>
              <w:right w:val="single" w:sz="4" w:space="0" w:color="auto"/>
            </w:tcBorders>
            <w:shd w:val="clear" w:color="auto" w:fill="C6EFCE"/>
            <w:noWrap/>
          </w:tcPr>
          <w:p w14:paraId="27B43AB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376</w:t>
            </w:r>
          </w:p>
        </w:tc>
        <w:tc>
          <w:tcPr>
            <w:tcW w:w="851" w:type="dxa"/>
            <w:tcBorders>
              <w:top w:val="nil"/>
              <w:left w:val="nil"/>
              <w:bottom w:val="single" w:sz="4" w:space="0" w:color="auto"/>
              <w:right w:val="single" w:sz="4" w:space="0" w:color="auto"/>
            </w:tcBorders>
            <w:shd w:val="clear" w:color="auto" w:fill="C6EFCE"/>
            <w:noWrap/>
          </w:tcPr>
          <w:p w14:paraId="483E4BB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20" w:type="dxa"/>
            <w:tcBorders>
              <w:top w:val="nil"/>
              <w:left w:val="nil"/>
              <w:bottom w:val="single" w:sz="4" w:space="0" w:color="auto"/>
              <w:right w:val="single" w:sz="4" w:space="0" w:color="auto"/>
            </w:tcBorders>
            <w:shd w:val="clear" w:color="auto" w:fill="C6EFCE"/>
            <w:noWrap/>
          </w:tcPr>
          <w:p w14:paraId="18EA6F6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2652" w:type="dxa"/>
            <w:tcBorders>
              <w:top w:val="nil"/>
              <w:left w:val="nil"/>
              <w:bottom w:val="single" w:sz="4" w:space="0" w:color="auto"/>
              <w:right w:val="single" w:sz="4" w:space="0" w:color="auto"/>
            </w:tcBorders>
            <w:shd w:val="clear" w:color="auto" w:fill="C6EFCE"/>
            <w:noWrap/>
          </w:tcPr>
          <w:p w14:paraId="74C0EC2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376 laboratooriumi laboriseadmete infrastruktuuri uuendamise lõpuleviimine ja täielik tehnoloogiline ajakohastamine kutsehariduse ja -koolituse koolides: </w:t>
            </w:r>
          </w:p>
          <w:p w14:paraId="282F97C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Kutseõppeinstituudid (IEK))</w:t>
            </w:r>
          </w:p>
          <w:p w14:paraId="44DEE62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Kutsehariduslütseumid (EPAL)</w:t>
            </w:r>
          </w:p>
          <w:p w14:paraId="362FD10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Teise aasta järgne kutseõppekoolide õpipoisiõppe klass.</w:t>
            </w:r>
          </w:p>
        </w:tc>
      </w:tr>
      <w:tr w:rsidR="007B4D63" w:rsidRPr="003B132A" w14:paraId="49245BD3" w14:textId="77777777" w:rsidTr="007E3D00">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571BB05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150</w:t>
            </w:r>
          </w:p>
        </w:tc>
        <w:tc>
          <w:tcPr>
            <w:tcW w:w="1805" w:type="dxa"/>
            <w:tcBorders>
              <w:top w:val="nil"/>
              <w:left w:val="nil"/>
              <w:bottom w:val="single" w:sz="4" w:space="0" w:color="auto"/>
              <w:right w:val="single" w:sz="4" w:space="0" w:color="auto"/>
            </w:tcBorders>
            <w:shd w:val="clear" w:color="auto" w:fill="C6EFCE"/>
            <w:noWrap/>
          </w:tcPr>
          <w:p w14:paraId="5C4A0F5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16289_Ülikoolide tipptaseme strateegia; innovatsioon</w:t>
            </w:r>
          </w:p>
        </w:tc>
        <w:tc>
          <w:tcPr>
            <w:tcW w:w="1424" w:type="dxa"/>
            <w:tcBorders>
              <w:top w:val="nil"/>
              <w:left w:val="nil"/>
              <w:bottom w:val="single" w:sz="4" w:space="0" w:color="auto"/>
              <w:right w:val="single" w:sz="4" w:space="0" w:color="auto"/>
            </w:tcBorders>
            <w:shd w:val="clear" w:color="auto" w:fill="C6EFCE"/>
            <w:noWrap/>
          </w:tcPr>
          <w:p w14:paraId="203B6CD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594" w:type="dxa"/>
            <w:tcBorders>
              <w:top w:val="nil"/>
              <w:left w:val="nil"/>
              <w:bottom w:val="single" w:sz="4" w:space="0" w:color="auto"/>
              <w:right w:val="single" w:sz="4" w:space="0" w:color="auto"/>
            </w:tcBorders>
            <w:shd w:val="clear" w:color="auto" w:fill="C6EFCE"/>
            <w:noWrap/>
          </w:tcPr>
          <w:p w14:paraId="7897F173" w14:textId="77777777" w:rsidR="00764877" w:rsidRPr="00E02B5D" w:rsidRDefault="00426EF1" w:rsidP="00D16F13">
            <w:pPr>
              <w:spacing w:after="0" w:line="240" w:lineRule="auto"/>
              <w:rPr>
                <w:rFonts w:eastAsia="Times New Roman" w:cs="Calibri"/>
                <w:noProof/>
                <w:color w:val="006100"/>
                <w:sz w:val="18"/>
                <w:szCs w:val="18"/>
              </w:rPr>
            </w:pPr>
            <w:r>
              <w:rPr>
                <w:noProof/>
                <w:color w:val="006100"/>
                <w:sz w:val="18"/>
              </w:rPr>
              <w:t>Ülikoolide tipptaseme strateegia ja innovatsiooni kõigi projektide lõpuleviimine</w:t>
            </w:r>
          </w:p>
          <w:p w14:paraId="7816BAF7"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1793" w:type="dxa"/>
            <w:tcBorders>
              <w:top w:val="nil"/>
              <w:left w:val="nil"/>
              <w:bottom w:val="single" w:sz="4" w:space="0" w:color="auto"/>
              <w:right w:val="single" w:sz="4" w:space="0" w:color="auto"/>
            </w:tcBorders>
            <w:shd w:val="clear" w:color="auto" w:fill="C6EFCE"/>
            <w:noWrap/>
          </w:tcPr>
          <w:p w14:paraId="1B0F8F0B" w14:textId="2CE5A4E6" w:rsidR="00764877" w:rsidRPr="00E02B5D" w:rsidRDefault="00764877" w:rsidP="00D16F13">
            <w:pPr>
              <w:spacing w:after="0" w:line="240" w:lineRule="auto"/>
              <w:rPr>
                <w:rFonts w:eastAsia="Times New Roman" w:cs="Calibri"/>
                <w:noProof/>
                <w:color w:val="006100"/>
                <w:sz w:val="18"/>
                <w:szCs w:val="18"/>
              </w:rPr>
            </w:pPr>
            <w:r>
              <w:rPr>
                <w:noProof/>
                <w:color w:val="006100"/>
                <w:sz w:val="18"/>
              </w:rPr>
              <w:t>Kreeka kõrgharidusameti aruanne, milles kinnitatakse, et kõik ülikoolide tipptaseme strateegia ja innovatsiooni projektid on lõpule viidud.</w:t>
            </w:r>
          </w:p>
        </w:tc>
        <w:tc>
          <w:tcPr>
            <w:tcW w:w="1493" w:type="dxa"/>
            <w:tcBorders>
              <w:top w:val="nil"/>
              <w:left w:val="nil"/>
              <w:bottom w:val="single" w:sz="4" w:space="0" w:color="auto"/>
              <w:right w:val="single" w:sz="4" w:space="0" w:color="auto"/>
            </w:tcBorders>
            <w:shd w:val="clear" w:color="auto" w:fill="C6EFCE"/>
            <w:noWrap/>
          </w:tcPr>
          <w:p w14:paraId="3EEF4F78"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7DC88A74"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11747882"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14:paraId="3C3FCA2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20" w:type="dxa"/>
            <w:tcBorders>
              <w:top w:val="nil"/>
              <w:left w:val="nil"/>
              <w:bottom w:val="single" w:sz="4" w:space="0" w:color="auto"/>
              <w:right w:val="single" w:sz="4" w:space="0" w:color="auto"/>
            </w:tcBorders>
            <w:shd w:val="clear" w:color="auto" w:fill="C6EFCE"/>
            <w:noWrap/>
          </w:tcPr>
          <w:p w14:paraId="763AF31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2652" w:type="dxa"/>
            <w:tcBorders>
              <w:top w:val="nil"/>
              <w:left w:val="nil"/>
              <w:bottom w:val="single" w:sz="4" w:space="0" w:color="auto"/>
              <w:right w:val="single" w:sz="4" w:space="0" w:color="auto"/>
            </w:tcBorders>
            <w:shd w:val="clear" w:color="auto" w:fill="C6EFCE"/>
            <w:noWrap/>
          </w:tcPr>
          <w:p w14:paraId="4E8D7B2C" w14:textId="00F3E04E" w:rsidR="00764877" w:rsidRPr="00E02B5D" w:rsidRDefault="00764877" w:rsidP="00D16F13">
            <w:pPr>
              <w:spacing w:after="0" w:line="240" w:lineRule="auto"/>
              <w:rPr>
                <w:rFonts w:eastAsia="Times New Roman" w:cs="Calibri"/>
                <w:noProof/>
                <w:color w:val="006100"/>
                <w:sz w:val="18"/>
                <w:szCs w:val="18"/>
              </w:rPr>
            </w:pPr>
            <w:r>
              <w:rPr>
                <w:noProof/>
                <w:color w:val="006100"/>
                <w:sz w:val="18"/>
              </w:rPr>
              <w:t>Ülikoolide tipptaseme strateegia ja innovatsiooni kõigi projektide lõpuleviimine:</w:t>
            </w:r>
          </w:p>
          <w:p w14:paraId="2D51893C" w14:textId="77777777" w:rsidR="00390373" w:rsidRPr="00390373" w:rsidRDefault="00390373" w:rsidP="00390373">
            <w:pPr>
              <w:spacing w:after="0" w:line="240" w:lineRule="auto"/>
              <w:rPr>
                <w:noProof/>
                <w:color w:val="006100"/>
                <w:sz w:val="18"/>
              </w:rPr>
            </w:pPr>
            <w:r>
              <w:rPr>
                <w:noProof/>
                <w:color w:val="006100"/>
                <w:sz w:val="18"/>
              </w:rPr>
              <w:t>a) 70 teadusalase koostööprojekti (teadusuuringute tipptaseme klastrid) lõpuleviimine teadlastele koos erasektori ettevõtetega.</w:t>
            </w:r>
          </w:p>
          <w:p w14:paraId="2C0A8722" w14:textId="4ADFF921" w:rsidR="00390373" w:rsidRPr="00390373" w:rsidRDefault="00390373" w:rsidP="00390373">
            <w:pPr>
              <w:spacing w:after="0" w:line="240" w:lineRule="auto"/>
              <w:rPr>
                <w:noProof/>
                <w:color w:val="006100"/>
                <w:sz w:val="18"/>
                <w:szCs w:val="18"/>
              </w:rPr>
            </w:pPr>
            <w:r>
              <w:rPr>
                <w:noProof/>
                <w:color w:val="006100"/>
                <w:sz w:val="18"/>
              </w:rPr>
              <w:t xml:space="preserve">b) Õpetamistegevuse või teaduskoostööprojektide lõpuleviimine 60 külalisprofessorile või külalisteadlasele välisriikide ülikoolides või uurimisinstituutides. </w:t>
            </w:r>
          </w:p>
          <w:p w14:paraId="2B7A293C" w14:textId="347ACF88" w:rsidR="00390373" w:rsidRPr="00390373" w:rsidRDefault="00390373" w:rsidP="006E0EA2">
            <w:pPr>
              <w:spacing w:after="0" w:line="240" w:lineRule="auto"/>
              <w:rPr>
                <w:noProof/>
                <w:color w:val="006100"/>
                <w:sz w:val="18"/>
              </w:rPr>
            </w:pPr>
            <w:r>
              <w:rPr>
                <w:noProof/>
                <w:color w:val="006100"/>
                <w:sz w:val="18"/>
              </w:rPr>
              <w:t>c) Valitud Kreeka ülikoolide ning rakendusteaduste ja tehnoloogia ülikoolide teadus- ja haridustaristu ajakohastamise lõpuleviimine.</w:t>
            </w:r>
          </w:p>
          <w:p w14:paraId="088CB898" w14:textId="77777777" w:rsidR="00390373" w:rsidRPr="00390373" w:rsidRDefault="00390373" w:rsidP="00390373">
            <w:pPr>
              <w:spacing w:after="0" w:line="240" w:lineRule="auto"/>
              <w:rPr>
                <w:noProof/>
                <w:color w:val="006100"/>
                <w:sz w:val="18"/>
              </w:rPr>
            </w:pPr>
            <w:r>
              <w:rPr>
                <w:noProof/>
                <w:color w:val="006100"/>
                <w:sz w:val="18"/>
              </w:rPr>
              <w:t xml:space="preserve">d) 70 tööstusliku doktoriõppe programmi lõpuleviimine koostöös erasektori ettevõtetega. </w:t>
            </w:r>
          </w:p>
          <w:p w14:paraId="199251DF" w14:textId="77777777" w:rsidR="00390373" w:rsidRPr="00390373" w:rsidRDefault="00390373" w:rsidP="00390373">
            <w:pPr>
              <w:spacing w:after="0" w:line="240" w:lineRule="auto"/>
              <w:rPr>
                <w:noProof/>
                <w:color w:val="006100"/>
                <w:sz w:val="18"/>
              </w:rPr>
            </w:pPr>
            <w:r>
              <w:rPr>
                <w:noProof/>
                <w:color w:val="006100"/>
                <w:sz w:val="18"/>
              </w:rPr>
              <w:t xml:space="preserve">e) Üksikteadlaste või teadlaste rühmade poolt ellu viidud 112 uurimisprojekti lõpuleviimine (usaldusprogramm „trust your stars“). </w:t>
            </w:r>
          </w:p>
          <w:p w14:paraId="1D5BA9C3" w14:textId="77777777" w:rsidR="00764877" w:rsidRPr="00E02B5D" w:rsidRDefault="00390373" w:rsidP="00D16F13">
            <w:pPr>
              <w:spacing w:after="0"/>
              <w:rPr>
                <w:rFonts w:eastAsia="Times New Roman" w:cs="Calibri"/>
                <w:noProof/>
                <w:color w:val="006100"/>
                <w:sz w:val="18"/>
                <w:szCs w:val="18"/>
              </w:rPr>
            </w:pPr>
            <w:r>
              <w:rPr>
                <w:noProof/>
                <w:color w:val="006100"/>
                <w:sz w:val="18"/>
              </w:rPr>
              <w:t>f) Kreeka riiklike raamatukogude võrgustiku digiülemineku lõpuleviimine.</w:t>
            </w:r>
          </w:p>
          <w:p w14:paraId="76662EF5" w14:textId="77777777" w:rsidR="00764877" w:rsidRPr="00AD4052" w:rsidRDefault="00764877" w:rsidP="00D16F13">
            <w:pPr>
              <w:spacing w:after="0" w:line="240" w:lineRule="auto"/>
              <w:rPr>
                <w:rFonts w:eastAsia="Times New Roman" w:cs="Calibri"/>
                <w:noProof/>
                <w:color w:val="006100"/>
                <w:sz w:val="18"/>
                <w:szCs w:val="18"/>
                <w:lang w:eastAsia="en-GB"/>
              </w:rPr>
            </w:pPr>
          </w:p>
        </w:tc>
      </w:tr>
      <w:tr w:rsidR="007B4D63" w:rsidRPr="003B132A" w14:paraId="223F309B" w14:textId="77777777" w:rsidTr="007E3D00">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7EB07F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152</w:t>
            </w:r>
          </w:p>
        </w:tc>
        <w:tc>
          <w:tcPr>
            <w:tcW w:w="1805" w:type="dxa"/>
            <w:tcBorders>
              <w:top w:val="single" w:sz="4" w:space="0" w:color="auto"/>
              <w:left w:val="nil"/>
              <w:bottom w:val="single" w:sz="4" w:space="0" w:color="auto"/>
              <w:right w:val="single" w:sz="4" w:space="0" w:color="auto"/>
            </w:tcBorders>
            <w:shd w:val="clear" w:color="auto" w:fill="C6EFCE"/>
            <w:noWrap/>
          </w:tcPr>
          <w:p w14:paraId="4E9D780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9-3.2. Haridus, kutseharidus ja -koolitus ning oskused – 16934_Kutsehariduse ja -koolituse ajakohastamine</w:t>
            </w:r>
          </w:p>
        </w:tc>
        <w:tc>
          <w:tcPr>
            <w:tcW w:w="1424" w:type="dxa"/>
            <w:tcBorders>
              <w:top w:val="single" w:sz="4" w:space="0" w:color="auto"/>
              <w:left w:val="nil"/>
              <w:bottom w:val="single" w:sz="4" w:space="0" w:color="auto"/>
              <w:right w:val="single" w:sz="4" w:space="0" w:color="auto"/>
            </w:tcBorders>
            <w:shd w:val="clear" w:color="auto" w:fill="C6EFCE"/>
            <w:noWrap/>
          </w:tcPr>
          <w:p w14:paraId="0A11A01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594" w:type="dxa"/>
            <w:tcBorders>
              <w:top w:val="single" w:sz="4" w:space="0" w:color="auto"/>
              <w:left w:val="nil"/>
              <w:bottom w:val="single" w:sz="4" w:space="0" w:color="auto"/>
              <w:right w:val="single" w:sz="4" w:space="0" w:color="auto"/>
            </w:tcBorders>
            <w:shd w:val="clear" w:color="auto" w:fill="C6EFCE"/>
            <w:noWrap/>
          </w:tcPr>
          <w:p w14:paraId="6136A6F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Kutsehariduse ja -koolituse süsteemi ajakohastamine IEK, EPALi mudeli väljatöötamine ja arendamine, digitaliseerimine EOPPEP lõpuleviimine</w:t>
            </w:r>
          </w:p>
        </w:tc>
        <w:tc>
          <w:tcPr>
            <w:tcW w:w="1793" w:type="dxa"/>
            <w:tcBorders>
              <w:top w:val="single" w:sz="4" w:space="0" w:color="auto"/>
              <w:left w:val="nil"/>
              <w:bottom w:val="single" w:sz="4" w:space="0" w:color="auto"/>
              <w:right w:val="single" w:sz="4" w:space="0" w:color="auto"/>
            </w:tcBorders>
            <w:shd w:val="clear" w:color="auto" w:fill="C6EFCE"/>
            <w:noWrap/>
          </w:tcPr>
          <w:p w14:paraId="08B0E03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Haridusministeeriumi aruanne, mis kinnitab projektide lõpuleviimist</w:t>
            </w:r>
          </w:p>
        </w:tc>
        <w:tc>
          <w:tcPr>
            <w:tcW w:w="1493" w:type="dxa"/>
            <w:tcBorders>
              <w:top w:val="single" w:sz="4" w:space="0" w:color="auto"/>
              <w:left w:val="nil"/>
              <w:bottom w:val="single" w:sz="4" w:space="0" w:color="auto"/>
              <w:right w:val="single" w:sz="4" w:space="0" w:color="auto"/>
            </w:tcBorders>
            <w:shd w:val="clear" w:color="auto" w:fill="C6EFCE"/>
            <w:noWrap/>
          </w:tcPr>
          <w:p w14:paraId="0496B9E9"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2566D2E6"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74B57E52"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71BBF58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20" w:type="dxa"/>
            <w:tcBorders>
              <w:top w:val="single" w:sz="4" w:space="0" w:color="auto"/>
              <w:left w:val="nil"/>
              <w:bottom w:val="single" w:sz="4" w:space="0" w:color="auto"/>
              <w:right w:val="single" w:sz="4" w:space="0" w:color="auto"/>
            </w:tcBorders>
            <w:shd w:val="clear" w:color="auto" w:fill="C6EFCE"/>
            <w:noWrap/>
          </w:tcPr>
          <w:p w14:paraId="52C7A2B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2652" w:type="dxa"/>
            <w:tcBorders>
              <w:top w:val="single" w:sz="4" w:space="0" w:color="auto"/>
              <w:left w:val="nil"/>
              <w:bottom w:val="single" w:sz="4" w:space="0" w:color="auto"/>
              <w:right w:val="single" w:sz="4" w:space="0" w:color="auto"/>
            </w:tcBorders>
            <w:shd w:val="clear" w:color="auto" w:fill="C6EFCE"/>
            <w:noWrap/>
          </w:tcPr>
          <w:p w14:paraId="4FBB5DB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Järgmiste kutsehariduse ja -koolituse süsteemi ajakohastamisele suunatud projektide lõpuleviimine:</w:t>
            </w:r>
          </w:p>
          <w:p w14:paraId="620717A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 5 temaatilise ja 10 eksperimentaalse kutseõppeinstituudi (IEK) kavandamine ja arendamine, kus projektid hõlmaksid seadmete ja teenuste pakkumist, ehitussekkumisi ja koolitajate koolitamist;</w:t>
            </w:r>
          </w:p>
          <w:p w14:paraId="4522A01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25 kutsehariduse mudeli (Model ΕPΑL) projekteerimine ja arendamine, kus projektid hõlmaksid</w:t>
            </w:r>
          </w:p>
          <w:p w14:paraId="5C65081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varustuse ja teenuste pakkumine, hoonetega seotud sekkumised ja EPALi õpetajate koolitamine;</w:t>
            </w:r>
          </w:p>
          <w:p w14:paraId="2AF55EB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3. Kvalifikatsioonide ja kutsenõustamise sertifitseerimise riikliku organisatsiooni (EOPPEP) digiteerimine, sealhulgas e-eksamite platvormi ning kutsehariduse ja -koolituse e-õppe platvormi väljatöötamine;</w:t>
            </w:r>
          </w:p>
        </w:tc>
      </w:tr>
    </w:tbl>
    <w:p w14:paraId="69EE46B8" w14:textId="77777777" w:rsidR="00764877" w:rsidRPr="00AD4052" w:rsidRDefault="00764877" w:rsidP="00645BC7">
      <w:pPr>
        <w:spacing w:before="120" w:after="120" w:line="240" w:lineRule="auto"/>
        <w:ind w:left="709"/>
        <w:jc w:val="both"/>
        <w:rPr>
          <w:rFonts w:ascii="Times New Roman" w:hAnsi="Times New Roman" w:cs="Times New Roman"/>
          <w:noProof/>
          <w:sz w:val="24"/>
        </w:rPr>
        <w:sectPr w:rsidR="00764877" w:rsidRPr="00AD4052" w:rsidSect="00271D33">
          <w:headerReference w:type="even" r:id="rId200"/>
          <w:headerReference w:type="default" r:id="rId201"/>
          <w:footerReference w:type="even" r:id="rId202"/>
          <w:footerReference w:type="default" r:id="rId203"/>
          <w:headerReference w:type="first" r:id="rId204"/>
          <w:footerReference w:type="first" r:id="rId205"/>
          <w:pgSz w:w="16839" w:h="11907" w:orient="landscape"/>
          <w:pgMar w:top="720" w:right="720" w:bottom="720" w:left="720" w:header="709" w:footer="75" w:gutter="0"/>
          <w:cols w:space="720"/>
          <w:docGrid w:linePitch="360"/>
        </w:sectPr>
      </w:pPr>
    </w:p>
    <w:p w14:paraId="751BFBF3" w14:textId="77777777" w:rsidR="00764877" w:rsidRPr="00E02B5D" w:rsidRDefault="00764877"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J. KOMPONENT 3.3. TERVISHOIUSÜSTEEMI VASTUPANUVÕIME, JUURDEPÄÄSETAVUSE JA JÄTKUSUUTLIKKUSE PARANDAMINE</w:t>
      </w:r>
    </w:p>
    <w:p w14:paraId="4D9D83D3"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selles osas keskendutakse tervishoiusüsteemi vastupanuvõime suurendamisele erinevate sekkumiste kaudu. Osa neist meetmetest keskenduvad nii füüsilisele kui ka digitaalsele infrastruktuurile ning operatiivsele täiustamisele, et ajakohastada ja uuendada haiglasüsteemi ja tervisekeskuste võrgustikku. Teiste eesmärk on toetada ja parandada tervishoiusektori juurdepääsu, tõhusust ja vastupanuvõimet. Täpsemalt hõlmavad need meetmeid, mille eesmärk on tugevdada rahvatervist ja ennetustegevust, suurendada tervishoiusüsteemi suutlikkust osutada vaimse tervise ja koduhooldusteenuseid, toetada üleminekut tugevamale esmasele tervishoiusektorile ning ratsionaliseerida ravimitega seotud kulutusi ja toetada ravimitega seotud teadus- ja arendustegevust. Tervishoiusüsteemide ja -teenuste digiteerimise kava eesmärk on edendada süsteemi avaliku sektori kulutuste tõhusust, parandada nende kättesaadavust ning suurendada üldist läbipaistvust ja kvaliteeti.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2ED71AE2" w14:textId="77777777" w:rsidR="00764877" w:rsidRPr="00E02B5D" w:rsidRDefault="00764877" w:rsidP="00645BC7">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J.1. </w:t>
      </w:r>
      <w:r>
        <w:rPr>
          <w:noProof/>
        </w:rPr>
        <w:tab/>
      </w:r>
      <w:r>
        <w:rPr>
          <w:rFonts w:ascii="Times New Roman" w:hAnsi="Times New Roman"/>
          <w:b/>
          <w:noProof/>
          <w:sz w:val="24"/>
          <w:u w:val="single"/>
        </w:rPr>
        <w:t>Tagastamatu rahalise toetusega seotud reformide ja investeeringute kirjeldus</w:t>
      </w:r>
    </w:p>
    <w:p w14:paraId="0D2F12CB"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Reformid ja investeeringute kiirendamine tervishoiusektoris – tagasinõude vähendamine ja tervishoiukulude ratsionaliseerimine (meetme ID: 16816)</w:t>
      </w:r>
    </w:p>
    <w:p w14:paraId="61F09C2F" w14:textId="77777777" w:rsidR="00764877" w:rsidRPr="00E02B5D" w:rsidRDefault="00764877" w:rsidP="00645BC7">
      <w:pPr>
        <w:spacing w:before="120" w:after="120" w:line="240" w:lineRule="auto"/>
        <w:jc w:val="both"/>
        <w:rPr>
          <w:rFonts w:ascii="Times New Roman" w:hAnsi="Times New Roman" w:cs="Times New Roman"/>
          <w:b/>
          <w:noProof/>
          <w:sz w:val="24"/>
          <w:szCs w:val="24"/>
        </w:rPr>
      </w:pPr>
      <w:r>
        <w:rPr>
          <w:rFonts w:ascii="Times New Roman" w:hAnsi="Times New Roman"/>
          <w:noProof/>
          <w:sz w:val="24"/>
        </w:rPr>
        <w:t>Tagasinõudesüsteemi reformiga võetakse tagasinõude arvutamisel kasutusele riski jagamine, kehtestades siduva eesmärgi vähendada tagasinõudesummat järgmistel aastatel, vähendada tagasinõudesummasid minimaalselt 50 000 000 eurot (2022), 150 000 000 eurot (2023), 300 000 000 eurot (2024) ja 400 000 000 eurot (2025) võrreldes 2020. aasta tasemetega, mis tuleb saavutada varem vastu võetud ja uute tõhusust suurendavate meetmete täieliku jõustamise kaudu ning täielikult kooskõlas ELi riigiabi eeskirjadega. Lisaks nähakse meetmega ette, et vastutavad äriühingud rahastavad kliinilisi uuringuid, teadus- ja arendustegevust või muid investeerimiskulusid, mis piirduvad kolmeaastase perioodiga 2021–2023, korvates osaliselt oma tagasinõudmise kohustused. Reformi rakendamine viiakse lõpule 30. juuniks 2026.</w:t>
      </w:r>
    </w:p>
    <w:p w14:paraId="66A497E1"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Esmase tervishoiusüsteemi reform (meetme ID: 16755)</w:t>
      </w:r>
    </w:p>
    <w:p w14:paraId="0E2392BA" w14:textId="20EC8271" w:rsidR="0018328F" w:rsidRDefault="00764877" w:rsidP="007E3D00">
      <w:pPr>
        <w:spacing w:before="120" w:after="120" w:line="240" w:lineRule="auto"/>
        <w:jc w:val="both"/>
        <w:rPr>
          <w:rFonts w:ascii="Times New Roman" w:hAnsi="Times New Roman"/>
          <w:noProof/>
          <w:sz w:val="24"/>
        </w:rPr>
      </w:pPr>
      <w:r>
        <w:rPr>
          <w:rFonts w:ascii="Times New Roman" w:hAnsi="Times New Roman"/>
          <w:noProof/>
          <w:sz w:val="24"/>
        </w:rPr>
        <w:t xml:space="preserve">Selle reformiga nähakse ette 1) ajakohastada ja energiatõhusalt renoveerida ja võtta energiatõhusaid meetmeid seoses avaliku taristu ja meditsiiniseadmetega, mis moodustavad vähemalt 50 % riigi kõigist tervisekeskustest (156 keskust 312st), 2) viia ellu halduslik ja organisatsiooniline ümberkorraldamine, et luua ühtne hooldusmudel ja ümberõpet, et töötajad pakuksid tõhusalt esmatasandi arstiabi, 3) suurendada aktiivsete (kui kursused on juba alanud) perearstide õppekavade kättesaadavust, nii et vähemalt 75 % meditsiiniasutustest pakuksid neid, ning võtta 2022. aasta 4. kvartaliks kõigis meditsiiniõppekavades kasutusele perearstide õpe, 4) sellega toetatakse integreeritud hooldussüsteemi arendamist, luues raamistiku krooniliste haigustega toimetulekuks. Esmatasandi arstiabi reform on seotud teise tasandi arstiabiga (eelkõige juurdepääsuga haiglaravile) ning eeldatavasti parandab see kodanike jaoks tervishoiuteenuseid ja toetab põhimõtet, et tervishoiuteenused on võrdselt kättesaadavad, tõhusad ja sotsiaalselt sidusad.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w:t>
      </w:r>
      <w:r w:rsidR="0018328F">
        <w:rPr>
          <w:noProof/>
        </w:rPr>
        <w:br w:type="page"/>
      </w:r>
    </w:p>
    <w:p w14:paraId="536386A7" w14:textId="50D05F5E"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Meetme kohaselt peavad ehitustöid tegevad ettevõtjad tagama, et vähemalt 70 % (massi järgi) ehitusplatsil tekkivatest ohututest ehitus- ja lammutusjäätmetest (v.a välja arvatud 3. mai 2000.</w:t>
      </w:r>
      <w:r w:rsidR="007E3D00">
        <w:rPr>
          <w:rFonts w:ascii="Times New Roman" w:hAnsi="Times New Roman"/>
          <w:noProof/>
          <w:sz w:val="24"/>
        </w:rPr>
        <w:t> </w:t>
      </w:r>
      <w:r>
        <w:rPr>
          <w:rFonts w:ascii="Times New Roman" w:hAnsi="Times New Roman"/>
          <w:noProof/>
          <w:sz w:val="24"/>
        </w:rPr>
        <w:t>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Reformi rakendamine viiakse lõpule 31. detsembriks 2025.</w:t>
      </w:r>
    </w:p>
    <w:p w14:paraId="2C318E6F"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Riikliku rahvatervise ennetusprogrammi „Spiros Doxiadis“ (NPP) rakendamine (meetme ID: 16783)</w:t>
      </w:r>
    </w:p>
    <w:p w14:paraId="04320308"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Reformiga loodetakse parandada elanikkonna elukvaliteeti ja tervishoiusüsteemi vastupanuvõimet, luues väga tervikliku ennetussüsteemi, mis hõlmab nii esmast, teisest kui ka kolmandat tasandit. See hõlmab pilootprojekti raames mitut järgmist elementi: sekkumised ja sõeluuringuprogrammid, mille eesmärk on vähendada Kreeka elanikkonnas laialt levinud haigustesse suremist: kehalise aktiivsuse ja tervisliku toitumise edendamise riiklik programm, alkoholi tarbimise vähendamise riiklik programm, meetmed laste psühhosotsiaalsete probleemide ennetamiseks ning laste hambaravi ennetusprogrammi rakendamine; sekkumised olemasolevate, kuid kliiniliselt mittenähtavate haiguste varajaseks avastamiseks: riikliku sõeluuringuprogrammi rakendamine, mis põhineb vähi ja südame-veresoonkonna haiguste ennetuslike diagnostiliste testide ja riikliku vastsündinute sõeluuringuprogrammi kasutuselevõtmisel; vähipatsientide palliatiivne ravi; rahvatervisesüsteemi funktsioonide ja toimimise ajakohastamine. Programmi lõppeesmärk on vähendada käitumuslikke riskitegureid; sellel on positiivne mõju mitte ainult elanikkonna elukvaliteedile, vaid ka tervishoiusüsteemi üldisele kättesaadavusele, tõhususele ja vastupidavusele, mis saavutatakse haiglateenuste koormuse vähendamisega. Reformi rakendamine viiakse lõpule 31. detsembriks 2025.</w:t>
      </w:r>
    </w:p>
    <w:p w14:paraId="0DAB010F"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Vaimse tervise ja sõltuvuse valdkonna reform (meetme ID: 16820)</w:t>
      </w:r>
    </w:p>
    <w:p w14:paraId="745443EF" w14:textId="64E77070" w:rsidR="00764877" w:rsidRPr="006E0EA2" w:rsidRDefault="00764877" w:rsidP="00645BC7">
      <w:pPr>
        <w:spacing w:before="120" w:after="120" w:line="240" w:lineRule="auto"/>
        <w:jc w:val="both"/>
        <w:rPr>
          <w:rFonts w:ascii="Times New Roman" w:hAnsi="Times New Roman"/>
          <w:noProof/>
          <w:sz w:val="24"/>
        </w:rPr>
      </w:pPr>
      <w:r>
        <w:rPr>
          <w:rFonts w:ascii="Times New Roman" w:hAnsi="Times New Roman"/>
          <w:noProof/>
          <w:sz w:val="24"/>
        </w:rPr>
        <w:t>Reformi eesmärk on tagada vaimse tervise häirete ja sõltuvuse all kannatavatele konkreetsetele elanikkonnarühmadele juurdepääs kvaliteetsetele vaimse tervise teenustele, et vältida nende marginaliseerimist või institutsionaliseerimist. See hõlmab vaimse tervise teenuste laiendamist vaimse tervise üksuste kaudu dementsuse ja Alzheimeri tõvega patsientidele, samuti autistlikele patsientidele ning laste, noorukite ja noorte täiskasvanute vanuserühma kuuluvatele patsientidele, samuti vaimse tervise teenuseid sõltuvusega inimestele. Sellega kaasneb veebirakenduste arendamine ja vaimse tervise teenuste digiteerimine. Reformi rakendamine viiakse lõpule 31. detsember 2023.</w:t>
      </w:r>
    </w:p>
    <w:p w14:paraId="5FBF1D76" w14:textId="15BA1D20" w:rsidR="00764877" w:rsidRPr="00E02B5D" w:rsidRDefault="00764877" w:rsidP="00645BC7">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Reform:</w:t>
      </w:r>
      <w:r>
        <w:rPr>
          <w:rFonts w:ascii="Times New Roman" w:hAnsi="Times New Roman"/>
          <w:noProof/>
          <w:sz w:val="24"/>
        </w:rPr>
        <w:t xml:space="preserve"> Tervishoiusüsteemi organisatsioonireformid (meetme ID: 16756)</w:t>
      </w:r>
    </w:p>
    <w:p w14:paraId="38D56B1E" w14:textId="77777777" w:rsidR="0018328F" w:rsidRDefault="79238B2A" w:rsidP="00645BC7">
      <w:pPr>
        <w:spacing w:before="120" w:after="120" w:line="240" w:lineRule="auto"/>
        <w:jc w:val="both"/>
        <w:rPr>
          <w:rFonts w:ascii="Times New Roman" w:hAnsi="Times New Roman"/>
          <w:noProof/>
          <w:sz w:val="24"/>
          <w:szCs w:val="24"/>
        </w:rPr>
      </w:pPr>
      <w:r>
        <w:rPr>
          <w:rFonts w:ascii="Times New Roman" w:hAnsi="Times New Roman"/>
          <w:noProof/>
          <w:sz w:val="24"/>
        </w:rPr>
        <w:t xml:space="preserve">Selle reformi eesmärk on ratsionaliseerida haiglaravi protseduuride hüvitamist, 1) tugevdades Kreeka diagnoosipõhise kompleksteenuse süsteemi (DRG) instituuti (KETEKNY) ja 2) luues raamistiku, mis tagab usaldusväärsete ja kvaliteetsete menetluste ja tulemuslikkuse mõõtmise, mis on seotud patsientide ravi, tervishoiuvajaduste ja tervishoiuteenuste osutamisega, et toetada Kreeka tervishoiu kvaliteedi tagamise ametit (ODIPY) ja selle tegevust. </w:t>
      </w:r>
    </w:p>
    <w:p w14:paraId="0904B49A" w14:textId="77777777" w:rsidR="0018328F" w:rsidRDefault="0018328F">
      <w:pPr>
        <w:rPr>
          <w:rFonts w:ascii="Times New Roman" w:hAnsi="Times New Roman"/>
          <w:noProof/>
          <w:sz w:val="24"/>
          <w:szCs w:val="24"/>
        </w:rPr>
      </w:pPr>
      <w:r>
        <w:rPr>
          <w:noProof/>
        </w:rPr>
        <w:br w:type="page"/>
      </w:r>
    </w:p>
    <w:p w14:paraId="41DA189A" w14:textId="4DB3FE49" w:rsidR="00764877" w:rsidRPr="00E02B5D" w:rsidRDefault="79238B2A"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Riikliku tervisekaardi koostamine, mis kajastab tervishoiusüsteemi teenuste nõudlust ja pakkumist ning millega luuakse kvaliteedi hindamise raamistik, peaks tagama tervishoiusüsteemi suurema läbipaistvuse ja tõhususe. Reformi täiendatakse ka selektiivsete kirurgiliste operatsioonide ootenimekirja vähendamisega (34 000 pärastlõunaoperatsiooni (kirurgilised operatsioonid, mis toimuvad pärast riikliku tervishoiusüsteemi (NHS) tavapärast lahtiolekuaega). Reformi rakendamine viiakse lõpule 31. detsembriks 2025.</w:t>
      </w:r>
    </w:p>
    <w:p w14:paraId="66EE9287"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Tervishoiutaristu (meetme ID: 16795)</w:t>
      </w:r>
    </w:p>
    <w:p w14:paraId="697822ED" w14:textId="787C60F3"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hõlmab ulatuslikke meetmeid haiglate logistilise infrastruktuuri ajakohastamiseks kogu Kreekas, sealhulgas hoonete energiatõhusaks renoveerimiseks ja uute meditsiiniseadmetega varustamiseks. Investeeringuga antakse riikliku tervishoiusüsteemi meditsiinitöötajatele ja õendustöötajatele vajalikud vahendid osutatavate tervishoiuteenuste kvaliteedi ja tõhususe parandamiseks.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w:t>
      </w:r>
      <w:r w:rsidR="00F26C46">
        <w:rPr>
          <w:rFonts w:ascii="Times New Roman" w:hAnsi="Times New Roman"/>
          <w:noProof/>
          <w:sz w:val="24"/>
        </w:rPr>
        <w:t> </w:t>
      </w:r>
      <w:r>
        <w:rPr>
          <w:rFonts w:ascii="Times New Roman" w:hAnsi="Times New Roman"/>
          <w:noProof/>
          <w:sz w:val="24"/>
        </w:rPr>
        <w:t>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40E0CECA"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Tervise digiüleminek (DigHealth) (meetme ID: 16752)</w:t>
      </w:r>
    </w:p>
    <w:p w14:paraId="0B69FC6B"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Investeeringuga optimeeritakse tervishoiu kvaliteeti ja patsientide ohutust uute innovaatiliste teenustega, aidates samal ajal kontrollida tervishoiukulusid, tõkestades toodete ja ravimite liigset kasutamist, parandades haiglate juhtimist, patsientide kogemusi, riigihankemenetlusi ning parandades süsteemi funktsionaalsust, koostalitlusvõimet ja EOPYY (riiklik tervishoiuteenuste osutamise organisatsioon) digitaalset suutlikkust. Investeering hõlmab viie allprojekti rakendamist: riikliku digitaalse terviseloo täielik loomine ja kasutuselevõtt, vähiravi digitaalse ümberkujundamise programmi täielik kasutuselevõtt, riikliku telemeditsiinivõrgu (EDIT) suutlikkuse suurendamine, haiglate digivalmiduse parandamine ja EOPYY digiüleminek. Investeeringu rakendamine viiakse lõpule 31. detsembriks 2025.</w:t>
      </w:r>
    </w:p>
    <w:p w14:paraId="7C0550F6"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Kiiritusravikeskuse loomine Ateena „Sotiria“ rindkerehaiguste haiglas (meetme ID: 16757)</w:t>
      </w:r>
    </w:p>
    <w:p w14:paraId="72FFE121" w14:textId="5D1FB065"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Sotiria haiglas luuakse ja ehitatakse kiiritusravi keskus, mis aitab rahuldada vähipatsientide vajadusi ja rahuldada suurenenud nõudlust riigi kiiritusraviosakondade järele. See hõlmab uue kiiritusraviosakonna loomist, uut hoone infrastruktuuri ambulatoorse osakonna, kliinilise pädevuse keskuste ja eriravi üksuste majutamiseks, olemasolevate hoonete ühendamist (Mega Laikon &amp; 300 Andron); hädaolukorra osakonna ühendamine kirurgiaosakonna ja muude hoonetega; kliinikute ja laborite, sealhulgas taristu ja seadmete renoveerimine. Eeldatakse, et ükski selle komponendi meede ei kahjusta märkimisväärselt keskkonnaeesmärke määruse (EL)</w:t>
      </w:r>
      <w:r w:rsidR="00F26C46">
        <w:rPr>
          <w:rFonts w:ascii="Times New Roman" w:hAnsi="Times New Roman"/>
          <w:noProof/>
          <w:sz w:val="24"/>
        </w:rPr>
        <w:t> </w:t>
      </w:r>
      <w:r>
        <w:rPr>
          <w:rFonts w:ascii="Times New Roman" w:hAnsi="Times New Roman"/>
          <w:noProof/>
          <w:sz w:val="24"/>
        </w:rPr>
        <w:t>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5D6CA141"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Kodutervishoiu ja koduhaigla süsteemide loomine (meetme ID: 16753)</w:t>
      </w:r>
    </w:p>
    <w:p w14:paraId="2B73149B"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Investeeringud on seotud koduhooldussüsteemi loomisega krooniliste puuetega patsientide sihtrühmadele. Koduhooldust toetavad paralleelselt ka tervishoiuüksused ning see puudutab lapsi, noorukeid ja täiskasvanuid, kellel on rasked kroonilised terviseprobleemid, mis põhjustavad pikaajalist või püsivat puuet. See parandab patsientide elukvaliteeti, vabastades samal ajal vahendid riikliku tervishoiusüsteemi jaoks. Investeeringuga rakendatakse viit allprojekti: 1) vajaduste hindamise uuring, milles keskendutakse heade tavade väljaselgitamisele, vajaduste ja praeguse olukorra registreerimisele Kreekas ning koduhoolduse institutsionaliseerimise ettepaneku koostamisele; 2) telemeditsiini rakenduste rakendamine patsienditoe seirevahendina; 3) koduhoolduse kaudu ravitavate patsientide riikliku registri loomine ja rakendamine; 4) standardsete raviprotokollide ning kvaliteedi- ja ohutusstandardite kindlaksmääramine ning 5) kaheksa võrdlusobjekti (üks igast piirkondlikust tervishoiuasutusest) loomine. Investeeringu rakendamine viiakse lõpule 30. juuniks 2025.</w:t>
      </w:r>
    </w:p>
    <w:p w14:paraId="78EA378D"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Projekt raku- ja geeniteraapia- ja hematoloogiakliiniku laboritele hoone ehitamiseks Thessaloniki „Papanikolaou“ üldhaiglasse (meetme ID: 16793). </w:t>
      </w:r>
    </w:p>
    <w:p w14:paraId="20A8DAFE" w14:textId="77777777" w:rsidR="0018328F" w:rsidRDefault="00764877" w:rsidP="00645BC7">
      <w:pPr>
        <w:spacing w:before="120" w:after="120" w:line="240" w:lineRule="auto"/>
        <w:jc w:val="both"/>
        <w:rPr>
          <w:rFonts w:ascii="Times New Roman" w:hAnsi="Times New Roman"/>
          <w:noProof/>
          <w:sz w:val="24"/>
        </w:rPr>
      </w:pPr>
      <w:r>
        <w:rPr>
          <w:rFonts w:ascii="Times New Roman" w:hAnsi="Times New Roman"/>
          <w:noProof/>
          <w:sz w:val="24"/>
        </w:rPr>
        <w:t xml:space="preserve">Investeeringuga nähakse ette uute hoonete ehitamine Papanikolaou haiglasse raku- ja geeniteraapia- ja hematoloogiakliiniku laborite majutamiseks, et hoida selle teenused vastavuses patsientide ravi suurenenud vajadustega (pahaloomulised hematoloogilised haigused) ning kasvava nõudlusega kaasaegsete ja tehnoloogiliste lahenduste järele; samuti ajakohastatakse olemasolevat hoonet laborite ja päevaraviüksuse üleviimiseks. Uus hoone peab vastama primaarenergia nõudlusele, mis on vähemalt 20 % madalam liginullenergiahoone nõudest (ligi nullenergiahoone, riiklikud direktiivid).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w:t>
      </w:r>
    </w:p>
    <w:p w14:paraId="7E475C69" w14:textId="77777777" w:rsidR="0018328F" w:rsidRDefault="0018328F">
      <w:pPr>
        <w:rPr>
          <w:rFonts w:ascii="Times New Roman" w:hAnsi="Times New Roman"/>
          <w:noProof/>
          <w:sz w:val="24"/>
        </w:rPr>
      </w:pPr>
      <w:r>
        <w:rPr>
          <w:noProof/>
        </w:rPr>
        <w:br w:type="page"/>
      </w:r>
    </w:p>
    <w:p w14:paraId="4C6213BC" w14:textId="72F45BFE"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Meetme kohaselt peavad ehitustöid tegevad ettevõtjad tagama, et vähemalt 70 % (massi järgi) ehitusplatsil tekkivatest ohututest ehitus- ja lammutusjäätmetest (v.a välja arvatud 3. mai 2000.</w:t>
      </w:r>
      <w:r w:rsidR="00F26C46">
        <w:rPr>
          <w:rFonts w:ascii="Times New Roman" w:hAnsi="Times New Roman"/>
          <w:noProof/>
          <w:sz w:val="24"/>
        </w:rPr>
        <w:t> </w:t>
      </w:r>
      <w:r>
        <w:rPr>
          <w:rFonts w:ascii="Times New Roman" w:hAnsi="Times New Roman"/>
          <w:noProof/>
          <w:sz w:val="24"/>
        </w:rPr>
        <w:t>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699BE258" w14:textId="77777777" w:rsidR="00764877" w:rsidRPr="00E02B5D" w:rsidRDefault="00764877" w:rsidP="00D16F13">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Üldarstide reform (meetme ID: 16984)</w:t>
      </w:r>
    </w:p>
    <w:p w14:paraId="7B713A48" w14:textId="77777777" w:rsidR="00764877" w:rsidRPr="00E02B5D" w:rsidRDefault="00764877" w:rsidP="00D16F13">
      <w:pPr>
        <w:pStyle w:val="Default"/>
        <w:jc w:val="both"/>
        <w:rPr>
          <w:rFonts w:ascii="Times New Roman" w:hAnsi="Times New Roman" w:cs="Times New Roman"/>
          <w:noProof/>
        </w:rPr>
        <w:sectPr w:rsidR="00764877" w:rsidRPr="00E02B5D" w:rsidSect="00271D33">
          <w:headerReference w:type="even" r:id="rId206"/>
          <w:headerReference w:type="default" r:id="rId207"/>
          <w:footerReference w:type="even" r:id="rId208"/>
          <w:footerReference w:type="default" r:id="rId209"/>
          <w:headerReference w:type="first" r:id="rId210"/>
          <w:footerReference w:type="first" r:id="rId211"/>
          <w:pgSz w:w="11907" w:h="16839"/>
          <w:pgMar w:top="1134" w:right="1417" w:bottom="1134" w:left="1417" w:header="709" w:footer="468" w:gutter="0"/>
          <w:cols w:space="720"/>
          <w:docGrid w:linePitch="360"/>
        </w:sectPr>
      </w:pPr>
      <w:r>
        <w:rPr>
          <w:rFonts w:ascii="Times New Roman" w:hAnsi="Times New Roman"/>
          <w:noProof/>
        </w:rPr>
        <w:t xml:space="preserve">Reformi eesmärk on suurendada personaalsete arstide süsteemi kuuluvate arstide arvu, et saavutada täielik elanikkonna hõlmatus ja viia lõpule rahvastiku registreerimine. Personaalarstid on üldmeditsiinile/peremeditsiinile spetsialiseerunud arstid ja internistid. Reformiga laiendatakse olemasolevate personaalsete arstide hulka, allkirjastades kõik praegused maapiirkondade arstid esimese aasta personaalsete arstidena ning avades uued samalaadsed esimese aasta ametikohad kõigis linna-, linnalähi- ja maapiirkondades, kus personaalsete arstide seas on veel lünki. Nende arstide jaoks kehtestatakse stimuleerimismehhanism, et jätkata tegutsemist üldarstidena ka pärast 1. aastat. See mehhanism hõlmab rahalisi stiimuleid ja eelisõigusi, et saada üldarsti või patoloogia elanikuks ja saada üldarsti sertifitseeritud arstiks. Lisaks suurendatakse üldmeditsiinis või patoloogias olemasolevate elukohakohtade koguarvu. Väravahoidmispõhine süsteem aktiveeritakse. Reformi rakendamine viiakse lõpule 2025. aasta teiseks kvartaliks.  </w:t>
      </w:r>
    </w:p>
    <w:p w14:paraId="41D5E7E6" w14:textId="77777777" w:rsidR="00764877" w:rsidRPr="00E02B5D" w:rsidRDefault="00764877" w:rsidP="00645BC7">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J.2. </w:t>
      </w:r>
      <w:r>
        <w:rPr>
          <w:noProof/>
        </w:rPr>
        <w:tab/>
      </w:r>
      <w:r>
        <w:rPr>
          <w:rFonts w:ascii="Times New Roman" w:hAnsi="Times New Roman"/>
          <w:b/>
          <w:noProof/>
          <w:sz w:val="24"/>
          <w:u w:val="single"/>
        </w:rPr>
        <w:t>Tagastamatu rahalise toetuse eesmärgid, sihid, näitajad ning seire ja rakendamise ajakava</w:t>
      </w:r>
    </w:p>
    <w:p w14:paraId="462E3341" w14:textId="77777777" w:rsidR="00764877" w:rsidRDefault="00764877" w:rsidP="00645BC7">
      <w:pPr>
        <w:keepNext/>
        <w:keepLines/>
        <w:spacing w:before="40" w:after="0" w:line="240" w:lineRule="auto"/>
        <w:jc w:val="both"/>
        <w:outlineLvl w:val="4"/>
        <w:rPr>
          <w:rFonts w:ascii="Cambria" w:hAnsi="Cambria"/>
          <w:noProof/>
          <w:color w:val="365F91"/>
          <w:sz w:val="24"/>
        </w:rPr>
      </w:pPr>
      <w:r>
        <w:rPr>
          <w:rFonts w:ascii="Cambria" w:hAnsi="Cambria"/>
          <w:noProof/>
          <w:color w:val="365F91"/>
          <w:sz w:val="24"/>
        </w:rPr>
        <w:t>Põhireform 7: Reformid ja investeeringute kiirendamine tervishoiusektoris – tagasinõude vähendamine ja tervishoiukulude ratsionaliseerimine (ID: 16816)</w:t>
      </w:r>
    </w:p>
    <w:p w14:paraId="75711023" w14:textId="77777777" w:rsidR="00C63536" w:rsidRPr="00AD4052" w:rsidRDefault="00C63536" w:rsidP="00645BC7">
      <w:pPr>
        <w:keepNext/>
        <w:keepLines/>
        <w:spacing w:before="40" w:after="0" w:line="240" w:lineRule="auto"/>
        <w:jc w:val="both"/>
        <w:outlineLvl w:val="4"/>
        <w:rPr>
          <w:rFonts w:ascii="Cambria" w:eastAsia="Times New Roman" w:hAnsi="Cambria"/>
          <w:noProof/>
          <w:color w:val="365F91"/>
          <w:sz w:val="24"/>
        </w:rPr>
      </w:pPr>
    </w:p>
    <w:tbl>
      <w:tblPr>
        <w:tblW w:w="16297" w:type="dxa"/>
        <w:jc w:val="center"/>
        <w:tblLook w:val="04A0" w:firstRow="1" w:lastRow="0" w:firstColumn="1" w:lastColumn="0" w:noHBand="0" w:noVBand="1"/>
      </w:tblPr>
      <w:tblGrid>
        <w:gridCol w:w="1116"/>
        <w:gridCol w:w="1635"/>
        <w:gridCol w:w="966"/>
        <w:gridCol w:w="1998"/>
        <w:gridCol w:w="1717"/>
        <w:gridCol w:w="1285"/>
        <w:gridCol w:w="966"/>
        <w:gridCol w:w="906"/>
        <w:gridCol w:w="973"/>
        <w:gridCol w:w="992"/>
        <w:gridCol w:w="3743"/>
      </w:tblGrid>
      <w:tr w:rsidR="00764877" w:rsidRPr="003B132A" w14:paraId="347D3D0D" w14:textId="77777777" w:rsidTr="00F26C46">
        <w:trPr>
          <w:trHeight w:val="759"/>
          <w:tblHeader/>
          <w:jc w:val="center"/>
        </w:trPr>
        <w:tc>
          <w:tcPr>
            <w:tcW w:w="111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D851284" w14:textId="237A0E78"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F26C46">
              <w:rPr>
                <w:rFonts w:ascii="Times New Roman" w:hAnsi="Times New Roman"/>
                <w:b/>
                <w:noProof/>
                <w:sz w:val="18"/>
              </w:rPr>
              <w:t>-</w:t>
            </w:r>
            <w:r>
              <w:rPr>
                <w:rFonts w:ascii="Times New Roman" w:hAnsi="Times New Roman"/>
                <w:b/>
                <w:noProof/>
                <w:sz w:val="18"/>
              </w:rPr>
              <w:t>number</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52418E9"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4DC7D03"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998" w:type="dxa"/>
            <w:vMerge w:val="restart"/>
            <w:tcBorders>
              <w:top w:val="single" w:sz="4" w:space="0" w:color="auto"/>
              <w:left w:val="nil"/>
              <w:bottom w:val="single" w:sz="4" w:space="0" w:color="000000"/>
              <w:right w:val="single" w:sz="4" w:space="0" w:color="auto"/>
            </w:tcBorders>
            <w:shd w:val="clear" w:color="auto" w:fill="BDD7EE"/>
            <w:vAlign w:val="center"/>
            <w:hideMark/>
          </w:tcPr>
          <w:p w14:paraId="69B491D0"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F4ABB78"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157" w:type="dxa"/>
            <w:gridSpan w:val="3"/>
            <w:tcBorders>
              <w:top w:val="single" w:sz="4" w:space="0" w:color="auto"/>
              <w:left w:val="nil"/>
              <w:bottom w:val="single" w:sz="4" w:space="0" w:color="auto"/>
              <w:right w:val="single" w:sz="4" w:space="0" w:color="auto"/>
            </w:tcBorders>
            <w:shd w:val="clear" w:color="auto" w:fill="BDD7EE"/>
            <w:vAlign w:val="center"/>
            <w:hideMark/>
          </w:tcPr>
          <w:p w14:paraId="0106BB72"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965" w:type="dxa"/>
            <w:gridSpan w:val="2"/>
            <w:tcBorders>
              <w:top w:val="single" w:sz="4" w:space="0" w:color="auto"/>
              <w:left w:val="nil"/>
              <w:bottom w:val="single" w:sz="4" w:space="0" w:color="auto"/>
              <w:right w:val="single" w:sz="4" w:space="0" w:color="auto"/>
            </w:tcBorders>
            <w:shd w:val="clear" w:color="auto" w:fill="BDD7EE"/>
            <w:vAlign w:val="center"/>
            <w:hideMark/>
          </w:tcPr>
          <w:p w14:paraId="7A51B783"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7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FA1826"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64877" w:rsidRPr="00E02B5D" w14:paraId="5C01EF19" w14:textId="77777777" w:rsidTr="00F26C46">
        <w:trPr>
          <w:trHeight w:val="532"/>
          <w:tblHeader/>
          <w:jc w:val="center"/>
        </w:trPr>
        <w:tc>
          <w:tcPr>
            <w:tcW w:w="1116" w:type="dxa"/>
            <w:vMerge/>
            <w:tcBorders>
              <w:top w:val="single" w:sz="4" w:space="0" w:color="auto"/>
              <w:left w:val="single" w:sz="4" w:space="0" w:color="auto"/>
              <w:bottom w:val="single" w:sz="4" w:space="0" w:color="000000"/>
              <w:right w:val="single" w:sz="4" w:space="0" w:color="auto"/>
            </w:tcBorders>
            <w:vAlign w:val="center"/>
            <w:hideMark/>
          </w:tcPr>
          <w:p w14:paraId="439BEDFE"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14:paraId="5006140C"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14:paraId="143BE3FB"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998" w:type="dxa"/>
            <w:vMerge/>
            <w:tcBorders>
              <w:top w:val="single" w:sz="4" w:space="0" w:color="auto"/>
              <w:left w:val="nil"/>
              <w:bottom w:val="single" w:sz="4" w:space="0" w:color="000000"/>
              <w:right w:val="single" w:sz="4" w:space="0" w:color="auto"/>
            </w:tcBorders>
            <w:vAlign w:val="center"/>
            <w:hideMark/>
          </w:tcPr>
          <w:p w14:paraId="58A5E2EF"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14:paraId="6EFFC0FD"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285" w:type="dxa"/>
            <w:tcBorders>
              <w:top w:val="nil"/>
              <w:left w:val="nil"/>
              <w:bottom w:val="single" w:sz="4" w:space="0" w:color="auto"/>
              <w:right w:val="single" w:sz="4" w:space="0" w:color="auto"/>
            </w:tcBorders>
            <w:shd w:val="clear" w:color="auto" w:fill="BDD7EE"/>
            <w:vAlign w:val="center"/>
            <w:hideMark/>
          </w:tcPr>
          <w:p w14:paraId="649BA5C4"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tcBorders>
              <w:top w:val="nil"/>
              <w:left w:val="nil"/>
              <w:bottom w:val="single" w:sz="4" w:space="0" w:color="auto"/>
              <w:right w:val="single" w:sz="4" w:space="0" w:color="auto"/>
            </w:tcBorders>
            <w:shd w:val="clear" w:color="auto" w:fill="BDD7EE"/>
            <w:vAlign w:val="center"/>
            <w:hideMark/>
          </w:tcPr>
          <w:p w14:paraId="423333C8"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tcBorders>
              <w:top w:val="nil"/>
              <w:left w:val="nil"/>
              <w:bottom w:val="single" w:sz="4" w:space="0" w:color="auto"/>
              <w:right w:val="single" w:sz="4" w:space="0" w:color="auto"/>
            </w:tcBorders>
            <w:shd w:val="clear" w:color="auto" w:fill="BDD7EE"/>
            <w:vAlign w:val="center"/>
            <w:hideMark/>
          </w:tcPr>
          <w:p w14:paraId="415668DB"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973" w:type="dxa"/>
            <w:tcBorders>
              <w:top w:val="nil"/>
              <w:left w:val="nil"/>
              <w:bottom w:val="single" w:sz="4" w:space="0" w:color="auto"/>
              <w:right w:val="single" w:sz="4" w:space="0" w:color="auto"/>
            </w:tcBorders>
            <w:shd w:val="clear" w:color="auto" w:fill="BDD7EE"/>
            <w:vAlign w:val="center"/>
            <w:hideMark/>
          </w:tcPr>
          <w:p w14:paraId="2B01744C"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992" w:type="dxa"/>
            <w:tcBorders>
              <w:top w:val="nil"/>
              <w:left w:val="nil"/>
              <w:bottom w:val="single" w:sz="4" w:space="0" w:color="auto"/>
              <w:right w:val="single" w:sz="4" w:space="0" w:color="auto"/>
            </w:tcBorders>
            <w:shd w:val="clear" w:color="auto" w:fill="BDD7EE"/>
            <w:vAlign w:val="center"/>
            <w:hideMark/>
          </w:tcPr>
          <w:p w14:paraId="71D7602C"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743" w:type="dxa"/>
            <w:vMerge/>
            <w:tcBorders>
              <w:top w:val="single" w:sz="4" w:space="0" w:color="auto"/>
              <w:left w:val="single" w:sz="4" w:space="0" w:color="auto"/>
              <w:bottom w:val="single" w:sz="4" w:space="0" w:color="auto"/>
              <w:right w:val="single" w:sz="4" w:space="0" w:color="auto"/>
            </w:tcBorders>
            <w:vAlign w:val="center"/>
            <w:hideMark/>
          </w:tcPr>
          <w:p w14:paraId="6E916CA5" w14:textId="77777777" w:rsidR="00764877" w:rsidRPr="00E02B5D" w:rsidRDefault="00764877" w:rsidP="00D16F13">
            <w:pPr>
              <w:spacing w:after="0" w:line="240" w:lineRule="auto"/>
              <w:rPr>
                <w:rFonts w:ascii="Times New Roman" w:eastAsia="Times New Roman" w:hAnsi="Times New Roman" w:cs="Times New Roman"/>
                <w:b/>
                <w:bCs/>
                <w:noProof/>
                <w:sz w:val="18"/>
                <w:szCs w:val="18"/>
                <w:lang w:val="en-GB" w:eastAsia="en-GB"/>
              </w:rPr>
            </w:pPr>
          </w:p>
        </w:tc>
      </w:tr>
      <w:tr w:rsidR="00764877" w:rsidRPr="003B132A" w14:paraId="60D60C94" w14:textId="77777777" w:rsidTr="00F26C46">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513E875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153</w:t>
            </w:r>
          </w:p>
        </w:tc>
        <w:tc>
          <w:tcPr>
            <w:tcW w:w="1635" w:type="dxa"/>
            <w:tcBorders>
              <w:top w:val="nil"/>
              <w:left w:val="nil"/>
              <w:bottom w:val="single" w:sz="4" w:space="0" w:color="auto"/>
              <w:right w:val="single" w:sz="4" w:space="0" w:color="auto"/>
            </w:tcBorders>
            <w:shd w:val="clear" w:color="auto" w:fill="C6EFCE"/>
            <w:noWrap/>
          </w:tcPr>
          <w:p w14:paraId="66DB1F1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Tervishoiusüsteemi vastupanuvõime, juurdepääsetavuse ja jätkusuutlikkuse parandamine – 16816_Reformid ja investeeringute kiirendamine tervishoiusektoris – tagasinõude vähendamine ja tervishoiukulude ratsionaliseerimine</w:t>
            </w:r>
          </w:p>
        </w:tc>
        <w:tc>
          <w:tcPr>
            <w:tcW w:w="966" w:type="dxa"/>
            <w:tcBorders>
              <w:top w:val="nil"/>
              <w:left w:val="nil"/>
              <w:bottom w:val="single" w:sz="4" w:space="0" w:color="auto"/>
              <w:right w:val="single" w:sz="4" w:space="0" w:color="auto"/>
            </w:tcBorders>
            <w:shd w:val="clear" w:color="auto" w:fill="C6EFCE"/>
            <w:noWrap/>
          </w:tcPr>
          <w:p w14:paraId="7F43E92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998" w:type="dxa"/>
            <w:tcBorders>
              <w:top w:val="nil"/>
              <w:left w:val="nil"/>
              <w:bottom w:val="single" w:sz="4" w:space="0" w:color="auto"/>
              <w:right w:val="single" w:sz="4" w:space="0" w:color="auto"/>
            </w:tcBorders>
            <w:shd w:val="clear" w:color="auto" w:fill="C6EFCE"/>
            <w:noWrap/>
          </w:tcPr>
          <w:p w14:paraId="6B54616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Tagasinõudmine – õigusaktide jõustumine</w:t>
            </w:r>
          </w:p>
        </w:tc>
        <w:tc>
          <w:tcPr>
            <w:tcW w:w="1717" w:type="dxa"/>
            <w:tcBorders>
              <w:top w:val="nil"/>
              <w:left w:val="nil"/>
              <w:bottom w:val="single" w:sz="4" w:space="0" w:color="auto"/>
              <w:right w:val="single" w:sz="4" w:space="0" w:color="auto"/>
            </w:tcBorders>
            <w:shd w:val="clear" w:color="auto" w:fill="C6EFCE"/>
            <w:noWrap/>
          </w:tcPr>
          <w:p w14:paraId="1F2A479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Muudetud õigusakti jõustumine, millega kehtestatakse riski jagamine ja siduvad eesmärgid minimaalseks tagasinõudmise vähendamiseks vastavalt kirjelduses esitatud ajakavale. </w:t>
            </w:r>
          </w:p>
        </w:tc>
        <w:tc>
          <w:tcPr>
            <w:tcW w:w="1285" w:type="dxa"/>
            <w:tcBorders>
              <w:top w:val="nil"/>
              <w:left w:val="nil"/>
              <w:bottom w:val="single" w:sz="4" w:space="0" w:color="auto"/>
              <w:right w:val="single" w:sz="4" w:space="0" w:color="auto"/>
            </w:tcBorders>
            <w:shd w:val="clear" w:color="auto" w:fill="C6EFCE"/>
            <w:noWrap/>
          </w:tcPr>
          <w:p w14:paraId="34089610"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4871BE7A"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4EA51FEB"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14:paraId="2FC64CC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3. kv</w:t>
            </w:r>
          </w:p>
        </w:tc>
        <w:tc>
          <w:tcPr>
            <w:tcW w:w="992" w:type="dxa"/>
            <w:tcBorders>
              <w:top w:val="nil"/>
              <w:left w:val="nil"/>
              <w:bottom w:val="single" w:sz="4" w:space="0" w:color="auto"/>
              <w:right w:val="single" w:sz="4" w:space="0" w:color="auto"/>
            </w:tcBorders>
            <w:shd w:val="clear" w:color="auto" w:fill="C6EFCE"/>
            <w:noWrap/>
          </w:tcPr>
          <w:p w14:paraId="657CDA1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2021</w:t>
            </w:r>
          </w:p>
        </w:tc>
        <w:tc>
          <w:tcPr>
            <w:tcW w:w="3743" w:type="dxa"/>
            <w:tcBorders>
              <w:top w:val="nil"/>
              <w:left w:val="nil"/>
              <w:bottom w:val="single" w:sz="4" w:space="0" w:color="auto"/>
              <w:right w:val="single" w:sz="4" w:space="0" w:color="auto"/>
            </w:tcBorders>
            <w:shd w:val="clear" w:color="auto" w:fill="C6EFCE"/>
            <w:noWrap/>
          </w:tcPr>
          <w:p w14:paraId="01C7961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Tagasinõude arvutamisel riskijagamist käsitleva õigusraamistiku (esmase õigusakti) jõustumine, seades siduvaks eesmärgiks tagasinõude vähendamise järgmistel aastatel. Reformi eesmärk on vähendada tagasinõutavaid summasid vähemalt 50 000 000 euro võrra (2022), 150 000 000 euro võrra (2023), 300 000 000 euro võrra (2024) ja 400 000 000 euro võrra (2025) võrreldes 2020. aasta tasemega. Kui seda ei saavutata, ei nõuta igal aastal eesmärgiks seatud vähendamise ja tegeliku vähendamise vahet ravimitööstuselt tagasi ning asjaomane summa kaetakse riigieelarvest kuni tagasinõutavate summade sihipärase vähendamiseni.</w:t>
            </w:r>
          </w:p>
        </w:tc>
      </w:tr>
      <w:tr w:rsidR="00764877" w:rsidRPr="003B132A" w14:paraId="06CE5AEF" w14:textId="77777777" w:rsidTr="00F26C46">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0EAD7F4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154</w:t>
            </w:r>
          </w:p>
        </w:tc>
        <w:tc>
          <w:tcPr>
            <w:tcW w:w="1635" w:type="dxa"/>
            <w:tcBorders>
              <w:top w:val="nil"/>
              <w:left w:val="nil"/>
              <w:bottom w:val="single" w:sz="4" w:space="0" w:color="auto"/>
              <w:right w:val="single" w:sz="4" w:space="0" w:color="auto"/>
            </w:tcBorders>
            <w:shd w:val="clear" w:color="auto" w:fill="C6EFCE"/>
            <w:noWrap/>
          </w:tcPr>
          <w:p w14:paraId="30F7CA4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Tervishoiusüsteemi vastupanuvõime, juurdepääsetavuse ja jätkusuutlikkuse parandamine – 16816_Reformid ja investeeringute kiirendamine tervishoiusektoris – tagasinõude vähendamine ja tervishoiukulude ratsionaliseerimine</w:t>
            </w:r>
          </w:p>
        </w:tc>
        <w:tc>
          <w:tcPr>
            <w:tcW w:w="966" w:type="dxa"/>
            <w:tcBorders>
              <w:top w:val="nil"/>
              <w:left w:val="nil"/>
              <w:bottom w:val="single" w:sz="4" w:space="0" w:color="auto"/>
              <w:right w:val="single" w:sz="4" w:space="0" w:color="auto"/>
            </w:tcBorders>
            <w:shd w:val="clear" w:color="auto" w:fill="C6EFCE"/>
            <w:noWrap/>
          </w:tcPr>
          <w:p w14:paraId="2D174A8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998" w:type="dxa"/>
            <w:tcBorders>
              <w:top w:val="nil"/>
              <w:left w:val="nil"/>
              <w:bottom w:val="single" w:sz="4" w:space="0" w:color="auto"/>
              <w:right w:val="single" w:sz="4" w:space="0" w:color="auto"/>
            </w:tcBorders>
            <w:shd w:val="clear" w:color="auto" w:fill="C6EFCE"/>
            <w:noWrap/>
          </w:tcPr>
          <w:p w14:paraId="7192DCE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Tagasinõutud summa väheneb 50 000 000 võrra – 1. etapp</w:t>
            </w:r>
          </w:p>
        </w:tc>
        <w:tc>
          <w:tcPr>
            <w:tcW w:w="1717" w:type="dxa"/>
            <w:tcBorders>
              <w:top w:val="nil"/>
              <w:left w:val="nil"/>
              <w:bottom w:val="single" w:sz="4" w:space="0" w:color="auto"/>
              <w:right w:val="single" w:sz="4" w:space="0" w:color="auto"/>
            </w:tcBorders>
            <w:shd w:val="clear" w:color="auto" w:fill="C6EFCE"/>
            <w:noWrap/>
          </w:tcPr>
          <w:p w14:paraId="2A309AA7"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1285" w:type="dxa"/>
            <w:tcBorders>
              <w:top w:val="nil"/>
              <w:left w:val="nil"/>
              <w:bottom w:val="single" w:sz="4" w:space="0" w:color="auto"/>
              <w:right w:val="single" w:sz="4" w:space="0" w:color="auto"/>
            </w:tcBorders>
            <w:shd w:val="clear" w:color="auto" w:fill="C6EFCE"/>
            <w:noWrap/>
          </w:tcPr>
          <w:p w14:paraId="25A9B65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Tagasinõutud summa vähenemine võrreldes 2020. aasta tasemega (miljonites eurodes)</w:t>
            </w:r>
          </w:p>
        </w:tc>
        <w:tc>
          <w:tcPr>
            <w:tcW w:w="966" w:type="dxa"/>
            <w:tcBorders>
              <w:top w:val="nil"/>
              <w:left w:val="nil"/>
              <w:bottom w:val="single" w:sz="4" w:space="0" w:color="auto"/>
              <w:right w:val="single" w:sz="4" w:space="0" w:color="auto"/>
            </w:tcBorders>
            <w:shd w:val="clear" w:color="auto" w:fill="C6EFCE"/>
            <w:noWrap/>
          </w:tcPr>
          <w:p w14:paraId="7AC4C78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0</w:t>
            </w:r>
          </w:p>
        </w:tc>
        <w:tc>
          <w:tcPr>
            <w:tcW w:w="906" w:type="dxa"/>
            <w:tcBorders>
              <w:top w:val="nil"/>
              <w:left w:val="nil"/>
              <w:bottom w:val="single" w:sz="4" w:space="0" w:color="auto"/>
              <w:right w:val="single" w:sz="4" w:space="0" w:color="auto"/>
            </w:tcBorders>
            <w:shd w:val="clear" w:color="auto" w:fill="C6EFCE"/>
            <w:noWrap/>
          </w:tcPr>
          <w:p w14:paraId="6A27480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50</w:t>
            </w:r>
          </w:p>
        </w:tc>
        <w:tc>
          <w:tcPr>
            <w:tcW w:w="973" w:type="dxa"/>
            <w:tcBorders>
              <w:top w:val="nil"/>
              <w:left w:val="nil"/>
              <w:bottom w:val="single" w:sz="4" w:space="0" w:color="auto"/>
              <w:right w:val="single" w:sz="4" w:space="0" w:color="auto"/>
            </w:tcBorders>
            <w:shd w:val="clear" w:color="auto" w:fill="C6EFCE"/>
            <w:noWrap/>
          </w:tcPr>
          <w:p w14:paraId="00041BF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992" w:type="dxa"/>
            <w:tcBorders>
              <w:top w:val="nil"/>
              <w:left w:val="nil"/>
              <w:bottom w:val="single" w:sz="4" w:space="0" w:color="auto"/>
              <w:right w:val="single" w:sz="4" w:space="0" w:color="auto"/>
            </w:tcBorders>
            <w:shd w:val="clear" w:color="auto" w:fill="C6EFCE"/>
            <w:noWrap/>
          </w:tcPr>
          <w:p w14:paraId="38B205F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2023</w:t>
            </w:r>
          </w:p>
        </w:tc>
        <w:tc>
          <w:tcPr>
            <w:tcW w:w="3743" w:type="dxa"/>
            <w:tcBorders>
              <w:top w:val="nil"/>
              <w:left w:val="nil"/>
              <w:bottom w:val="single" w:sz="4" w:space="0" w:color="auto"/>
              <w:right w:val="single" w:sz="4" w:space="0" w:color="auto"/>
            </w:tcBorders>
            <w:shd w:val="clear" w:color="auto" w:fill="C6EFCE"/>
            <w:noWrap/>
          </w:tcPr>
          <w:p w14:paraId="209B746E" w14:textId="360A982C"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Jõustada varem vastu võetud tõhusust suurendavad meetmed, et vähendada 2022. aasta ravimite tagasinõudmist nii ambulatoorsete kui ka statsionaarsete ravimite puhul 50 000 000 euro võrra võrreldes 2020. aasta tasemega. Kui seda ei saavutata, ei nõuta igal aastal eesmärgiks seatud vähendamise ja tegeliku vähendamise vahet ravimitööstuselt tagasi ning asjaomane summa kaetakse riigieelarvest kuni 50 000 000 euro ulatuses. </w:t>
            </w:r>
          </w:p>
        </w:tc>
      </w:tr>
      <w:tr w:rsidR="00764877" w:rsidRPr="003B132A" w14:paraId="6C6C1FD3" w14:textId="77777777" w:rsidTr="00F26C46">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3583346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155</w:t>
            </w:r>
          </w:p>
        </w:tc>
        <w:tc>
          <w:tcPr>
            <w:tcW w:w="1635" w:type="dxa"/>
            <w:tcBorders>
              <w:top w:val="nil"/>
              <w:left w:val="nil"/>
              <w:bottom w:val="single" w:sz="4" w:space="0" w:color="auto"/>
              <w:right w:val="single" w:sz="4" w:space="0" w:color="auto"/>
            </w:tcBorders>
            <w:shd w:val="clear" w:color="auto" w:fill="C6EFCE"/>
            <w:noWrap/>
          </w:tcPr>
          <w:p w14:paraId="057F1CE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Tervishoiusüsteemi vastupanuvõime, juurdepääsetavuse ja jätkusuutlikkuse parandamine – 16816_Reformid ja investeeringute kiirendamine tervishoiusektoris – tagasinõude vähendamine ja tervishoiukulude ratsionaliseerimine</w:t>
            </w:r>
          </w:p>
        </w:tc>
        <w:tc>
          <w:tcPr>
            <w:tcW w:w="966" w:type="dxa"/>
            <w:tcBorders>
              <w:top w:val="nil"/>
              <w:left w:val="nil"/>
              <w:bottom w:val="single" w:sz="4" w:space="0" w:color="auto"/>
              <w:right w:val="single" w:sz="4" w:space="0" w:color="auto"/>
            </w:tcBorders>
            <w:shd w:val="clear" w:color="auto" w:fill="C6EFCE"/>
            <w:noWrap/>
          </w:tcPr>
          <w:p w14:paraId="7883B11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998" w:type="dxa"/>
            <w:tcBorders>
              <w:top w:val="nil"/>
              <w:left w:val="nil"/>
              <w:bottom w:val="single" w:sz="4" w:space="0" w:color="auto"/>
              <w:right w:val="single" w:sz="4" w:space="0" w:color="auto"/>
            </w:tcBorders>
            <w:shd w:val="clear" w:color="auto" w:fill="C6EFCE"/>
            <w:noWrap/>
          </w:tcPr>
          <w:p w14:paraId="6F2C9E0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Tagasinõude vähenemine 150 000 000 - 2. etapp</w:t>
            </w:r>
          </w:p>
        </w:tc>
        <w:tc>
          <w:tcPr>
            <w:tcW w:w="1717" w:type="dxa"/>
            <w:tcBorders>
              <w:top w:val="nil"/>
              <w:left w:val="nil"/>
              <w:bottom w:val="single" w:sz="4" w:space="0" w:color="auto"/>
              <w:right w:val="single" w:sz="4" w:space="0" w:color="auto"/>
            </w:tcBorders>
            <w:shd w:val="clear" w:color="auto" w:fill="C6EFCE"/>
            <w:noWrap/>
          </w:tcPr>
          <w:p w14:paraId="1DB7966A"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1285" w:type="dxa"/>
            <w:tcBorders>
              <w:top w:val="nil"/>
              <w:left w:val="nil"/>
              <w:bottom w:val="single" w:sz="4" w:space="0" w:color="auto"/>
              <w:right w:val="single" w:sz="4" w:space="0" w:color="auto"/>
            </w:tcBorders>
            <w:shd w:val="clear" w:color="auto" w:fill="C6EFCE"/>
            <w:noWrap/>
          </w:tcPr>
          <w:p w14:paraId="27121D9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Tagasinõutud summa vähenemine võrreldes 2020. aasta tasemega (miljonites eurodes)</w:t>
            </w:r>
          </w:p>
        </w:tc>
        <w:tc>
          <w:tcPr>
            <w:tcW w:w="966" w:type="dxa"/>
            <w:tcBorders>
              <w:top w:val="nil"/>
              <w:left w:val="nil"/>
              <w:bottom w:val="single" w:sz="4" w:space="0" w:color="auto"/>
              <w:right w:val="single" w:sz="4" w:space="0" w:color="auto"/>
            </w:tcBorders>
            <w:shd w:val="clear" w:color="auto" w:fill="C6EFCE"/>
            <w:noWrap/>
          </w:tcPr>
          <w:p w14:paraId="7D056BA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0</w:t>
            </w:r>
          </w:p>
        </w:tc>
        <w:tc>
          <w:tcPr>
            <w:tcW w:w="906" w:type="dxa"/>
            <w:tcBorders>
              <w:top w:val="nil"/>
              <w:left w:val="nil"/>
              <w:bottom w:val="single" w:sz="4" w:space="0" w:color="auto"/>
              <w:right w:val="single" w:sz="4" w:space="0" w:color="auto"/>
            </w:tcBorders>
            <w:shd w:val="clear" w:color="auto" w:fill="C6EFCE"/>
            <w:noWrap/>
          </w:tcPr>
          <w:p w14:paraId="54003BB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150</w:t>
            </w:r>
          </w:p>
        </w:tc>
        <w:tc>
          <w:tcPr>
            <w:tcW w:w="973" w:type="dxa"/>
            <w:tcBorders>
              <w:top w:val="nil"/>
              <w:left w:val="nil"/>
              <w:bottom w:val="single" w:sz="4" w:space="0" w:color="auto"/>
              <w:right w:val="single" w:sz="4" w:space="0" w:color="auto"/>
            </w:tcBorders>
            <w:shd w:val="clear" w:color="auto" w:fill="C6EFCE"/>
            <w:noWrap/>
          </w:tcPr>
          <w:p w14:paraId="2800998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992" w:type="dxa"/>
            <w:tcBorders>
              <w:top w:val="nil"/>
              <w:left w:val="nil"/>
              <w:bottom w:val="single" w:sz="4" w:space="0" w:color="auto"/>
              <w:right w:val="single" w:sz="4" w:space="0" w:color="auto"/>
            </w:tcBorders>
            <w:shd w:val="clear" w:color="auto" w:fill="C6EFCE"/>
            <w:noWrap/>
          </w:tcPr>
          <w:p w14:paraId="3A0F928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2024</w:t>
            </w:r>
          </w:p>
        </w:tc>
        <w:tc>
          <w:tcPr>
            <w:tcW w:w="3743" w:type="dxa"/>
            <w:tcBorders>
              <w:top w:val="nil"/>
              <w:left w:val="nil"/>
              <w:bottom w:val="single" w:sz="4" w:space="0" w:color="auto"/>
              <w:right w:val="single" w:sz="4" w:space="0" w:color="auto"/>
            </w:tcBorders>
            <w:shd w:val="clear" w:color="auto" w:fill="C6EFCE"/>
            <w:noWrap/>
          </w:tcPr>
          <w:p w14:paraId="0275633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Jõustada varem vastu võetud tõhusust suurendavad meetmed, et vähendada 2023. aasta ravimite tagasinõudmist nii ambulatoorsete kui ka statsionaarsete ravimite puhul 150 000 000 euro võrra võrreldes 2020. aasta tasemega, toetades tervishoiusüsteemi vastupanuvõimet. Kui seda ei saavutata, ei nõuta igal aastal eesmärgiks seatud vähendamise ja tegeliku vähendamise vahet ravimitööstuselt tagasi ning asjaomane summa kaetakse riigieelarvest kuni 150 000 000 euro ulatuses.</w:t>
            </w:r>
          </w:p>
        </w:tc>
      </w:tr>
      <w:tr w:rsidR="00764877" w:rsidRPr="003B132A" w14:paraId="6681F9D6" w14:textId="77777777" w:rsidTr="00F26C46">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0B0DE29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156</w:t>
            </w:r>
          </w:p>
        </w:tc>
        <w:tc>
          <w:tcPr>
            <w:tcW w:w="1635" w:type="dxa"/>
            <w:tcBorders>
              <w:top w:val="nil"/>
              <w:left w:val="nil"/>
              <w:bottom w:val="single" w:sz="4" w:space="0" w:color="auto"/>
              <w:right w:val="single" w:sz="4" w:space="0" w:color="auto"/>
            </w:tcBorders>
            <w:shd w:val="clear" w:color="auto" w:fill="C6EFCE"/>
            <w:noWrap/>
          </w:tcPr>
          <w:p w14:paraId="2EBB35F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Tervishoiusüsteemi vastupanuvõime, juurdepääsetavuse ja jätkusuutlikkuse parandamine – 16816_Reformid ja investeeringute kiirendamine tervishoiusektoris – tagasinõude vähendamine ja tervishoiukulude ratsionaliseerimine</w:t>
            </w:r>
          </w:p>
        </w:tc>
        <w:tc>
          <w:tcPr>
            <w:tcW w:w="966" w:type="dxa"/>
            <w:tcBorders>
              <w:top w:val="nil"/>
              <w:left w:val="nil"/>
              <w:bottom w:val="single" w:sz="4" w:space="0" w:color="auto"/>
              <w:right w:val="single" w:sz="4" w:space="0" w:color="auto"/>
            </w:tcBorders>
            <w:shd w:val="clear" w:color="auto" w:fill="C6EFCE"/>
            <w:noWrap/>
          </w:tcPr>
          <w:p w14:paraId="5F112C0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998" w:type="dxa"/>
            <w:tcBorders>
              <w:top w:val="nil"/>
              <w:left w:val="nil"/>
              <w:bottom w:val="single" w:sz="4" w:space="0" w:color="auto"/>
              <w:right w:val="single" w:sz="4" w:space="0" w:color="auto"/>
            </w:tcBorders>
            <w:shd w:val="clear" w:color="auto" w:fill="C6EFCE"/>
            <w:noWrap/>
          </w:tcPr>
          <w:p w14:paraId="30D2DB5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Uurimis- ja andmefarmaatsiatooted</w:t>
            </w:r>
          </w:p>
          <w:p w14:paraId="2435676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investeerimiskindlus 2021-23</w:t>
            </w:r>
          </w:p>
        </w:tc>
        <w:tc>
          <w:tcPr>
            <w:tcW w:w="1717" w:type="dxa"/>
            <w:tcBorders>
              <w:top w:val="nil"/>
              <w:left w:val="nil"/>
              <w:bottom w:val="single" w:sz="4" w:space="0" w:color="auto"/>
              <w:right w:val="single" w:sz="4" w:space="0" w:color="auto"/>
            </w:tcBorders>
            <w:shd w:val="clear" w:color="auto" w:fill="C6EFCE"/>
            <w:noWrap/>
          </w:tcPr>
          <w:p w14:paraId="2FCDC419"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1285" w:type="dxa"/>
            <w:tcBorders>
              <w:top w:val="nil"/>
              <w:left w:val="nil"/>
              <w:bottom w:val="single" w:sz="4" w:space="0" w:color="auto"/>
              <w:right w:val="single" w:sz="4" w:space="0" w:color="auto"/>
            </w:tcBorders>
            <w:shd w:val="clear" w:color="auto" w:fill="C6EFCE"/>
            <w:noWrap/>
          </w:tcPr>
          <w:p w14:paraId="03E8C47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Investeering (miljonites eurodes), mida rakendatakse tasaarvestuste kaudu, mis on samaväärne tagasinõutud summadega</w:t>
            </w:r>
          </w:p>
        </w:tc>
        <w:tc>
          <w:tcPr>
            <w:tcW w:w="966" w:type="dxa"/>
            <w:tcBorders>
              <w:top w:val="nil"/>
              <w:left w:val="nil"/>
              <w:bottom w:val="single" w:sz="4" w:space="0" w:color="auto"/>
              <w:right w:val="single" w:sz="4" w:space="0" w:color="auto"/>
            </w:tcBorders>
            <w:shd w:val="clear" w:color="auto" w:fill="C6EFCE"/>
            <w:noWrap/>
          </w:tcPr>
          <w:p w14:paraId="13C57A0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150</w:t>
            </w:r>
          </w:p>
        </w:tc>
        <w:tc>
          <w:tcPr>
            <w:tcW w:w="906" w:type="dxa"/>
            <w:tcBorders>
              <w:top w:val="nil"/>
              <w:left w:val="nil"/>
              <w:bottom w:val="single" w:sz="4" w:space="0" w:color="auto"/>
              <w:right w:val="single" w:sz="4" w:space="0" w:color="auto"/>
            </w:tcBorders>
            <w:shd w:val="clear" w:color="auto" w:fill="C6EFCE"/>
            <w:noWrap/>
          </w:tcPr>
          <w:p w14:paraId="19E6F08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250</w:t>
            </w:r>
          </w:p>
        </w:tc>
        <w:tc>
          <w:tcPr>
            <w:tcW w:w="973" w:type="dxa"/>
            <w:tcBorders>
              <w:top w:val="nil"/>
              <w:left w:val="nil"/>
              <w:bottom w:val="single" w:sz="4" w:space="0" w:color="auto"/>
              <w:right w:val="single" w:sz="4" w:space="0" w:color="auto"/>
            </w:tcBorders>
            <w:shd w:val="clear" w:color="auto" w:fill="C6EFCE"/>
            <w:noWrap/>
          </w:tcPr>
          <w:p w14:paraId="4BA6354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992" w:type="dxa"/>
            <w:tcBorders>
              <w:top w:val="nil"/>
              <w:left w:val="nil"/>
              <w:bottom w:val="single" w:sz="4" w:space="0" w:color="auto"/>
              <w:right w:val="single" w:sz="4" w:space="0" w:color="auto"/>
            </w:tcBorders>
            <w:shd w:val="clear" w:color="auto" w:fill="C6EFCE"/>
            <w:noWrap/>
          </w:tcPr>
          <w:p w14:paraId="42577EA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2024</w:t>
            </w:r>
          </w:p>
        </w:tc>
        <w:tc>
          <w:tcPr>
            <w:tcW w:w="3743" w:type="dxa"/>
            <w:tcBorders>
              <w:top w:val="nil"/>
              <w:left w:val="nil"/>
              <w:bottom w:val="single" w:sz="4" w:space="0" w:color="auto"/>
              <w:right w:val="single" w:sz="4" w:space="0" w:color="auto"/>
            </w:tcBorders>
            <w:shd w:val="clear" w:color="auto" w:fill="C6EFCE"/>
            <w:noWrap/>
          </w:tcPr>
          <w:p w14:paraId="31A3731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Teha investeeringuid ravimite teadus- ja arendustegevusse summas 250 000 000 eurot. Investeeringuid tehakse tasaarvestustena, mille summa on samaväärne eelneva kolme aasta tagasimaksetega (100 000 000 eurot 2021. aastal, 75 000 000 eurot 2022. aastal, 75 000 000 eurot 2023. aastal) kuni kogusummani, mis ei ületa 250 000 000 eurot).</w:t>
            </w:r>
          </w:p>
        </w:tc>
      </w:tr>
      <w:tr w:rsidR="00764877" w:rsidRPr="003B132A" w14:paraId="224371BA" w14:textId="77777777" w:rsidTr="00F26C46">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235A7C7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157</w:t>
            </w:r>
          </w:p>
        </w:tc>
        <w:tc>
          <w:tcPr>
            <w:tcW w:w="1635" w:type="dxa"/>
            <w:tcBorders>
              <w:top w:val="nil"/>
              <w:left w:val="nil"/>
              <w:bottom w:val="single" w:sz="4" w:space="0" w:color="auto"/>
              <w:right w:val="single" w:sz="4" w:space="0" w:color="auto"/>
            </w:tcBorders>
            <w:shd w:val="clear" w:color="auto" w:fill="C6EFCE"/>
            <w:noWrap/>
          </w:tcPr>
          <w:p w14:paraId="616555B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Tervishoiusüsteemi vastupanuvõime, juurdepääsetavuse ja jätkusuutlikkuse parandamine – 16816_Reformid ja investeeringute kiirendamine tervishoiusektoris – tagasinõude vähendamine ja tervishoiukulude ratsionaliseerimine</w:t>
            </w:r>
          </w:p>
        </w:tc>
        <w:tc>
          <w:tcPr>
            <w:tcW w:w="966" w:type="dxa"/>
            <w:tcBorders>
              <w:top w:val="nil"/>
              <w:left w:val="nil"/>
              <w:bottom w:val="single" w:sz="4" w:space="0" w:color="auto"/>
              <w:right w:val="single" w:sz="4" w:space="0" w:color="auto"/>
            </w:tcBorders>
            <w:shd w:val="clear" w:color="auto" w:fill="C6EFCE"/>
            <w:noWrap/>
          </w:tcPr>
          <w:p w14:paraId="0795423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998" w:type="dxa"/>
            <w:tcBorders>
              <w:top w:val="nil"/>
              <w:left w:val="nil"/>
              <w:bottom w:val="single" w:sz="4" w:space="0" w:color="auto"/>
              <w:right w:val="single" w:sz="4" w:space="0" w:color="auto"/>
            </w:tcBorders>
            <w:shd w:val="clear" w:color="auto" w:fill="C6EFCE"/>
            <w:noWrap/>
          </w:tcPr>
          <w:p w14:paraId="041911F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Tagasinõudmine väheneb 300 000 000 võrra – 3. etapp</w:t>
            </w:r>
          </w:p>
        </w:tc>
        <w:tc>
          <w:tcPr>
            <w:tcW w:w="1717" w:type="dxa"/>
            <w:tcBorders>
              <w:top w:val="nil"/>
              <w:left w:val="nil"/>
              <w:bottom w:val="single" w:sz="4" w:space="0" w:color="auto"/>
              <w:right w:val="single" w:sz="4" w:space="0" w:color="auto"/>
            </w:tcBorders>
            <w:shd w:val="clear" w:color="auto" w:fill="C6EFCE"/>
            <w:noWrap/>
          </w:tcPr>
          <w:p w14:paraId="50D2109C"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1285" w:type="dxa"/>
            <w:tcBorders>
              <w:top w:val="nil"/>
              <w:left w:val="nil"/>
              <w:bottom w:val="single" w:sz="4" w:space="0" w:color="auto"/>
              <w:right w:val="single" w:sz="4" w:space="0" w:color="auto"/>
            </w:tcBorders>
            <w:shd w:val="clear" w:color="auto" w:fill="C6EFCE"/>
            <w:noWrap/>
          </w:tcPr>
          <w:p w14:paraId="25D4042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Tagasinõutud summa vähenemine võrreldes 2020. aasta tasemega (miljonites eurodes)</w:t>
            </w:r>
          </w:p>
        </w:tc>
        <w:tc>
          <w:tcPr>
            <w:tcW w:w="966" w:type="dxa"/>
            <w:tcBorders>
              <w:top w:val="nil"/>
              <w:left w:val="nil"/>
              <w:bottom w:val="single" w:sz="4" w:space="0" w:color="auto"/>
              <w:right w:val="single" w:sz="4" w:space="0" w:color="auto"/>
            </w:tcBorders>
            <w:shd w:val="clear" w:color="auto" w:fill="C6EFCE"/>
            <w:noWrap/>
          </w:tcPr>
          <w:p w14:paraId="51AFC04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250</w:t>
            </w:r>
          </w:p>
        </w:tc>
        <w:tc>
          <w:tcPr>
            <w:tcW w:w="906" w:type="dxa"/>
            <w:tcBorders>
              <w:top w:val="nil"/>
              <w:left w:val="nil"/>
              <w:bottom w:val="single" w:sz="4" w:space="0" w:color="auto"/>
              <w:right w:val="single" w:sz="4" w:space="0" w:color="auto"/>
            </w:tcBorders>
            <w:shd w:val="clear" w:color="auto" w:fill="C6EFCE"/>
            <w:noWrap/>
          </w:tcPr>
          <w:p w14:paraId="5E6F5C0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300</w:t>
            </w:r>
          </w:p>
        </w:tc>
        <w:tc>
          <w:tcPr>
            <w:tcW w:w="973" w:type="dxa"/>
            <w:tcBorders>
              <w:top w:val="nil"/>
              <w:left w:val="nil"/>
              <w:bottom w:val="single" w:sz="4" w:space="0" w:color="auto"/>
              <w:right w:val="single" w:sz="4" w:space="0" w:color="auto"/>
            </w:tcBorders>
            <w:shd w:val="clear" w:color="auto" w:fill="C6EFCE"/>
            <w:noWrap/>
          </w:tcPr>
          <w:p w14:paraId="712A26E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992" w:type="dxa"/>
            <w:tcBorders>
              <w:top w:val="nil"/>
              <w:left w:val="nil"/>
              <w:bottom w:val="single" w:sz="4" w:space="0" w:color="auto"/>
              <w:right w:val="single" w:sz="4" w:space="0" w:color="auto"/>
            </w:tcBorders>
            <w:shd w:val="clear" w:color="auto" w:fill="C6EFCE"/>
            <w:noWrap/>
          </w:tcPr>
          <w:p w14:paraId="7924164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3743" w:type="dxa"/>
            <w:tcBorders>
              <w:top w:val="nil"/>
              <w:left w:val="nil"/>
              <w:bottom w:val="single" w:sz="4" w:space="0" w:color="auto"/>
              <w:right w:val="single" w:sz="4" w:space="0" w:color="auto"/>
            </w:tcBorders>
            <w:shd w:val="clear" w:color="auto" w:fill="C6EFCE"/>
            <w:noWrap/>
          </w:tcPr>
          <w:p w14:paraId="7877AD6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Jõustada varem vastu võetud tõhusust suurendavad meetmed, et vähendada 2024. aasta ravimite tagasinõudmist nii ambulatoorsete kui ka statsionaarsete ravimite puhul 300 000 000 euro võrra võrreldes 2020. aasta tasemega, toetades tervishoiusüsteemi vastupanuvõimet. Kui seda ei saavutata, ei nõuta igal aastal eesmärgiks seatud vähendamise ja tegeliku vähendamise vahet ravimitööstuselt tagasi ning asjaomane summa kaetakse riigieelarvest kuni 300 000 000 euro ulatuses.</w:t>
            </w:r>
          </w:p>
        </w:tc>
      </w:tr>
      <w:tr w:rsidR="00764877" w:rsidRPr="003B132A" w14:paraId="5FDBBC2F" w14:textId="77777777" w:rsidTr="00F26C46">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06EC06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158</w:t>
            </w:r>
          </w:p>
        </w:tc>
        <w:tc>
          <w:tcPr>
            <w:tcW w:w="1635" w:type="dxa"/>
            <w:tcBorders>
              <w:top w:val="single" w:sz="4" w:space="0" w:color="auto"/>
              <w:left w:val="nil"/>
              <w:bottom w:val="single" w:sz="4" w:space="0" w:color="auto"/>
              <w:right w:val="single" w:sz="4" w:space="0" w:color="auto"/>
            </w:tcBorders>
            <w:shd w:val="clear" w:color="auto" w:fill="C6EFCE"/>
            <w:noWrap/>
          </w:tcPr>
          <w:p w14:paraId="03D8862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Tervishoiusüsteemi vastupanuvõime, juurdepääsetavuse ja jätkusuutlikkuse parandamine – 16816_Reformid ja investeeringute kiirendamine tervishoiusektoris – tagasinõude vähendamine ja tervishoiukulude ratsionaliseerimine</w:t>
            </w:r>
          </w:p>
        </w:tc>
        <w:tc>
          <w:tcPr>
            <w:tcW w:w="966" w:type="dxa"/>
            <w:tcBorders>
              <w:top w:val="single" w:sz="4" w:space="0" w:color="auto"/>
              <w:left w:val="nil"/>
              <w:bottom w:val="single" w:sz="4" w:space="0" w:color="auto"/>
              <w:right w:val="single" w:sz="4" w:space="0" w:color="auto"/>
            </w:tcBorders>
            <w:shd w:val="clear" w:color="auto" w:fill="C6EFCE"/>
            <w:noWrap/>
          </w:tcPr>
          <w:p w14:paraId="249FC31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Siht</w:t>
            </w:r>
          </w:p>
        </w:tc>
        <w:tc>
          <w:tcPr>
            <w:tcW w:w="1998" w:type="dxa"/>
            <w:tcBorders>
              <w:top w:val="single" w:sz="4" w:space="0" w:color="auto"/>
              <w:left w:val="nil"/>
              <w:bottom w:val="single" w:sz="4" w:space="0" w:color="auto"/>
              <w:right w:val="single" w:sz="4" w:space="0" w:color="auto"/>
            </w:tcBorders>
            <w:shd w:val="clear" w:color="auto" w:fill="C6EFCE"/>
            <w:noWrap/>
          </w:tcPr>
          <w:p w14:paraId="200B136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Tagasinõudmise vähendamine 400 000 000 võrra – 4. etapp</w:t>
            </w:r>
          </w:p>
        </w:tc>
        <w:tc>
          <w:tcPr>
            <w:tcW w:w="1717" w:type="dxa"/>
            <w:tcBorders>
              <w:top w:val="single" w:sz="4" w:space="0" w:color="auto"/>
              <w:left w:val="nil"/>
              <w:bottom w:val="single" w:sz="4" w:space="0" w:color="auto"/>
              <w:right w:val="single" w:sz="4" w:space="0" w:color="auto"/>
            </w:tcBorders>
            <w:shd w:val="clear" w:color="auto" w:fill="C6EFCE"/>
            <w:noWrap/>
          </w:tcPr>
          <w:p w14:paraId="63F53BE6"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1285" w:type="dxa"/>
            <w:tcBorders>
              <w:top w:val="single" w:sz="4" w:space="0" w:color="auto"/>
              <w:left w:val="nil"/>
              <w:bottom w:val="single" w:sz="4" w:space="0" w:color="auto"/>
              <w:right w:val="single" w:sz="4" w:space="0" w:color="auto"/>
            </w:tcBorders>
            <w:shd w:val="clear" w:color="auto" w:fill="C6EFCE"/>
            <w:noWrap/>
          </w:tcPr>
          <w:p w14:paraId="5207D7B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Tagasinõutud summa vähenemine võrreldes 2020. aasta tasemega (miljonites eurodes)</w:t>
            </w:r>
          </w:p>
        </w:tc>
        <w:tc>
          <w:tcPr>
            <w:tcW w:w="966" w:type="dxa"/>
            <w:tcBorders>
              <w:top w:val="single" w:sz="4" w:space="0" w:color="auto"/>
              <w:left w:val="nil"/>
              <w:bottom w:val="single" w:sz="4" w:space="0" w:color="auto"/>
              <w:right w:val="single" w:sz="4" w:space="0" w:color="auto"/>
            </w:tcBorders>
            <w:shd w:val="clear" w:color="auto" w:fill="C6EFCE"/>
            <w:noWrap/>
          </w:tcPr>
          <w:p w14:paraId="11EAAC2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300</w:t>
            </w:r>
          </w:p>
        </w:tc>
        <w:tc>
          <w:tcPr>
            <w:tcW w:w="906" w:type="dxa"/>
            <w:tcBorders>
              <w:top w:val="single" w:sz="4" w:space="0" w:color="auto"/>
              <w:left w:val="nil"/>
              <w:bottom w:val="single" w:sz="4" w:space="0" w:color="auto"/>
              <w:right w:val="single" w:sz="4" w:space="0" w:color="auto"/>
            </w:tcBorders>
            <w:shd w:val="clear" w:color="auto" w:fill="C6EFCE"/>
            <w:noWrap/>
          </w:tcPr>
          <w:p w14:paraId="72DAD12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400</w:t>
            </w:r>
          </w:p>
        </w:tc>
        <w:tc>
          <w:tcPr>
            <w:tcW w:w="973" w:type="dxa"/>
            <w:tcBorders>
              <w:top w:val="single" w:sz="4" w:space="0" w:color="auto"/>
              <w:left w:val="nil"/>
              <w:bottom w:val="single" w:sz="4" w:space="0" w:color="auto"/>
              <w:right w:val="single" w:sz="4" w:space="0" w:color="auto"/>
            </w:tcBorders>
            <w:shd w:val="clear" w:color="auto" w:fill="C6EFCE"/>
            <w:noWrap/>
          </w:tcPr>
          <w:p w14:paraId="4F9754A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992" w:type="dxa"/>
            <w:tcBorders>
              <w:top w:val="single" w:sz="4" w:space="0" w:color="auto"/>
              <w:left w:val="nil"/>
              <w:bottom w:val="single" w:sz="4" w:space="0" w:color="auto"/>
              <w:right w:val="single" w:sz="4" w:space="0" w:color="auto"/>
            </w:tcBorders>
            <w:shd w:val="clear" w:color="auto" w:fill="C6EFCE"/>
            <w:noWrap/>
          </w:tcPr>
          <w:p w14:paraId="7B96A7F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2026</w:t>
            </w:r>
          </w:p>
        </w:tc>
        <w:tc>
          <w:tcPr>
            <w:tcW w:w="3743" w:type="dxa"/>
            <w:tcBorders>
              <w:top w:val="single" w:sz="4" w:space="0" w:color="auto"/>
              <w:left w:val="nil"/>
              <w:bottom w:val="single" w:sz="4" w:space="0" w:color="auto"/>
              <w:right w:val="single" w:sz="4" w:space="0" w:color="auto"/>
            </w:tcBorders>
            <w:shd w:val="clear" w:color="auto" w:fill="C6EFCE"/>
            <w:noWrap/>
          </w:tcPr>
          <w:p w14:paraId="5DB7664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Jõustada varem vastu võetud tõhusust suurendavad meetmed, et vähendada 2025. aasta ravimite tagasinõudmist nii ambulatoorsete kui ka statsionaarsete ravimite puhul 400 000 000 euro võrra võrreldes 2020. aasta tasemega, toetades tervishoiusüsteemi vastupanuvõimet. Kui seda ei saavutata, ei nõuta igal aastal eesmärgiks seatud vähendamise ja tegeliku vähendamise vahet ravimitööstuselt tagasi ning asjaomane summa kaetakse riigieelarvest kuni 400 000 000 euro ulatuses.</w:t>
            </w:r>
          </w:p>
        </w:tc>
      </w:tr>
    </w:tbl>
    <w:p w14:paraId="4C0AC73B" w14:textId="77777777" w:rsidR="00764877" w:rsidRPr="00AD4052" w:rsidRDefault="00764877" w:rsidP="00645BC7">
      <w:pPr>
        <w:spacing w:before="120" w:after="120" w:line="240" w:lineRule="auto"/>
        <w:ind w:left="709"/>
        <w:jc w:val="both"/>
        <w:rPr>
          <w:rFonts w:ascii="Times New Roman" w:hAnsi="Times New Roman" w:cs="Times New Roman"/>
          <w:noProof/>
          <w:sz w:val="24"/>
          <w:szCs w:val="24"/>
        </w:rPr>
        <w:sectPr w:rsidR="00764877" w:rsidRPr="00AD4052" w:rsidSect="00271D33">
          <w:headerReference w:type="even" r:id="rId212"/>
          <w:headerReference w:type="default" r:id="rId213"/>
          <w:footerReference w:type="even" r:id="rId214"/>
          <w:footerReference w:type="default" r:id="rId215"/>
          <w:headerReference w:type="first" r:id="rId216"/>
          <w:footerReference w:type="first" r:id="rId217"/>
          <w:pgSz w:w="16839" w:h="11907" w:orient="landscape"/>
          <w:pgMar w:top="720" w:right="720" w:bottom="720" w:left="720" w:header="709" w:footer="217" w:gutter="0"/>
          <w:cols w:space="720"/>
          <w:docGrid w:linePitch="360"/>
        </w:sectPr>
      </w:pPr>
    </w:p>
    <w:p w14:paraId="5489EFFC" w14:textId="77777777" w:rsidR="00764877" w:rsidRPr="00E02B5D" w:rsidRDefault="00764877"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13: Parandada tervishoiusüsteemi vastupanuvõimet, kättesaadavust ja jätkusuutlikkust</w:t>
      </w:r>
    </w:p>
    <w:p w14:paraId="4AC87050" w14:textId="24596D67" w:rsidR="00764877" w:rsidRPr="00E02B5D" w:rsidRDefault="00764877" w:rsidP="00DE1EE5">
      <w:pPr>
        <w:numPr>
          <w:ilvl w:val="0"/>
          <w:numId w:val="41"/>
        </w:numPr>
        <w:tabs>
          <w:tab w:val="left" w:pos="8364"/>
        </w:tabs>
        <w:spacing w:before="120" w:after="0" w:line="240" w:lineRule="auto"/>
        <w:jc w:val="both"/>
        <w:rPr>
          <w:rFonts w:ascii="Times New Roman" w:hAnsi="Times New Roman" w:cs="Times New Roman"/>
          <w:noProof/>
        </w:rPr>
      </w:pPr>
      <w:r>
        <w:rPr>
          <w:rFonts w:ascii="Times New Roman" w:hAnsi="Times New Roman"/>
          <w:noProof/>
          <w:sz w:val="24"/>
        </w:rPr>
        <w:t>Tervishoiusüsteemi organisatsioonireformid (ID: 16756)</w:t>
      </w:r>
    </w:p>
    <w:p w14:paraId="068977C5" w14:textId="77777777" w:rsidR="00764877" w:rsidRPr="00E02B5D" w:rsidRDefault="00764877" w:rsidP="00DE1EE5">
      <w:pPr>
        <w:numPr>
          <w:ilvl w:val="0"/>
          <w:numId w:val="41"/>
        </w:numPr>
        <w:tabs>
          <w:tab w:val="left" w:pos="8364"/>
        </w:tabs>
        <w:spacing w:before="120" w:after="0" w:line="240" w:lineRule="auto"/>
        <w:jc w:val="both"/>
        <w:rPr>
          <w:rFonts w:ascii="Times New Roman" w:hAnsi="Times New Roman" w:cs="Times New Roman"/>
          <w:noProof/>
          <w:sz w:val="24"/>
        </w:rPr>
      </w:pPr>
      <w:r>
        <w:rPr>
          <w:rFonts w:ascii="Times New Roman" w:hAnsi="Times New Roman"/>
          <w:noProof/>
          <w:sz w:val="24"/>
        </w:rPr>
        <w:t>Vaimse tervise ja sõltuvuse valdkonna reform (ID: 16820)</w:t>
      </w:r>
    </w:p>
    <w:p w14:paraId="62C477B6" w14:textId="77777777" w:rsidR="00764877" w:rsidRPr="00E02B5D" w:rsidRDefault="00764877" w:rsidP="00DE1EE5">
      <w:pPr>
        <w:numPr>
          <w:ilvl w:val="0"/>
          <w:numId w:val="41"/>
        </w:numPr>
        <w:tabs>
          <w:tab w:val="left" w:pos="8364"/>
        </w:tabs>
        <w:spacing w:before="120" w:after="0" w:line="240" w:lineRule="auto"/>
        <w:jc w:val="both"/>
        <w:rPr>
          <w:rFonts w:ascii="Times New Roman" w:hAnsi="Times New Roman" w:cs="Times New Roman"/>
          <w:noProof/>
          <w:sz w:val="24"/>
        </w:rPr>
      </w:pPr>
      <w:r>
        <w:rPr>
          <w:rFonts w:ascii="Times New Roman" w:hAnsi="Times New Roman"/>
          <w:noProof/>
          <w:sz w:val="24"/>
        </w:rPr>
        <w:t>Esmatasandi tervishoiusüsteemi reform (ID: 16755)</w:t>
      </w:r>
    </w:p>
    <w:p w14:paraId="26317555" w14:textId="77777777" w:rsidR="00764877" w:rsidRPr="00E02B5D" w:rsidRDefault="00764877" w:rsidP="00DE1EE5">
      <w:pPr>
        <w:numPr>
          <w:ilvl w:val="0"/>
          <w:numId w:val="41"/>
        </w:numPr>
        <w:tabs>
          <w:tab w:val="left" w:pos="8364"/>
        </w:tabs>
        <w:spacing w:before="120" w:after="120" w:line="240" w:lineRule="auto"/>
        <w:jc w:val="both"/>
        <w:rPr>
          <w:rFonts w:ascii="Times New Roman" w:hAnsi="Times New Roman" w:cs="Times New Roman"/>
          <w:noProof/>
          <w:sz w:val="24"/>
        </w:rPr>
      </w:pPr>
      <w:r>
        <w:rPr>
          <w:rFonts w:ascii="Times New Roman" w:hAnsi="Times New Roman"/>
          <w:noProof/>
          <w:sz w:val="24"/>
        </w:rPr>
        <w:t>Riikliku rahvatervise ennetusprogrammi „Spiros Doxiadis“ rakendamine (ID: 16783)</w:t>
      </w:r>
    </w:p>
    <w:p w14:paraId="526F0D27" w14:textId="77777777" w:rsidR="003B2627" w:rsidRPr="009A212D" w:rsidRDefault="00764877" w:rsidP="003B2627">
      <w:pPr>
        <w:numPr>
          <w:ilvl w:val="0"/>
          <w:numId w:val="41"/>
        </w:numPr>
        <w:tabs>
          <w:tab w:val="left" w:pos="8364"/>
        </w:tabs>
        <w:spacing w:before="120" w:after="120" w:line="240" w:lineRule="auto"/>
        <w:jc w:val="both"/>
        <w:rPr>
          <w:rFonts w:ascii="Times New Roman" w:hAnsi="Times New Roman" w:cs="Times New Roman"/>
          <w:noProof/>
          <w:sz w:val="24"/>
        </w:rPr>
      </w:pPr>
      <w:r>
        <w:rPr>
          <w:rFonts w:ascii="Times New Roman" w:hAnsi="Times New Roman"/>
          <w:noProof/>
          <w:sz w:val="24"/>
        </w:rPr>
        <w:t>Üldarstide reform (ID: 16984)</w:t>
      </w:r>
    </w:p>
    <w:p w14:paraId="095871C1" w14:textId="77777777" w:rsidR="003B2627" w:rsidRPr="003B2627" w:rsidRDefault="003B2627" w:rsidP="003B2627">
      <w:pPr>
        <w:tabs>
          <w:tab w:val="left" w:pos="8364"/>
        </w:tabs>
        <w:spacing w:before="120" w:after="120" w:line="240" w:lineRule="auto"/>
        <w:jc w:val="both"/>
        <w:rPr>
          <w:rFonts w:ascii="Times New Roman" w:hAnsi="Times New Roman" w:cs="Times New Roman"/>
          <w:noProof/>
          <w:sz w:val="24"/>
          <w:lang w:val="en-GB"/>
        </w:rPr>
      </w:pPr>
    </w:p>
    <w:tbl>
      <w:tblPr>
        <w:tblpPr w:leftFromText="180" w:rightFromText="180" w:vertAnchor="text" w:tblpXSpec="center" w:tblpY="1"/>
        <w:tblOverlap w:val="neve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268"/>
        <w:gridCol w:w="1001"/>
        <w:gridCol w:w="1274"/>
        <w:gridCol w:w="1843"/>
        <w:gridCol w:w="1268"/>
        <w:gridCol w:w="851"/>
        <w:gridCol w:w="6"/>
        <w:gridCol w:w="845"/>
        <w:gridCol w:w="708"/>
        <w:gridCol w:w="1019"/>
        <w:gridCol w:w="4459"/>
      </w:tblGrid>
      <w:tr w:rsidR="006E0EA2" w:rsidRPr="003B132A" w14:paraId="6CD275FE" w14:textId="77777777" w:rsidTr="00C15C41">
        <w:trPr>
          <w:trHeight w:val="631"/>
          <w:tblHeader/>
        </w:trPr>
        <w:tc>
          <w:tcPr>
            <w:tcW w:w="320" w:type="pct"/>
            <w:vMerge w:val="restart"/>
            <w:shd w:val="clear" w:color="auto" w:fill="BDD7EE"/>
            <w:vAlign w:val="center"/>
            <w:hideMark/>
          </w:tcPr>
          <w:p w14:paraId="2110B1C3" w14:textId="77777777" w:rsidR="00764877" w:rsidRPr="00E02B5D" w:rsidRDefault="00764877" w:rsidP="00F26C46">
            <w:pPr>
              <w:spacing w:after="0" w:line="240" w:lineRule="auto"/>
              <w:ind w:right="-96"/>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08" w:type="pct"/>
            <w:vMerge w:val="restart"/>
            <w:shd w:val="clear" w:color="auto" w:fill="BDD7EE"/>
            <w:vAlign w:val="center"/>
            <w:hideMark/>
          </w:tcPr>
          <w:p w14:paraId="1880459B" w14:textId="55B5A30B" w:rsidR="008F7683" w:rsidRDefault="00764877">
            <w:pPr>
              <w:spacing w:after="0" w:line="240" w:lineRule="auto"/>
              <w:ind w:right="-670"/>
              <w:rPr>
                <w:rFonts w:ascii="Times New Roman" w:hAnsi="Times New Roman"/>
                <w:b/>
                <w:noProof/>
                <w:sz w:val="18"/>
              </w:rPr>
            </w:pPr>
            <w:r>
              <w:rPr>
                <w:rFonts w:ascii="Times New Roman" w:hAnsi="Times New Roman"/>
                <w:b/>
                <w:noProof/>
                <w:sz w:val="18"/>
              </w:rPr>
              <w:t>Seotud meede</w:t>
            </w:r>
          </w:p>
          <w:p w14:paraId="0BFB14E4" w14:textId="77777777" w:rsidR="008F7683" w:rsidRDefault="008F7683">
            <w:pPr>
              <w:spacing w:after="0" w:line="240" w:lineRule="auto"/>
              <w:ind w:right="-670"/>
              <w:rPr>
                <w:rFonts w:ascii="Times New Roman" w:hAnsi="Times New Roman"/>
                <w:b/>
                <w:noProof/>
                <w:sz w:val="18"/>
              </w:rPr>
            </w:pPr>
          </w:p>
          <w:p w14:paraId="3A5D308A" w14:textId="77777777" w:rsidR="00764877" w:rsidRPr="00E02B5D" w:rsidRDefault="00764877" w:rsidP="006E0EA2">
            <w:pPr>
              <w:spacing w:after="0" w:line="240" w:lineRule="auto"/>
              <w:ind w:right="-670"/>
              <w:rPr>
                <w:rFonts w:ascii="Times New Roman" w:eastAsia="Times New Roman" w:hAnsi="Times New Roman" w:cs="Times New Roman"/>
                <w:b/>
                <w:bCs/>
                <w:noProof/>
                <w:sz w:val="18"/>
                <w:szCs w:val="18"/>
              </w:rPr>
            </w:pPr>
            <w:r>
              <w:rPr>
                <w:rFonts w:ascii="Times New Roman" w:hAnsi="Times New Roman"/>
                <w:b/>
                <w:noProof/>
                <w:sz w:val="18"/>
              </w:rPr>
              <w:t>(Reform või investeering)</w:t>
            </w:r>
          </w:p>
        </w:tc>
        <w:tc>
          <w:tcPr>
            <w:tcW w:w="322" w:type="pct"/>
            <w:vMerge w:val="restart"/>
            <w:shd w:val="clear" w:color="auto" w:fill="BDD7EE"/>
            <w:vAlign w:val="center"/>
            <w:hideMark/>
          </w:tcPr>
          <w:p w14:paraId="241C0370" w14:textId="77777777" w:rsidR="007E0F66" w:rsidRDefault="00764877">
            <w:pPr>
              <w:spacing w:after="0" w:line="240" w:lineRule="auto"/>
              <w:ind w:right="-670"/>
              <w:rPr>
                <w:rFonts w:ascii="Times New Roman" w:hAnsi="Times New Roman"/>
                <w:b/>
                <w:noProof/>
                <w:sz w:val="18"/>
              </w:rPr>
            </w:pPr>
            <w:r>
              <w:rPr>
                <w:rFonts w:ascii="Times New Roman" w:hAnsi="Times New Roman"/>
                <w:b/>
                <w:noProof/>
                <w:sz w:val="18"/>
              </w:rPr>
              <w:t xml:space="preserve">Eesmärk/ </w:t>
            </w:r>
          </w:p>
          <w:p w14:paraId="61BCA957" w14:textId="77777777" w:rsidR="00764877" w:rsidRPr="00E02B5D" w:rsidRDefault="00764877" w:rsidP="006E0EA2">
            <w:pPr>
              <w:spacing w:after="0" w:line="240" w:lineRule="auto"/>
              <w:ind w:right="-670"/>
              <w:rPr>
                <w:rFonts w:ascii="Times New Roman" w:eastAsia="Times New Roman" w:hAnsi="Times New Roman" w:cs="Times New Roman"/>
                <w:b/>
                <w:bCs/>
                <w:noProof/>
                <w:sz w:val="18"/>
                <w:szCs w:val="18"/>
              </w:rPr>
            </w:pPr>
            <w:r>
              <w:rPr>
                <w:rFonts w:ascii="Times New Roman" w:hAnsi="Times New Roman"/>
                <w:b/>
                <w:noProof/>
                <w:sz w:val="18"/>
              </w:rPr>
              <w:t>Siht</w:t>
            </w:r>
          </w:p>
        </w:tc>
        <w:tc>
          <w:tcPr>
            <w:tcW w:w="410" w:type="pct"/>
            <w:vMerge w:val="restart"/>
            <w:shd w:val="clear" w:color="auto" w:fill="BDD7EE"/>
            <w:vAlign w:val="center"/>
            <w:hideMark/>
          </w:tcPr>
          <w:p w14:paraId="1DB95DA7" w14:textId="77777777" w:rsidR="00764877" w:rsidRPr="00E02B5D" w:rsidRDefault="00764877" w:rsidP="006E0EA2">
            <w:pPr>
              <w:spacing w:after="0" w:line="240" w:lineRule="auto"/>
              <w:ind w:left="447" w:right="-670" w:hanging="447"/>
              <w:rPr>
                <w:rFonts w:ascii="Times New Roman" w:eastAsia="Times New Roman" w:hAnsi="Times New Roman" w:cs="Times New Roman"/>
                <w:b/>
                <w:bCs/>
                <w:noProof/>
                <w:sz w:val="18"/>
                <w:szCs w:val="18"/>
              </w:rPr>
            </w:pPr>
            <w:r>
              <w:rPr>
                <w:rFonts w:ascii="Times New Roman" w:hAnsi="Times New Roman"/>
                <w:b/>
                <w:noProof/>
                <w:sz w:val="18"/>
              </w:rPr>
              <w:t>Nimi</w:t>
            </w:r>
          </w:p>
        </w:tc>
        <w:tc>
          <w:tcPr>
            <w:tcW w:w="593" w:type="pct"/>
            <w:vMerge w:val="restart"/>
            <w:shd w:val="clear" w:color="auto" w:fill="BDD7EE"/>
            <w:vAlign w:val="center"/>
            <w:hideMark/>
          </w:tcPr>
          <w:p w14:paraId="6B4A8A7C" w14:textId="343CC00D" w:rsidR="00764877" w:rsidRPr="00E02B5D" w:rsidRDefault="00764877" w:rsidP="00F26C46">
            <w:pPr>
              <w:spacing w:after="0" w:line="240" w:lineRule="auto"/>
              <w:ind w:left="31" w:right="-103" w:hanging="31"/>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956" w:type="pct"/>
            <w:gridSpan w:val="4"/>
            <w:shd w:val="clear" w:color="auto" w:fill="BDD7EE"/>
            <w:vAlign w:val="center"/>
            <w:hideMark/>
          </w:tcPr>
          <w:p w14:paraId="25AFA771" w14:textId="15C6C650" w:rsidR="008F7683" w:rsidRDefault="00764877" w:rsidP="00656990">
            <w:pPr>
              <w:spacing w:after="0" w:line="240" w:lineRule="auto"/>
              <w:ind w:right="-670"/>
              <w:jc w:val="center"/>
              <w:rPr>
                <w:rFonts w:ascii="Times New Roman" w:hAnsi="Times New Roman"/>
                <w:b/>
                <w:noProof/>
                <w:sz w:val="18"/>
              </w:rPr>
            </w:pPr>
            <w:r>
              <w:rPr>
                <w:rFonts w:ascii="Times New Roman" w:hAnsi="Times New Roman"/>
                <w:b/>
                <w:noProof/>
                <w:sz w:val="18"/>
              </w:rPr>
              <w:t>Kvantitatiivsed näitajad</w:t>
            </w:r>
          </w:p>
          <w:p w14:paraId="5EB75F35" w14:textId="77777777" w:rsidR="00764877" w:rsidRPr="00E02B5D" w:rsidRDefault="00764877" w:rsidP="006E0EA2">
            <w:pPr>
              <w:spacing w:after="0" w:line="240" w:lineRule="auto"/>
              <w:ind w:right="-670"/>
              <w:jc w:val="center"/>
              <w:rPr>
                <w:rFonts w:ascii="Times New Roman" w:eastAsia="Times New Roman" w:hAnsi="Times New Roman" w:cs="Times New Roman"/>
                <w:b/>
                <w:bCs/>
                <w:noProof/>
                <w:sz w:val="18"/>
                <w:szCs w:val="18"/>
              </w:rPr>
            </w:pPr>
            <w:r>
              <w:rPr>
                <w:rFonts w:ascii="Times New Roman" w:hAnsi="Times New Roman"/>
                <w:b/>
                <w:noProof/>
                <w:sz w:val="18"/>
              </w:rPr>
              <w:t>(sihtide puhul)</w:t>
            </w:r>
          </w:p>
        </w:tc>
        <w:tc>
          <w:tcPr>
            <w:tcW w:w="556" w:type="pct"/>
            <w:gridSpan w:val="2"/>
            <w:shd w:val="clear" w:color="auto" w:fill="BDD7EE"/>
            <w:vAlign w:val="center"/>
            <w:hideMark/>
          </w:tcPr>
          <w:p w14:paraId="3BCC6732" w14:textId="77777777" w:rsidR="0068278F" w:rsidRDefault="00764877" w:rsidP="00F26C46">
            <w:pPr>
              <w:spacing w:after="0" w:line="240" w:lineRule="auto"/>
              <w:ind w:right="-80"/>
              <w:rPr>
                <w:rFonts w:ascii="Times New Roman" w:hAnsi="Times New Roman"/>
                <w:b/>
                <w:noProof/>
                <w:sz w:val="18"/>
              </w:rPr>
            </w:pPr>
            <w:r>
              <w:rPr>
                <w:rFonts w:ascii="Times New Roman" w:hAnsi="Times New Roman"/>
                <w:b/>
                <w:noProof/>
                <w:sz w:val="18"/>
              </w:rPr>
              <w:t>Lõpuleviimise soovituslik ajakava</w:t>
            </w:r>
          </w:p>
          <w:p w14:paraId="2B9FB511" w14:textId="05B29FE4" w:rsidR="00764877" w:rsidRPr="00E02B5D" w:rsidRDefault="00764877" w:rsidP="006E0EA2">
            <w:pPr>
              <w:spacing w:after="0" w:line="240" w:lineRule="auto"/>
              <w:ind w:right="-670"/>
              <w:rPr>
                <w:rFonts w:ascii="Times New Roman" w:eastAsia="Times New Roman" w:hAnsi="Times New Roman" w:cs="Times New Roman"/>
                <w:b/>
                <w:bCs/>
                <w:noProof/>
                <w:sz w:val="18"/>
                <w:szCs w:val="18"/>
              </w:rPr>
            </w:pPr>
            <w:r>
              <w:rPr>
                <w:rFonts w:ascii="Times New Roman" w:hAnsi="Times New Roman"/>
                <w:b/>
                <w:noProof/>
                <w:sz w:val="18"/>
              </w:rPr>
              <w:t xml:space="preserve"> </w:t>
            </w:r>
          </w:p>
        </w:tc>
        <w:tc>
          <w:tcPr>
            <w:tcW w:w="1435" w:type="pct"/>
            <w:vMerge w:val="restart"/>
            <w:shd w:val="clear" w:color="auto" w:fill="BDD7EE"/>
            <w:vAlign w:val="center"/>
            <w:hideMark/>
          </w:tcPr>
          <w:p w14:paraId="28F22717" w14:textId="77777777" w:rsidR="00764877" w:rsidRPr="00E02B5D" w:rsidRDefault="00764877" w:rsidP="006E0EA2">
            <w:pPr>
              <w:spacing w:after="0" w:line="240" w:lineRule="auto"/>
              <w:ind w:right="-670"/>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6E0EA2" w:rsidRPr="00E02B5D" w14:paraId="13AE0862" w14:textId="77777777" w:rsidTr="00C15C41">
        <w:trPr>
          <w:trHeight w:val="532"/>
          <w:tblHeader/>
        </w:trPr>
        <w:tc>
          <w:tcPr>
            <w:tcW w:w="320" w:type="pct"/>
            <w:vMerge/>
            <w:vAlign w:val="center"/>
            <w:hideMark/>
          </w:tcPr>
          <w:p w14:paraId="61058CE7" w14:textId="77777777" w:rsidR="00764877" w:rsidRPr="00AD4052" w:rsidRDefault="00764877" w:rsidP="006E0EA2">
            <w:pPr>
              <w:spacing w:after="0" w:line="240" w:lineRule="auto"/>
              <w:rPr>
                <w:rFonts w:ascii="Times New Roman" w:eastAsia="Times New Roman" w:hAnsi="Times New Roman" w:cs="Times New Roman"/>
                <w:b/>
                <w:bCs/>
                <w:noProof/>
                <w:sz w:val="18"/>
                <w:szCs w:val="18"/>
                <w:lang w:eastAsia="en-GB"/>
              </w:rPr>
            </w:pPr>
          </w:p>
        </w:tc>
        <w:tc>
          <w:tcPr>
            <w:tcW w:w="408" w:type="pct"/>
            <w:vMerge/>
            <w:vAlign w:val="center"/>
            <w:hideMark/>
          </w:tcPr>
          <w:p w14:paraId="2CFB6F08" w14:textId="77777777" w:rsidR="00764877" w:rsidRPr="00AD4052" w:rsidRDefault="00764877" w:rsidP="006E0EA2">
            <w:pPr>
              <w:spacing w:after="0" w:line="240" w:lineRule="auto"/>
              <w:rPr>
                <w:rFonts w:ascii="Times New Roman" w:eastAsia="Times New Roman" w:hAnsi="Times New Roman" w:cs="Times New Roman"/>
                <w:b/>
                <w:bCs/>
                <w:noProof/>
                <w:sz w:val="18"/>
                <w:szCs w:val="18"/>
                <w:lang w:eastAsia="en-GB"/>
              </w:rPr>
            </w:pPr>
          </w:p>
        </w:tc>
        <w:tc>
          <w:tcPr>
            <w:tcW w:w="322" w:type="pct"/>
            <w:vMerge/>
            <w:vAlign w:val="center"/>
            <w:hideMark/>
          </w:tcPr>
          <w:p w14:paraId="44DF5C13" w14:textId="77777777" w:rsidR="00764877" w:rsidRPr="00AD4052" w:rsidRDefault="00764877" w:rsidP="006E0EA2">
            <w:pPr>
              <w:spacing w:after="0" w:line="240" w:lineRule="auto"/>
              <w:rPr>
                <w:rFonts w:ascii="Times New Roman" w:eastAsia="Times New Roman" w:hAnsi="Times New Roman" w:cs="Times New Roman"/>
                <w:b/>
                <w:bCs/>
                <w:noProof/>
                <w:sz w:val="18"/>
                <w:szCs w:val="18"/>
                <w:lang w:eastAsia="en-GB"/>
              </w:rPr>
            </w:pPr>
          </w:p>
        </w:tc>
        <w:tc>
          <w:tcPr>
            <w:tcW w:w="410" w:type="pct"/>
            <w:vMerge/>
            <w:vAlign w:val="center"/>
            <w:hideMark/>
          </w:tcPr>
          <w:p w14:paraId="47DC1A65" w14:textId="77777777" w:rsidR="00764877" w:rsidRPr="00AD4052" w:rsidRDefault="00764877" w:rsidP="006E0EA2">
            <w:pPr>
              <w:spacing w:after="0" w:line="240" w:lineRule="auto"/>
              <w:rPr>
                <w:rFonts w:ascii="Times New Roman" w:eastAsia="Times New Roman" w:hAnsi="Times New Roman" w:cs="Times New Roman"/>
                <w:b/>
                <w:bCs/>
                <w:noProof/>
                <w:sz w:val="18"/>
                <w:szCs w:val="18"/>
                <w:lang w:eastAsia="en-GB"/>
              </w:rPr>
            </w:pPr>
          </w:p>
        </w:tc>
        <w:tc>
          <w:tcPr>
            <w:tcW w:w="593" w:type="pct"/>
            <w:vMerge/>
            <w:vAlign w:val="center"/>
            <w:hideMark/>
          </w:tcPr>
          <w:p w14:paraId="61ED7832" w14:textId="77777777" w:rsidR="00764877" w:rsidRPr="00AD4052" w:rsidRDefault="00764877" w:rsidP="006E0EA2">
            <w:pPr>
              <w:spacing w:after="0" w:line="240" w:lineRule="auto"/>
              <w:rPr>
                <w:rFonts w:ascii="Times New Roman" w:eastAsia="Times New Roman" w:hAnsi="Times New Roman" w:cs="Times New Roman"/>
                <w:b/>
                <w:bCs/>
                <w:noProof/>
                <w:sz w:val="18"/>
                <w:szCs w:val="18"/>
                <w:lang w:eastAsia="en-GB"/>
              </w:rPr>
            </w:pPr>
          </w:p>
        </w:tc>
        <w:tc>
          <w:tcPr>
            <w:tcW w:w="408" w:type="pct"/>
            <w:shd w:val="clear" w:color="auto" w:fill="BDD7EE"/>
            <w:vAlign w:val="center"/>
            <w:hideMark/>
          </w:tcPr>
          <w:p w14:paraId="6E28F864" w14:textId="77777777" w:rsidR="00764877" w:rsidRPr="00E02B5D" w:rsidRDefault="00764877" w:rsidP="006E0EA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276" w:type="pct"/>
            <w:gridSpan w:val="2"/>
            <w:shd w:val="clear" w:color="auto" w:fill="BDD7EE"/>
            <w:vAlign w:val="center"/>
            <w:hideMark/>
          </w:tcPr>
          <w:p w14:paraId="34CE198D" w14:textId="77777777" w:rsidR="00764877" w:rsidRPr="00E02B5D" w:rsidRDefault="00764877" w:rsidP="006E0EA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272" w:type="pct"/>
            <w:shd w:val="clear" w:color="auto" w:fill="BDD7EE"/>
            <w:vAlign w:val="center"/>
            <w:hideMark/>
          </w:tcPr>
          <w:p w14:paraId="61B70E90" w14:textId="77777777" w:rsidR="00764877" w:rsidRPr="00E02B5D" w:rsidRDefault="00764877" w:rsidP="006E0EA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228" w:type="pct"/>
            <w:shd w:val="clear" w:color="auto" w:fill="BDD7EE"/>
            <w:vAlign w:val="center"/>
            <w:hideMark/>
          </w:tcPr>
          <w:p w14:paraId="46B68A12" w14:textId="77777777" w:rsidR="00764877" w:rsidRPr="00E02B5D" w:rsidRDefault="00764877" w:rsidP="006E0EA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328" w:type="pct"/>
            <w:shd w:val="clear" w:color="auto" w:fill="BDD7EE"/>
            <w:vAlign w:val="center"/>
            <w:hideMark/>
          </w:tcPr>
          <w:p w14:paraId="63DBB39F" w14:textId="77777777" w:rsidR="00764877" w:rsidRPr="00E02B5D" w:rsidRDefault="00764877" w:rsidP="006E0EA2">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1435" w:type="pct"/>
            <w:vMerge/>
            <w:vAlign w:val="center"/>
            <w:hideMark/>
          </w:tcPr>
          <w:p w14:paraId="7E86C7DB" w14:textId="77777777" w:rsidR="00764877" w:rsidRPr="00E02B5D" w:rsidRDefault="00764877" w:rsidP="006E0EA2">
            <w:pPr>
              <w:spacing w:after="0" w:line="240" w:lineRule="auto"/>
              <w:rPr>
                <w:rFonts w:ascii="Times New Roman" w:eastAsia="Times New Roman" w:hAnsi="Times New Roman" w:cs="Times New Roman"/>
                <w:b/>
                <w:bCs/>
                <w:noProof/>
                <w:sz w:val="18"/>
                <w:szCs w:val="18"/>
                <w:lang w:val="en-GB" w:eastAsia="en-GB"/>
              </w:rPr>
            </w:pPr>
          </w:p>
        </w:tc>
      </w:tr>
      <w:tr w:rsidR="006E0EA2" w:rsidRPr="003B132A" w14:paraId="12989C1D" w14:textId="77777777" w:rsidTr="00C15C41">
        <w:trPr>
          <w:trHeight w:val="313"/>
        </w:trPr>
        <w:tc>
          <w:tcPr>
            <w:tcW w:w="320" w:type="pct"/>
            <w:shd w:val="clear" w:color="auto" w:fill="C6EFCE"/>
            <w:noWrap/>
          </w:tcPr>
          <w:p w14:paraId="168459C4"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159</w:t>
            </w:r>
          </w:p>
        </w:tc>
        <w:tc>
          <w:tcPr>
            <w:tcW w:w="408" w:type="pct"/>
            <w:shd w:val="clear" w:color="auto" w:fill="C6EFCE"/>
            <w:noWrap/>
          </w:tcPr>
          <w:p w14:paraId="6E747696"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10-3.3. Tervishoiusüsteemi vastupanuvõime, juurdepääsetavuse ja jätkusuutlikkuse parandamine – 16755_Esmase tervishoiusüsteemi reform</w:t>
            </w:r>
          </w:p>
        </w:tc>
        <w:tc>
          <w:tcPr>
            <w:tcW w:w="322" w:type="pct"/>
            <w:shd w:val="clear" w:color="auto" w:fill="C6EFCE"/>
            <w:noWrap/>
          </w:tcPr>
          <w:p w14:paraId="04F65627"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Eesmärk</w:t>
            </w:r>
          </w:p>
        </w:tc>
        <w:tc>
          <w:tcPr>
            <w:tcW w:w="410" w:type="pct"/>
            <w:shd w:val="clear" w:color="auto" w:fill="C6EFCE"/>
            <w:noWrap/>
          </w:tcPr>
          <w:p w14:paraId="7953BACE"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 xml:space="preserve">Esmatasandi tervishoiuperearstide õppekavade aktiveerimine </w:t>
            </w:r>
          </w:p>
        </w:tc>
        <w:tc>
          <w:tcPr>
            <w:tcW w:w="593" w:type="pct"/>
            <w:shd w:val="clear" w:color="auto" w:fill="C6EFCE"/>
            <w:noWrap/>
          </w:tcPr>
          <w:p w14:paraId="1C326A39"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Tõend peremeditsiini valdkonna kõigi hiljuti käivitatud akadeemiliste õppekavade kursuste alustamise kohta ja peremeditsiini mooduli lisamise kohta kõikidesse meditsiini õppekavadesse.</w:t>
            </w:r>
          </w:p>
          <w:p w14:paraId="5521CA13" w14:textId="77777777" w:rsidR="00764877" w:rsidRPr="00AD4052" w:rsidRDefault="00764877" w:rsidP="006E0EA2">
            <w:pPr>
              <w:spacing w:after="0" w:line="240" w:lineRule="auto"/>
              <w:rPr>
                <w:rFonts w:ascii="Times New Roman" w:hAnsi="Times New Roman" w:cs="Times New Roman"/>
                <w:noProof/>
                <w:color w:val="006100"/>
                <w:sz w:val="18"/>
                <w:szCs w:val="18"/>
                <w:lang w:eastAsia="en-GB"/>
              </w:rPr>
            </w:pPr>
          </w:p>
        </w:tc>
        <w:tc>
          <w:tcPr>
            <w:tcW w:w="408" w:type="pct"/>
            <w:shd w:val="clear" w:color="auto" w:fill="C6EFCE"/>
            <w:noWrap/>
          </w:tcPr>
          <w:p w14:paraId="0C520BAE"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76" w:type="pct"/>
            <w:gridSpan w:val="2"/>
            <w:shd w:val="clear" w:color="auto" w:fill="C6EFCE"/>
            <w:noWrap/>
          </w:tcPr>
          <w:p w14:paraId="4296BE58"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72" w:type="pct"/>
            <w:shd w:val="clear" w:color="auto" w:fill="C6EFCE"/>
            <w:noWrap/>
          </w:tcPr>
          <w:p w14:paraId="2C110F49"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28" w:type="pct"/>
            <w:shd w:val="clear" w:color="auto" w:fill="C6EFCE"/>
            <w:noWrap/>
          </w:tcPr>
          <w:p w14:paraId="25842AC7"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4. kv</w:t>
            </w:r>
          </w:p>
        </w:tc>
        <w:tc>
          <w:tcPr>
            <w:tcW w:w="328" w:type="pct"/>
            <w:shd w:val="clear" w:color="auto" w:fill="C6EFCE"/>
            <w:noWrap/>
          </w:tcPr>
          <w:p w14:paraId="5A69E42A"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2022</w:t>
            </w:r>
          </w:p>
        </w:tc>
        <w:tc>
          <w:tcPr>
            <w:tcW w:w="1435" w:type="pct"/>
            <w:shd w:val="clear" w:color="auto" w:fill="C6EFCE"/>
            <w:noWrap/>
          </w:tcPr>
          <w:p w14:paraId="2B63113A"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Laiendada aktiivsete akadeemiliste õppekavade arvu peremeditsiinis vähemalt 75 %-le Kreeka meditsiinikoolidest ning lisada kõikidesse meditsiini õppekavadesse peremeditsiini kohustuslik moodul. See hõlmab mõjutatud ülikoolide dokumentatsiooni, milles tuuakse esile kraadide uus struktuur: 1) hiljuti loodud õppekavad ja 2) perearstide kohustusliku mooduli lisamine olemasolevatesse õppekavadesse).</w:t>
            </w:r>
          </w:p>
        </w:tc>
      </w:tr>
      <w:tr w:rsidR="006E0EA2" w:rsidRPr="003B132A" w14:paraId="6D9971A0" w14:textId="77777777" w:rsidTr="00C15C41">
        <w:trPr>
          <w:trHeight w:val="313"/>
        </w:trPr>
        <w:tc>
          <w:tcPr>
            <w:tcW w:w="320" w:type="pct"/>
            <w:shd w:val="clear" w:color="auto" w:fill="C6EFCE"/>
            <w:noWrap/>
          </w:tcPr>
          <w:p w14:paraId="03A9C74D"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160</w:t>
            </w:r>
          </w:p>
        </w:tc>
        <w:tc>
          <w:tcPr>
            <w:tcW w:w="408" w:type="pct"/>
            <w:shd w:val="clear" w:color="auto" w:fill="C6EFCE"/>
            <w:noWrap/>
          </w:tcPr>
          <w:p w14:paraId="234F8262" w14:textId="77777777" w:rsidR="00764877" w:rsidRPr="00E02B5D" w:rsidRDefault="00764877" w:rsidP="006E0EA2">
            <w:pPr>
              <w:spacing w:after="0" w:line="240" w:lineRule="auto"/>
              <w:rPr>
                <w:rFonts w:eastAsia="Times New Roman"/>
                <w:noProof/>
                <w:color w:val="006100"/>
                <w:sz w:val="18"/>
                <w:szCs w:val="18"/>
                <w:highlight w:val="yellow"/>
              </w:rPr>
            </w:pPr>
            <w:r>
              <w:rPr>
                <w:noProof/>
                <w:color w:val="006100"/>
                <w:sz w:val="18"/>
              </w:rPr>
              <w:t>10-3.3. Tervishoiusüsteemi vastupanuvõime, juurdepääsetavuse ja jätkusuutlikkuse parandamine – 16820_Reform vaimse tervise ja sõltuvuse valdkonnas</w:t>
            </w:r>
          </w:p>
          <w:p w14:paraId="3C499FED"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322" w:type="pct"/>
            <w:shd w:val="clear" w:color="auto" w:fill="C6EFCE"/>
            <w:noWrap/>
          </w:tcPr>
          <w:p w14:paraId="6F891505"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Siht</w:t>
            </w:r>
          </w:p>
        </w:tc>
        <w:tc>
          <w:tcPr>
            <w:tcW w:w="410" w:type="pct"/>
            <w:shd w:val="clear" w:color="auto" w:fill="C6EFCE"/>
            <w:noWrap/>
          </w:tcPr>
          <w:p w14:paraId="78F85D6B"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Vaimne tervis – avatud 50 ühikut – etapi 1 teine etapp</w:t>
            </w:r>
          </w:p>
        </w:tc>
        <w:tc>
          <w:tcPr>
            <w:tcW w:w="593" w:type="pct"/>
            <w:shd w:val="clear" w:color="auto" w:fill="C6EFCE"/>
            <w:noWrap/>
          </w:tcPr>
          <w:p w14:paraId="6B24D4C5" w14:textId="77777777" w:rsidR="00764877" w:rsidRPr="00AD4052" w:rsidRDefault="00764877" w:rsidP="006E0EA2">
            <w:pPr>
              <w:spacing w:after="0" w:line="240" w:lineRule="auto"/>
              <w:rPr>
                <w:rFonts w:eastAsia="Times New Roman" w:cs="Calibri"/>
                <w:noProof/>
                <w:color w:val="006100"/>
                <w:sz w:val="18"/>
                <w:szCs w:val="18"/>
                <w:lang w:val="fr-BE" w:eastAsia="en-GB"/>
              </w:rPr>
            </w:pPr>
          </w:p>
        </w:tc>
        <w:tc>
          <w:tcPr>
            <w:tcW w:w="408" w:type="pct"/>
            <w:shd w:val="clear" w:color="auto" w:fill="C6EFCE"/>
            <w:noWrap/>
          </w:tcPr>
          <w:p w14:paraId="7F036FFD"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Lõpuleviidud ja toimivate vaimse tervise üksuste arv</w:t>
            </w:r>
          </w:p>
        </w:tc>
        <w:tc>
          <w:tcPr>
            <w:tcW w:w="276" w:type="pct"/>
            <w:gridSpan w:val="2"/>
            <w:shd w:val="clear" w:color="auto" w:fill="C6EFCE"/>
            <w:noWrap/>
          </w:tcPr>
          <w:p w14:paraId="41EC48CD"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0</w:t>
            </w:r>
          </w:p>
        </w:tc>
        <w:tc>
          <w:tcPr>
            <w:tcW w:w="272" w:type="pct"/>
            <w:shd w:val="clear" w:color="auto" w:fill="C6EFCE"/>
            <w:noWrap/>
          </w:tcPr>
          <w:p w14:paraId="20B1BF1C"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50</w:t>
            </w:r>
          </w:p>
        </w:tc>
        <w:tc>
          <w:tcPr>
            <w:tcW w:w="228" w:type="pct"/>
            <w:shd w:val="clear" w:color="auto" w:fill="C6EFCE"/>
            <w:noWrap/>
          </w:tcPr>
          <w:p w14:paraId="5DFD5875"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4. kv</w:t>
            </w:r>
          </w:p>
        </w:tc>
        <w:tc>
          <w:tcPr>
            <w:tcW w:w="328" w:type="pct"/>
            <w:shd w:val="clear" w:color="auto" w:fill="C6EFCE"/>
            <w:noWrap/>
          </w:tcPr>
          <w:p w14:paraId="5B375EB0"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2022</w:t>
            </w:r>
          </w:p>
        </w:tc>
        <w:tc>
          <w:tcPr>
            <w:tcW w:w="1435" w:type="pct"/>
            <w:shd w:val="clear" w:color="auto" w:fill="C6EFCE"/>
            <w:noWrap/>
          </w:tcPr>
          <w:p w14:paraId="76386C23"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50 vaimse tervise üksuse loomine ja täielik toimimine (rakendatakse olemasolevate üksuste renoveerimise kaudu), mida toetab riiklik vaimse tervise toetamise strateegiline kava (kokku 106 vaimse tervise üksusest)</w:t>
            </w:r>
          </w:p>
        </w:tc>
      </w:tr>
      <w:tr w:rsidR="006E0EA2" w:rsidRPr="003B132A" w14:paraId="062F6079" w14:textId="77777777" w:rsidTr="00C15C41">
        <w:trPr>
          <w:trHeight w:val="313"/>
        </w:trPr>
        <w:tc>
          <w:tcPr>
            <w:tcW w:w="320" w:type="pct"/>
            <w:shd w:val="clear" w:color="auto" w:fill="C6EFCE"/>
            <w:noWrap/>
          </w:tcPr>
          <w:p w14:paraId="32A8EB28"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161</w:t>
            </w:r>
          </w:p>
        </w:tc>
        <w:tc>
          <w:tcPr>
            <w:tcW w:w="408" w:type="pct"/>
            <w:shd w:val="clear" w:color="auto" w:fill="C6EFCE"/>
            <w:noWrap/>
          </w:tcPr>
          <w:p w14:paraId="155223E4"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10-3.3. Tervishoiusüsteemi vastupanuvõime, juurdepääsetavuse ja jätkusuutlikkuse parandamine – 16755_Esmase tervishoiusüsteemi reform</w:t>
            </w:r>
          </w:p>
        </w:tc>
        <w:tc>
          <w:tcPr>
            <w:tcW w:w="322" w:type="pct"/>
            <w:shd w:val="clear" w:color="auto" w:fill="C6EFCE"/>
            <w:noWrap/>
          </w:tcPr>
          <w:p w14:paraId="0B37AAD0"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Eesmärk</w:t>
            </w:r>
          </w:p>
        </w:tc>
        <w:tc>
          <w:tcPr>
            <w:tcW w:w="410" w:type="pct"/>
            <w:shd w:val="clear" w:color="auto" w:fill="C6EFCE"/>
            <w:noWrap/>
          </w:tcPr>
          <w:p w14:paraId="71A09DE3"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Esmatasandi tervishoid – lepingute sõlmimine tervishoiukeskustega</w:t>
            </w:r>
          </w:p>
        </w:tc>
        <w:tc>
          <w:tcPr>
            <w:tcW w:w="593" w:type="pct"/>
            <w:shd w:val="clear" w:color="auto" w:fill="C6EFCE"/>
            <w:noWrap/>
          </w:tcPr>
          <w:p w14:paraId="39D613BD"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 xml:space="preserve">Lepingute sõlmimisest teatamine. </w:t>
            </w:r>
          </w:p>
          <w:p w14:paraId="64C00051" w14:textId="77777777" w:rsidR="00764877" w:rsidRPr="00E02B5D" w:rsidRDefault="00764877" w:rsidP="006E0EA2">
            <w:pPr>
              <w:spacing w:after="0" w:line="240" w:lineRule="auto"/>
              <w:rPr>
                <w:rFonts w:eastAsia="Times New Roman" w:cs="Calibri"/>
                <w:noProof/>
                <w:color w:val="006100"/>
                <w:sz w:val="18"/>
                <w:szCs w:val="18"/>
                <w:lang w:val="en-GB" w:eastAsia="en-GB"/>
              </w:rPr>
            </w:pPr>
          </w:p>
          <w:p w14:paraId="34D90848" w14:textId="77777777" w:rsidR="00764877" w:rsidRPr="00E02B5D" w:rsidRDefault="00764877" w:rsidP="006E0EA2">
            <w:pPr>
              <w:spacing w:after="0" w:line="240" w:lineRule="auto"/>
              <w:rPr>
                <w:rFonts w:eastAsia="Times New Roman" w:cs="Calibri"/>
                <w:noProof/>
                <w:color w:val="006100"/>
                <w:sz w:val="18"/>
                <w:szCs w:val="18"/>
                <w:lang w:val="en-GB" w:eastAsia="en-GB"/>
              </w:rPr>
            </w:pPr>
          </w:p>
        </w:tc>
        <w:tc>
          <w:tcPr>
            <w:tcW w:w="408" w:type="pct"/>
            <w:shd w:val="clear" w:color="auto" w:fill="C6EFCE"/>
            <w:noWrap/>
          </w:tcPr>
          <w:p w14:paraId="051F785E" w14:textId="77777777" w:rsidR="00764877" w:rsidRPr="00E02B5D" w:rsidRDefault="00764877" w:rsidP="006E0EA2">
            <w:pPr>
              <w:spacing w:after="0" w:line="240" w:lineRule="auto"/>
              <w:rPr>
                <w:rFonts w:eastAsia="Times New Roman" w:cs="Calibri"/>
                <w:noProof/>
                <w:color w:val="006100"/>
                <w:sz w:val="18"/>
                <w:szCs w:val="18"/>
                <w:lang w:val="en-GB" w:eastAsia="en-GB"/>
              </w:rPr>
            </w:pPr>
          </w:p>
        </w:tc>
        <w:tc>
          <w:tcPr>
            <w:tcW w:w="276" w:type="pct"/>
            <w:gridSpan w:val="2"/>
            <w:shd w:val="clear" w:color="auto" w:fill="C6EFCE"/>
            <w:noWrap/>
          </w:tcPr>
          <w:p w14:paraId="23596932" w14:textId="77777777" w:rsidR="00764877" w:rsidRPr="00E02B5D" w:rsidRDefault="00764877" w:rsidP="006E0EA2">
            <w:pPr>
              <w:spacing w:after="0" w:line="240" w:lineRule="auto"/>
              <w:rPr>
                <w:rFonts w:eastAsia="Times New Roman" w:cs="Calibri"/>
                <w:noProof/>
                <w:color w:val="006100"/>
                <w:sz w:val="18"/>
                <w:szCs w:val="18"/>
                <w:lang w:val="en-GB" w:eastAsia="en-GB"/>
              </w:rPr>
            </w:pPr>
          </w:p>
        </w:tc>
        <w:tc>
          <w:tcPr>
            <w:tcW w:w="272" w:type="pct"/>
            <w:shd w:val="clear" w:color="auto" w:fill="C6EFCE"/>
            <w:noWrap/>
          </w:tcPr>
          <w:p w14:paraId="38255BBC" w14:textId="77777777" w:rsidR="00764877" w:rsidRPr="00E02B5D" w:rsidRDefault="00764877" w:rsidP="006E0EA2">
            <w:pPr>
              <w:spacing w:after="0" w:line="240" w:lineRule="auto"/>
              <w:rPr>
                <w:rFonts w:eastAsia="Times New Roman" w:cs="Calibri"/>
                <w:noProof/>
                <w:color w:val="006100"/>
                <w:sz w:val="18"/>
                <w:szCs w:val="18"/>
                <w:lang w:val="en-GB" w:eastAsia="en-GB"/>
              </w:rPr>
            </w:pPr>
          </w:p>
        </w:tc>
        <w:tc>
          <w:tcPr>
            <w:tcW w:w="228" w:type="pct"/>
            <w:shd w:val="clear" w:color="auto" w:fill="C6EFCE"/>
            <w:noWrap/>
          </w:tcPr>
          <w:p w14:paraId="0C3D1A76"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 kv</w:t>
            </w:r>
          </w:p>
          <w:p w14:paraId="1F2CC835" w14:textId="77777777" w:rsidR="00764877" w:rsidRPr="00E02B5D" w:rsidRDefault="00764877" w:rsidP="006E0EA2">
            <w:pPr>
              <w:spacing w:after="0" w:line="240" w:lineRule="auto"/>
              <w:rPr>
                <w:rFonts w:eastAsia="Times New Roman" w:cs="Calibri"/>
                <w:noProof/>
                <w:color w:val="006100"/>
                <w:sz w:val="18"/>
                <w:szCs w:val="18"/>
                <w:lang w:val="en-GB" w:eastAsia="en-GB"/>
              </w:rPr>
            </w:pPr>
          </w:p>
        </w:tc>
        <w:tc>
          <w:tcPr>
            <w:tcW w:w="328" w:type="pct"/>
            <w:shd w:val="clear" w:color="auto" w:fill="C6EFCE"/>
            <w:noWrap/>
          </w:tcPr>
          <w:p w14:paraId="14095A98"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2024</w:t>
            </w:r>
          </w:p>
        </w:tc>
        <w:tc>
          <w:tcPr>
            <w:tcW w:w="1435" w:type="pct"/>
            <w:shd w:val="clear" w:color="auto" w:fill="C6EFCE"/>
            <w:noWrap/>
          </w:tcPr>
          <w:p w14:paraId="45E53BAE"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Teade lepingute sõlmimise kohta, mille tervishoiuministeerium on saatnud töövõtjatele vähemalt 156 tervisekeskuse renoveerimiseks (50 % kõigist tervisekeskustest Kreekas), mida uuendatakse energiatõhusa renoveerimise ja energiatõhusate meetmete abil seoses avaliku taristu ja meditsiiniseadmetega. Lepingu sõlmimise teatele lisatakse näidisleping, milles määratakse kindlaks lõpuleviimise ajakava, mis hõlmab 2025. aasta 4. kvartali lõpuleviimise kuupäeva, ning aruanne, milles tuuakse välja tehtavate tööde põhijooned.</w:t>
            </w:r>
          </w:p>
        </w:tc>
      </w:tr>
      <w:tr w:rsidR="006E0EA2" w:rsidRPr="003B132A" w14:paraId="290CE788" w14:textId="77777777" w:rsidTr="00C15C41">
        <w:trPr>
          <w:trHeight w:val="313"/>
        </w:trPr>
        <w:tc>
          <w:tcPr>
            <w:tcW w:w="320" w:type="pct"/>
            <w:shd w:val="clear" w:color="auto" w:fill="C6EFCE"/>
            <w:noWrap/>
          </w:tcPr>
          <w:p w14:paraId="6294C8C3"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162</w:t>
            </w:r>
          </w:p>
        </w:tc>
        <w:tc>
          <w:tcPr>
            <w:tcW w:w="408" w:type="pct"/>
            <w:shd w:val="clear" w:color="auto" w:fill="C6EFCE"/>
            <w:noWrap/>
          </w:tcPr>
          <w:p w14:paraId="00E6D3A2"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10-3.3. Tervishoiusüsteemi vastupanuvõime, juurdepääsetavuse ja jätkusuutlikkuse parandamine – 16820_Reform vaimse tervise ja sõltuvuse valdkonnas</w:t>
            </w:r>
          </w:p>
        </w:tc>
        <w:tc>
          <w:tcPr>
            <w:tcW w:w="322" w:type="pct"/>
            <w:shd w:val="clear" w:color="auto" w:fill="C6EFCE"/>
            <w:noWrap/>
          </w:tcPr>
          <w:p w14:paraId="3251ABD2"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Siht</w:t>
            </w:r>
          </w:p>
        </w:tc>
        <w:tc>
          <w:tcPr>
            <w:tcW w:w="410" w:type="pct"/>
            <w:shd w:val="clear" w:color="auto" w:fill="C6EFCE"/>
            <w:noWrap/>
          </w:tcPr>
          <w:p w14:paraId="02395316"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Vaimne tervis – avatud 106 ühikut – etapi 2 teine etapp</w:t>
            </w:r>
          </w:p>
        </w:tc>
        <w:tc>
          <w:tcPr>
            <w:tcW w:w="593" w:type="pct"/>
            <w:shd w:val="clear" w:color="auto" w:fill="C6EFCE"/>
            <w:noWrap/>
          </w:tcPr>
          <w:p w14:paraId="6C353005" w14:textId="77777777" w:rsidR="00764877" w:rsidRPr="00AD4052" w:rsidRDefault="00764877" w:rsidP="006E0EA2">
            <w:pPr>
              <w:spacing w:after="0" w:line="240" w:lineRule="auto"/>
              <w:rPr>
                <w:rFonts w:eastAsia="Times New Roman" w:cs="Calibri"/>
                <w:noProof/>
                <w:color w:val="006100"/>
                <w:sz w:val="18"/>
                <w:szCs w:val="18"/>
                <w:lang w:val="fr-BE" w:eastAsia="en-GB"/>
              </w:rPr>
            </w:pPr>
          </w:p>
        </w:tc>
        <w:tc>
          <w:tcPr>
            <w:tcW w:w="408" w:type="pct"/>
            <w:shd w:val="clear" w:color="auto" w:fill="C6EFCE"/>
            <w:noWrap/>
          </w:tcPr>
          <w:p w14:paraId="4F801AC7" w14:textId="30ACA37A" w:rsidR="00764877" w:rsidRPr="00E02B5D" w:rsidRDefault="00764877" w:rsidP="006E0EA2">
            <w:pPr>
              <w:spacing w:after="0" w:line="240" w:lineRule="auto"/>
              <w:rPr>
                <w:rFonts w:eastAsia="Times New Roman" w:cs="Calibri"/>
                <w:noProof/>
                <w:color w:val="006100"/>
                <w:sz w:val="18"/>
                <w:szCs w:val="18"/>
              </w:rPr>
            </w:pPr>
            <w:r>
              <w:rPr>
                <w:noProof/>
                <w:color w:val="006100"/>
                <w:sz w:val="18"/>
              </w:rPr>
              <w:t>Loodud või renoveeritud vaimse tervise üksuste arv</w:t>
            </w:r>
          </w:p>
        </w:tc>
        <w:tc>
          <w:tcPr>
            <w:tcW w:w="276" w:type="pct"/>
            <w:gridSpan w:val="2"/>
            <w:shd w:val="clear" w:color="auto" w:fill="C6EFCE"/>
            <w:noWrap/>
          </w:tcPr>
          <w:p w14:paraId="00902D46"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50</w:t>
            </w:r>
          </w:p>
        </w:tc>
        <w:tc>
          <w:tcPr>
            <w:tcW w:w="272" w:type="pct"/>
            <w:shd w:val="clear" w:color="auto" w:fill="C6EFCE"/>
            <w:noWrap/>
          </w:tcPr>
          <w:p w14:paraId="362575E7"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106</w:t>
            </w:r>
          </w:p>
          <w:p w14:paraId="5628DD7C" w14:textId="77777777" w:rsidR="00764877" w:rsidRPr="00E02B5D" w:rsidRDefault="00764877" w:rsidP="006E0EA2">
            <w:pPr>
              <w:spacing w:after="0" w:line="240" w:lineRule="auto"/>
              <w:rPr>
                <w:rFonts w:eastAsia="Times New Roman" w:cs="Calibri"/>
                <w:noProof/>
                <w:color w:val="006100"/>
                <w:sz w:val="18"/>
                <w:szCs w:val="18"/>
                <w:lang w:val="en-GB" w:eastAsia="en-GB"/>
              </w:rPr>
            </w:pPr>
          </w:p>
        </w:tc>
        <w:tc>
          <w:tcPr>
            <w:tcW w:w="228" w:type="pct"/>
            <w:shd w:val="clear" w:color="auto" w:fill="C6EFCE"/>
            <w:noWrap/>
          </w:tcPr>
          <w:p w14:paraId="78C5B6AF"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4. kv</w:t>
            </w:r>
          </w:p>
        </w:tc>
        <w:tc>
          <w:tcPr>
            <w:tcW w:w="328" w:type="pct"/>
            <w:shd w:val="clear" w:color="auto" w:fill="C6EFCE"/>
            <w:noWrap/>
          </w:tcPr>
          <w:p w14:paraId="53FE5334"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2023</w:t>
            </w:r>
          </w:p>
        </w:tc>
        <w:tc>
          <w:tcPr>
            <w:tcW w:w="1435" w:type="pct"/>
            <w:shd w:val="clear" w:color="auto" w:fill="C6EFCE"/>
            <w:noWrap/>
          </w:tcPr>
          <w:p w14:paraId="5ECAE701" w14:textId="43A71193" w:rsidR="00764877" w:rsidRPr="00E02B5D" w:rsidRDefault="00764877" w:rsidP="006E0EA2">
            <w:pPr>
              <w:spacing w:after="0" w:line="240" w:lineRule="auto"/>
              <w:rPr>
                <w:rFonts w:eastAsia="Times New Roman" w:cs="Calibri"/>
                <w:noProof/>
                <w:color w:val="006100"/>
                <w:sz w:val="18"/>
                <w:szCs w:val="18"/>
              </w:rPr>
            </w:pPr>
            <w:r>
              <w:rPr>
                <w:noProof/>
                <w:color w:val="006100"/>
                <w:sz w:val="18"/>
              </w:rPr>
              <w:t xml:space="preserve">25 uue vaimse tervise üksuse loomine ja tegevuse alustamine ning 31 olemasoleva vaimse tervise üksuse renoveerimine, mida toetab riiklik strateegiline kava vaimse tervise toetamiseks, samuti veebirakenduste arendamine ja vaimse tervise teenuste digitaliseerimine (mis koosneb vaimse tervise üksuste digikaardist ja vaimse tervise teenuseid osutavate mittetulundusüksuste järelevalve digiplatvormist) </w:t>
            </w:r>
          </w:p>
        </w:tc>
      </w:tr>
      <w:tr w:rsidR="006E0EA2" w:rsidRPr="003B132A" w14:paraId="15FE7109" w14:textId="77777777" w:rsidTr="00C15C41">
        <w:trPr>
          <w:trHeight w:val="313"/>
        </w:trPr>
        <w:tc>
          <w:tcPr>
            <w:tcW w:w="320" w:type="pct"/>
            <w:shd w:val="clear" w:color="auto" w:fill="C6EFCE"/>
            <w:noWrap/>
          </w:tcPr>
          <w:p w14:paraId="6F1B21E6"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163</w:t>
            </w:r>
          </w:p>
        </w:tc>
        <w:tc>
          <w:tcPr>
            <w:tcW w:w="408" w:type="pct"/>
            <w:shd w:val="clear" w:color="auto" w:fill="C6EFCE"/>
            <w:noWrap/>
          </w:tcPr>
          <w:p w14:paraId="7EF0580E" w14:textId="7B5A0E9D" w:rsidR="00764877" w:rsidRPr="00E02B5D" w:rsidRDefault="00764877" w:rsidP="006E0EA2">
            <w:pPr>
              <w:spacing w:after="0" w:line="240" w:lineRule="auto"/>
              <w:rPr>
                <w:rFonts w:eastAsia="Times New Roman" w:cs="Calibri"/>
                <w:noProof/>
                <w:color w:val="006100"/>
                <w:sz w:val="18"/>
                <w:szCs w:val="18"/>
              </w:rPr>
            </w:pPr>
            <w:r>
              <w:rPr>
                <w:noProof/>
                <w:color w:val="006100"/>
                <w:sz w:val="18"/>
              </w:rPr>
              <w:t xml:space="preserve">10-3.3. Tervishoiusüsteemi vastupanuvõime, juurdepääsetavuse ja jätkusuutlikkuse parandamine – 16756_Tervishoiusüsteemi organisatsioonilised reformid </w:t>
            </w:r>
          </w:p>
        </w:tc>
        <w:tc>
          <w:tcPr>
            <w:tcW w:w="322" w:type="pct"/>
            <w:shd w:val="clear" w:color="auto" w:fill="C6EFCE"/>
            <w:noWrap/>
          </w:tcPr>
          <w:p w14:paraId="656F19AE"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Eesmärk</w:t>
            </w:r>
          </w:p>
        </w:tc>
        <w:tc>
          <w:tcPr>
            <w:tcW w:w="410" w:type="pct"/>
            <w:shd w:val="clear" w:color="auto" w:fill="C6EFCE"/>
            <w:noWrap/>
          </w:tcPr>
          <w:p w14:paraId="72390724"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Tervishoiusüsteem – finaliseerida Kreeka DRG instituut KETEKNY ja uus tervishoiu kvaliteedi tagamise amet ODIPY (v. a koolitus)</w:t>
            </w:r>
          </w:p>
        </w:tc>
        <w:tc>
          <w:tcPr>
            <w:tcW w:w="593" w:type="pct"/>
            <w:shd w:val="clear" w:color="auto" w:fill="C6EFCE"/>
            <w:noWrap/>
          </w:tcPr>
          <w:p w14:paraId="10D3F59B"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Tõendid allprojektide 1, 2, 3, KETEKNY ja ODIPY allprojektide 1, 2, 3 ja 5 lõpuleviimise kohta, esitades eespool nimetatud tulemused ja renoveerimise (ODIPY allprojekt 5) kohta aruande hoonete renoveerimise lõpuleviimise kohta.</w:t>
            </w:r>
          </w:p>
        </w:tc>
        <w:tc>
          <w:tcPr>
            <w:tcW w:w="408" w:type="pct"/>
            <w:shd w:val="clear" w:color="auto" w:fill="C6EFCE"/>
            <w:noWrap/>
          </w:tcPr>
          <w:p w14:paraId="2E81E2CC"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76" w:type="pct"/>
            <w:gridSpan w:val="2"/>
            <w:shd w:val="clear" w:color="auto" w:fill="C6EFCE"/>
            <w:noWrap/>
          </w:tcPr>
          <w:p w14:paraId="47E67B62"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72" w:type="pct"/>
            <w:shd w:val="clear" w:color="auto" w:fill="C6EFCE"/>
            <w:noWrap/>
          </w:tcPr>
          <w:p w14:paraId="70183F2E"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28" w:type="pct"/>
            <w:shd w:val="clear" w:color="auto" w:fill="C6EFCE"/>
            <w:noWrap/>
          </w:tcPr>
          <w:p w14:paraId="6D3CCD15"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 kv</w:t>
            </w:r>
          </w:p>
        </w:tc>
        <w:tc>
          <w:tcPr>
            <w:tcW w:w="328" w:type="pct"/>
            <w:shd w:val="clear" w:color="auto" w:fill="C6EFCE"/>
            <w:noWrap/>
          </w:tcPr>
          <w:p w14:paraId="509484C1"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2025</w:t>
            </w:r>
          </w:p>
        </w:tc>
        <w:tc>
          <w:tcPr>
            <w:tcW w:w="1435" w:type="pct"/>
            <w:shd w:val="clear" w:color="auto" w:fill="C6EFCE"/>
            <w:noWrap/>
          </w:tcPr>
          <w:p w14:paraId="6CB5D021"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Viia lõpule koostalitlusvõime laiendamine, rahvusvahelise haiguste klassifikatsiooni katseprojekt (ICD) ja Kreeka meditsiiniprotseduuride klassifikatsiooni (ETIP) meditsiinilise kodeerimise konsultatsiooniplatvormid ning finants- ja raamatupidamisandmete kogumise platvormi katseprojekt (allprojektid 1, 2, 3 KETEKNY) ning riiklik strateegia ja kavandatud õigusraamistik kvaliteedi tagamise, patsiendi ohutuse ja patsientide tervishoiuteenuste osutamises osalemise kohta; riiklik tervisekaart; riiklik strateegia ja kavandatud õigusraamistik tervishoiu- ja ohutuspoliitika kvaliteedi ning tuberkuloosihaigla (Spiliopouleio) hoone renoveerimise kohta, mida kasutatakse tervishoiu kvaliteedi tagamise riikliku organisatsiooni (ODIPY) ja Kreeka tervishoiu keskasutuse (KESY) peakorterina.</w:t>
            </w:r>
          </w:p>
        </w:tc>
      </w:tr>
      <w:tr w:rsidR="006E0EA2" w:rsidRPr="003B132A" w14:paraId="267EC2C3" w14:textId="77777777" w:rsidTr="00C15C41">
        <w:trPr>
          <w:trHeight w:val="313"/>
        </w:trPr>
        <w:tc>
          <w:tcPr>
            <w:tcW w:w="320" w:type="pct"/>
            <w:shd w:val="clear" w:color="auto" w:fill="C6EFCE"/>
            <w:noWrap/>
          </w:tcPr>
          <w:p w14:paraId="5D43213D"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164</w:t>
            </w:r>
          </w:p>
        </w:tc>
        <w:tc>
          <w:tcPr>
            <w:tcW w:w="408" w:type="pct"/>
            <w:shd w:val="clear" w:color="auto" w:fill="C6EFCE"/>
            <w:noWrap/>
          </w:tcPr>
          <w:p w14:paraId="735EF920" w14:textId="48EF918C" w:rsidR="00764877" w:rsidRPr="00E02B5D" w:rsidRDefault="00764877" w:rsidP="006E0EA2">
            <w:pPr>
              <w:spacing w:after="0" w:line="240" w:lineRule="auto"/>
              <w:rPr>
                <w:rFonts w:eastAsia="Times New Roman" w:cs="Calibri"/>
                <w:noProof/>
                <w:color w:val="006100"/>
                <w:sz w:val="18"/>
                <w:szCs w:val="18"/>
              </w:rPr>
            </w:pPr>
            <w:r>
              <w:rPr>
                <w:noProof/>
                <w:color w:val="006100"/>
                <w:sz w:val="18"/>
              </w:rPr>
              <w:t xml:space="preserve">10-3.3. Tervishoiusüsteemi vastupanuvõime, juurdepääsetavuse ja jätkusuutlikkuse parandamine – 16756_Tervishoiusüsteemi organisatsioonilised reformid </w:t>
            </w:r>
          </w:p>
        </w:tc>
        <w:tc>
          <w:tcPr>
            <w:tcW w:w="322" w:type="pct"/>
            <w:shd w:val="clear" w:color="auto" w:fill="C6EFCE"/>
            <w:noWrap/>
          </w:tcPr>
          <w:p w14:paraId="1D8823E8"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Siht</w:t>
            </w:r>
          </w:p>
        </w:tc>
        <w:tc>
          <w:tcPr>
            <w:tcW w:w="410" w:type="pct"/>
            <w:shd w:val="clear" w:color="auto" w:fill="C6EFCE"/>
            <w:noWrap/>
          </w:tcPr>
          <w:p w14:paraId="0AD648B0"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Tervishoiusüsteem – KETEKNY ODIPY läbinud koolituse</w:t>
            </w:r>
          </w:p>
        </w:tc>
        <w:tc>
          <w:tcPr>
            <w:tcW w:w="593" w:type="pct"/>
            <w:shd w:val="clear" w:color="auto" w:fill="C6EFCE"/>
            <w:noWrap/>
          </w:tcPr>
          <w:p w14:paraId="59AF2D67"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408" w:type="pct"/>
            <w:shd w:val="clear" w:color="auto" w:fill="C6EFCE"/>
            <w:noWrap/>
          </w:tcPr>
          <w:p w14:paraId="306D9B5D"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Nende tervishoiutöötajate arv, kes on läbinud koolitusprogrammid ja kes on kliinilise kodeerimise, arvete esitamise ja vastavushindamise käigus ametlikult sertifitseeritud</w:t>
            </w:r>
          </w:p>
        </w:tc>
        <w:tc>
          <w:tcPr>
            <w:tcW w:w="276" w:type="pct"/>
            <w:gridSpan w:val="2"/>
            <w:shd w:val="clear" w:color="auto" w:fill="C6EFCE"/>
            <w:noWrap/>
          </w:tcPr>
          <w:p w14:paraId="77EE1B8B"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0</w:t>
            </w:r>
          </w:p>
        </w:tc>
        <w:tc>
          <w:tcPr>
            <w:tcW w:w="272" w:type="pct"/>
            <w:shd w:val="clear" w:color="auto" w:fill="C6EFCE"/>
            <w:noWrap/>
          </w:tcPr>
          <w:p w14:paraId="04A39EC2"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4 500</w:t>
            </w:r>
          </w:p>
        </w:tc>
        <w:tc>
          <w:tcPr>
            <w:tcW w:w="228" w:type="pct"/>
            <w:shd w:val="clear" w:color="auto" w:fill="C6EFCE"/>
            <w:noWrap/>
          </w:tcPr>
          <w:p w14:paraId="140E2450"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 kv</w:t>
            </w:r>
          </w:p>
        </w:tc>
        <w:tc>
          <w:tcPr>
            <w:tcW w:w="328" w:type="pct"/>
            <w:shd w:val="clear" w:color="auto" w:fill="C6EFCE"/>
            <w:noWrap/>
          </w:tcPr>
          <w:p w14:paraId="7D93CE80"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2025</w:t>
            </w:r>
          </w:p>
        </w:tc>
        <w:tc>
          <w:tcPr>
            <w:tcW w:w="1435" w:type="pct"/>
            <w:shd w:val="clear" w:color="auto" w:fill="C6EFCE"/>
            <w:noWrap/>
          </w:tcPr>
          <w:p w14:paraId="2A66029B" w14:textId="612BEFBF" w:rsidR="00764877" w:rsidRPr="00E02B5D" w:rsidRDefault="00764877" w:rsidP="006E0EA2">
            <w:pPr>
              <w:spacing w:after="0" w:line="240" w:lineRule="auto"/>
              <w:rPr>
                <w:rFonts w:eastAsia="Times New Roman" w:cs="Calibri"/>
                <w:noProof/>
                <w:color w:val="006100"/>
                <w:sz w:val="18"/>
                <w:szCs w:val="18"/>
              </w:rPr>
            </w:pPr>
            <w:r>
              <w:rPr>
                <w:noProof/>
                <w:color w:val="006100"/>
                <w:sz w:val="18"/>
              </w:rPr>
              <w:t>4 500 tervishoiutöötaja koolitamise ja sertifitseerimise lõpuleviimine kliinilise kodeerimise ja arvete esitamise (allprojekt 4 KETEKNY) ja uuel ühisel hindamisraamistikul (allprojekt 4 ODIPY) põhineva vastavushindamise (allprojekt 4 ODIPY) valdkonnas proportsionaalselt KETEKNY ja ODIPY jaoks kindlaks tehtud vajadustega.</w:t>
            </w:r>
          </w:p>
        </w:tc>
      </w:tr>
      <w:tr w:rsidR="003A6084" w:rsidRPr="003B132A" w14:paraId="58A80BB6" w14:textId="77777777" w:rsidTr="00C15C41">
        <w:trPr>
          <w:trHeight w:val="313"/>
        </w:trPr>
        <w:tc>
          <w:tcPr>
            <w:tcW w:w="320" w:type="pct"/>
            <w:shd w:val="clear" w:color="auto" w:fill="C6EFCE"/>
            <w:noWrap/>
          </w:tcPr>
          <w:p w14:paraId="68026D22" w14:textId="77777777" w:rsidR="003D5AEB" w:rsidRPr="00E02B5D" w:rsidRDefault="003D5AEB">
            <w:pPr>
              <w:spacing w:after="0" w:line="240" w:lineRule="auto"/>
              <w:rPr>
                <w:noProof/>
                <w:color w:val="006100"/>
                <w:sz w:val="18"/>
                <w:szCs w:val="18"/>
              </w:rPr>
            </w:pPr>
            <w:r>
              <w:rPr>
                <w:noProof/>
                <w:color w:val="006100"/>
                <w:sz w:val="18"/>
              </w:rPr>
              <w:t>164a</w:t>
            </w:r>
          </w:p>
        </w:tc>
        <w:tc>
          <w:tcPr>
            <w:tcW w:w="408" w:type="pct"/>
            <w:shd w:val="clear" w:color="auto" w:fill="C6EFCE"/>
            <w:noWrap/>
          </w:tcPr>
          <w:p w14:paraId="40219754" w14:textId="6E18418B" w:rsidR="003D5AEB" w:rsidRPr="00E02B5D" w:rsidRDefault="003D5AEB">
            <w:pPr>
              <w:spacing w:after="0" w:line="240" w:lineRule="auto"/>
              <w:rPr>
                <w:noProof/>
                <w:color w:val="006100"/>
                <w:sz w:val="18"/>
              </w:rPr>
            </w:pPr>
            <w:r>
              <w:rPr>
                <w:noProof/>
                <w:color w:val="006100"/>
                <w:sz w:val="18"/>
              </w:rPr>
              <w:t>10-3.3. Tervishoiusüsteemi vastupanuvõime, juurdepääsetavuse ja jätkusuutlikkuse parandamine – 16 756_Tervishoiusüsteemi organisatsioonilised reformid</w:t>
            </w:r>
          </w:p>
        </w:tc>
        <w:tc>
          <w:tcPr>
            <w:tcW w:w="322" w:type="pct"/>
            <w:shd w:val="clear" w:color="auto" w:fill="C6EFCE"/>
            <w:noWrap/>
          </w:tcPr>
          <w:p w14:paraId="63B75385" w14:textId="77777777" w:rsidR="003D5AEB" w:rsidRPr="00E02B5D" w:rsidRDefault="00E66067">
            <w:pPr>
              <w:spacing w:after="0" w:line="240" w:lineRule="auto"/>
              <w:rPr>
                <w:noProof/>
                <w:color w:val="006100"/>
                <w:sz w:val="18"/>
              </w:rPr>
            </w:pPr>
            <w:r>
              <w:rPr>
                <w:noProof/>
                <w:color w:val="006100"/>
                <w:sz w:val="18"/>
              </w:rPr>
              <w:t>Siht</w:t>
            </w:r>
          </w:p>
        </w:tc>
        <w:tc>
          <w:tcPr>
            <w:tcW w:w="410" w:type="pct"/>
            <w:shd w:val="clear" w:color="auto" w:fill="C6EFCE"/>
            <w:noWrap/>
          </w:tcPr>
          <w:p w14:paraId="0B0C05A3" w14:textId="77777777" w:rsidR="003D5AEB" w:rsidRPr="00E02B5D" w:rsidRDefault="002502A7">
            <w:pPr>
              <w:spacing w:after="0" w:line="240" w:lineRule="auto"/>
              <w:rPr>
                <w:noProof/>
                <w:color w:val="006100"/>
                <w:sz w:val="18"/>
              </w:rPr>
            </w:pPr>
            <w:r>
              <w:rPr>
                <w:noProof/>
                <w:color w:val="006100"/>
                <w:sz w:val="18"/>
              </w:rPr>
              <w:t>Kirurgiliste ootenimekirjade vähendamine</w:t>
            </w:r>
          </w:p>
        </w:tc>
        <w:tc>
          <w:tcPr>
            <w:tcW w:w="593" w:type="pct"/>
            <w:shd w:val="clear" w:color="auto" w:fill="C6EFCE"/>
            <w:noWrap/>
          </w:tcPr>
          <w:p w14:paraId="6740FC67" w14:textId="77777777" w:rsidR="003D5AEB" w:rsidRPr="00E02B5D" w:rsidRDefault="003D5AEB">
            <w:pPr>
              <w:spacing w:after="0" w:line="240" w:lineRule="auto"/>
              <w:rPr>
                <w:rFonts w:eastAsia="Times New Roman" w:cs="Calibri"/>
                <w:noProof/>
                <w:color w:val="006100"/>
                <w:sz w:val="18"/>
                <w:szCs w:val="18"/>
                <w:lang w:val="en-GB" w:eastAsia="en-GB"/>
              </w:rPr>
            </w:pPr>
          </w:p>
        </w:tc>
        <w:tc>
          <w:tcPr>
            <w:tcW w:w="408" w:type="pct"/>
            <w:shd w:val="clear" w:color="auto" w:fill="C6EFCE"/>
            <w:noWrap/>
          </w:tcPr>
          <w:p w14:paraId="431FF27B" w14:textId="77777777" w:rsidR="003D5AEB" w:rsidRPr="00E02B5D" w:rsidRDefault="006870C1">
            <w:pPr>
              <w:spacing w:after="0" w:line="240" w:lineRule="auto"/>
              <w:rPr>
                <w:noProof/>
                <w:color w:val="006100"/>
                <w:sz w:val="18"/>
              </w:rPr>
            </w:pPr>
            <w:r>
              <w:rPr>
                <w:noProof/>
                <w:color w:val="006100"/>
                <w:sz w:val="18"/>
              </w:rPr>
              <w:t>Lõpetatud kirurgiliste operatsioonide arv patsientidel, kes on viibinud kauem kui neli kuud.</w:t>
            </w:r>
          </w:p>
        </w:tc>
        <w:tc>
          <w:tcPr>
            <w:tcW w:w="274" w:type="pct"/>
            <w:shd w:val="clear" w:color="auto" w:fill="C6EFCE"/>
            <w:noWrap/>
          </w:tcPr>
          <w:p w14:paraId="3BA62436" w14:textId="77777777" w:rsidR="003D5AEB" w:rsidRPr="00E02B5D" w:rsidRDefault="006870C1">
            <w:pPr>
              <w:spacing w:after="0" w:line="240" w:lineRule="auto"/>
              <w:rPr>
                <w:noProof/>
                <w:color w:val="006100"/>
                <w:sz w:val="18"/>
              </w:rPr>
            </w:pPr>
            <w:r>
              <w:rPr>
                <w:noProof/>
                <w:color w:val="006100"/>
                <w:sz w:val="18"/>
              </w:rPr>
              <w:t>0</w:t>
            </w:r>
          </w:p>
        </w:tc>
        <w:tc>
          <w:tcPr>
            <w:tcW w:w="274" w:type="pct"/>
            <w:gridSpan w:val="2"/>
            <w:shd w:val="clear" w:color="auto" w:fill="C6EFCE"/>
            <w:noWrap/>
          </w:tcPr>
          <w:p w14:paraId="6FC8090D" w14:textId="50A497CC" w:rsidR="003D5AEB" w:rsidRPr="00E02B5D" w:rsidRDefault="006870C1">
            <w:pPr>
              <w:spacing w:after="0" w:line="240" w:lineRule="auto"/>
              <w:rPr>
                <w:noProof/>
                <w:color w:val="006100"/>
                <w:sz w:val="18"/>
              </w:rPr>
            </w:pPr>
            <w:r>
              <w:rPr>
                <w:noProof/>
                <w:color w:val="006100"/>
                <w:sz w:val="18"/>
              </w:rPr>
              <w:t>34 000</w:t>
            </w:r>
          </w:p>
        </w:tc>
        <w:tc>
          <w:tcPr>
            <w:tcW w:w="228" w:type="pct"/>
            <w:shd w:val="clear" w:color="auto" w:fill="C6EFCE"/>
            <w:noWrap/>
          </w:tcPr>
          <w:p w14:paraId="681024F7" w14:textId="77777777" w:rsidR="003D5AEB" w:rsidRPr="00E02B5D" w:rsidRDefault="006870C1">
            <w:pPr>
              <w:spacing w:after="0" w:line="240" w:lineRule="auto"/>
              <w:rPr>
                <w:noProof/>
                <w:color w:val="006100"/>
                <w:sz w:val="18"/>
              </w:rPr>
            </w:pPr>
            <w:r>
              <w:rPr>
                <w:noProof/>
                <w:color w:val="006100"/>
                <w:sz w:val="18"/>
              </w:rPr>
              <w:t>4. kv</w:t>
            </w:r>
          </w:p>
        </w:tc>
        <w:tc>
          <w:tcPr>
            <w:tcW w:w="328" w:type="pct"/>
            <w:shd w:val="clear" w:color="auto" w:fill="C6EFCE"/>
            <w:noWrap/>
          </w:tcPr>
          <w:p w14:paraId="4E6711A3" w14:textId="77777777" w:rsidR="003D5AEB" w:rsidRPr="00E02B5D" w:rsidRDefault="006870C1">
            <w:pPr>
              <w:spacing w:after="0" w:line="240" w:lineRule="auto"/>
              <w:rPr>
                <w:noProof/>
                <w:color w:val="006100"/>
                <w:sz w:val="18"/>
              </w:rPr>
            </w:pPr>
            <w:r>
              <w:rPr>
                <w:noProof/>
                <w:color w:val="006100"/>
                <w:sz w:val="18"/>
              </w:rPr>
              <w:t>2025</w:t>
            </w:r>
          </w:p>
        </w:tc>
        <w:tc>
          <w:tcPr>
            <w:tcW w:w="1435" w:type="pct"/>
            <w:shd w:val="clear" w:color="auto" w:fill="C6EFCE"/>
            <w:noWrap/>
          </w:tcPr>
          <w:p w14:paraId="631C885C" w14:textId="73E9AC98" w:rsidR="003D5AEB" w:rsidRPr="00E02B5D" w:rsidRDefault="00935BC1">
            <w:pPr>
              <w:spacing w:after="0" w:line="240" w:lineRule="auto"/>
              <w:rPr>
                <w:noProof/>
                <w:color w:val="006100"/>
                <w:sz w:val="18"/>
                <w:szCs w:val="18"/>
              </w:rPr>
            </w:pPr>
            <w:r>
              <w:rPr>
                <w:noProof/>
                <w:color w:val="006100"/>
                <w:sz w:val="18"/>
              </w:rPr>
              <w:t>Mahajäämuse vähendamine vähemalt poole võrra nende patsientide pooleliolevate kirurgiliste operatsioonide koguarvust, kes on ühtses digitaalses kirurgianimekirjas olnud kauem kui neli kuud (tuginedes nimekirja staatusele 16. oktoobri 2024. aasta seisuga). See hõlmab 34 000 operatsiooni lõpetamist patsientidele, kes ootasid kauem kui neli kuud, sealhulgas vähemalt 26 000 operatsiooni kauem kui 8 kuud ootavatele patsientidele.</w:t>
            </w:r>
          </w:p>
        </w:tc>
      </w:tr>
      <w:tr w:rsidR="006E0EA2" w:rsidRPr="003B132A" w14:paraId="6450AAEB" w14:textId="77777777" w:rsidTr="00C15C41">
        <w:trPr>
          <w:trHeight w:val="313"/>
        </w:trPr>
        <w:tc>
          <w:tcPr>
            <w:tcW w:w="320" w:type="pct"/>
            <w:shd w:val="clear" w:color="auto" w:fill="C6EFCE"/>
            <w:noWrap/>
          </w:tcPr>
          <w:p w14:paraId="41D61A3C"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165</w:t>
            </w:r>
          </w:p>
        </w:tc>
        <w:tc>
          <w:tcPr>
            <w:tcW w:w="408" w:type="pct"/>
            <w:shd w:val="clear" w:color="auto" w:fill="C6EFCE"/>
            <w:noWrap/>
          </w:tcPr>
          <w:p w14:paraId="4DB956D3" w14:textId="77777777" w:rsidR="00764877" w:rsidRPr="00E02B5D" w:rsidRDefault="00764877" w:rsidP="006E0EA2">
            <w:pPr>
              <w:spacing w:after="0" w:line="240" w:lineRule="auto"/>
              <w:rPr>
                <w:rFonts w:eastAsia="Times New Roman"/>
                <w:noProof/>
                <w:color w:val="006100"/>
                <w:sz w:val="18"/>
                <w:szCs w:val="18"/>
              </w:rPr>
            </w:pPr>
            <w:r>
              <w:rPr>
                <w:noProof/>
                <w:color w:val="006100"/>
                <w:sz w:val="18"/>
              </w:rPr>
              <w:t>10-3.3. Tervishoiu vastupanuvõime, juurdepääsetavuse ja jätkusuutlikkuse parandamine – 16783_Riikliku rahvatervise ennetusprogrammi „Spiros Doxiadis“ rakendamine</w:t>
            </w:r>
          </w:p>
          <w:p w14:paraId="5A44AD20" w14:textId="77777777" w:rsidR="00764877" w:rsidRPr="00AD4052" w:rsidRDefault="00764877" w:rsidP="006E0EA2">
            <w:pPr>
              <w:spacing w:after="0" w:line="240" w:lineRule="auto"/>
              <w:rPr>
                <w:rFonts w:eastAsia="Times New Roman" w:cs="Calibri"/>
                <w:noProof/>
                <w:color w:val="006100"/>
                <w:sz w:val="18"/>
                <w:szCs w:val="18"/>
                <w:highlight w:val="yellow"/>
                <w:lang w:eastAsia="en-GB"/>
              </w:rPr>
            </w:pPr>
          </w:p>
          <w:p w14:paraId="17B2819D"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322" w:type="pct"/>
            <w:shd w:val="clear" w:color="auto" w:fill="C6EFCE"/>
            <w:noWrap/>
          </w:tcPr>
          <w:p w14:paraId="36232779"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Eesmärk</w:t>
            </w:r>
          </w:p>
        </w:tc>
        <w:tc>
          <w:tcPr>
            <w:tcW w:w="410" w:type="pct"/>
            <w:shd w:val="clear" w:color="auto" w:fill="C6EFCE"/>
            <w:noWrap/>
          </w:tcPr>
          <w:p w14:paraId="7DAE12B6"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Spirose riiklik rahvatervise ennetusprogramm „Spiros Doxiadis“ – kõik projektid on lõpule viidud</w:t>
            </w:r>
          </w:p>
        </w:tc>
        <w:tc>
          <w:tcPr>
            <w:tcW w:w="593" w:type="pct"/>
            <w:shd w:val="clear" w:color="auto" w:fill="C6EFCE"/>
            <w:noWrap/>
          </w:tcPr>
          <w:p w14:paraId="1A10D471"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Tõendid kõigi projektide lõpuleviimise kohta, mida tõendavad aruanded kõigi valdkondade kohta (riigi tervishoiusüsteemi esmane, teisene, kolmanda taseme ja funktsionaalne ajakohastamine), mis hõlmavad iga meetmega hõlmatud kõiki meetmeid ja elanikkonda.</w:t>
            </w:r>
          </w:p>
        </w:tc>
        <w:tc>
          <w:tcPr>
            <w:tcW w:w="408" w:type="pct"/>
            <w:shd w:val="clear" w:color="auto" w:fill="C6EFCE"/>
            <w:noWrap/>
          </w:tcPr>
          <w:p w14:paraId="12B2C480"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76" w:type="pct"/>
            <w:gridSpan w:val="2"/>
            <w:shd w:val="clear" w:color="auto" w:fill="C6EFCE"/>
            <w:noWrap/>
          </w:tcPr>
          <w:p w14:paraId="6F2926FB"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72" w:type="pct"/>
            <w:shd w:val="clear" w:color="auto" w:fill="C6EFCE"/>
            <w:noWrap/>
          </w:tcPr>
          <w:p w14:paraId="18C96C23"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28" w:type="pct"/>
            <w:shd w:val="clear" w:color="auto" w:fill="C6EFCE"/>
            <w:noWrap/>
          </w:tcPr>
          <w:p w14:paraId="0246456C"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4. kv</w:t>
            </w:r>
          </w:p>
        </w:tc>
        <w:tc>
          <w:tcPr>
            <w:tcW w:w="328" w:type="pct"/>
            <w:shd w:val="clear" w:color="auto" w:fill="C6EFCE"/>
            <w:noWrap/>
          </w:tcPr>
          <w:p w14:paraId="5CE1F761"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2025</w:t>
            </w:r>
          </w:p>
        </w:tc>
        <w:tc>
          <w:tcPr>
            <w:tcW w:w="1435" w:type="pct"/>
            <w:shd w:val="clear" w:color="auto" w:fill="C6EFCE"/>
            <w:noWrap/>
          </w:tcPr>
          <w:p w14:paraId="63DC3874"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100 % rahvatervise ennetuse riikliku programmi „Spiros Doxiadis“ projektide lõpuleviimine</w:t>
            </w:r>
          </w:p>
          <w:p w14:paraId="126EA06C" w14:textId="77777777" w:rsidR="00764877" w:rsidRPr="00AD4052" w:rsidRDefault="00764877" w:rsidP="006E0EA2">
            <w:pPr>
              <w:spacing w:after="0" w:line="240" w:lineRule="auto"/>
              <w:rPr>
                <w:rFonts w:eastAsia="Times New Roman" w:cs="Calibri"/>
                <w:noProof/>
                <w:color w:val="006100"/>
                <w:sz w:val="18"/>
                <w:szCs w:val="18"/>
                <w:lang w:val="fr-BE" w:eastAsia="en-GB"/>
              </w:rPr>
            </w:pPr>
          </w:p>
          <w:p w14:paraId="390D0063"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 Esmane ennetamine: millest annab tunnistust aruanne i) füüsilise õppuse ja tervisliku toitumise edendamise riikliku programmi, ii) riikliku alkoholiprogrammi, iii) riikliku vaktsineerimisprogrammi, iv) laste psühhosotsiaalsete probleemide ennetamiseks võetavate sekkumismeetmete ja v) hambaarstide ennetamise kohta.</w:t>
            </w:r>
          </w:p>
          <w:p w14:paraId="42D4B5CC"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 Sekundaarne ennetamine: millest annab tunnistust aruanne i) väga levinud haiguste varaseks avastamiseks mõeldud riikliku sõeluuringuprogrammi, ii) sünnieelset ennetamist käsitleva riikliku süsteemse programmi ja sünnieelse kontrolli rakendamise kohta.</w:t>
            </w:r>
          </w:p>
          <w:p w14:paraId="754F3929"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3. Kolmanda taseme ennetus: seda tõendavad uuringud vähi Palliatiivse ravi riikliku strateegia ja õigusraamistiku kohta.</w:t>
            </w:r>
          </w:p>
          <w:p w14:paraId="7B50C2DE"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4. Rahvatervise süsteemi funktsionaalne ajakohastamine: nagu näitavad aruanded i) rahvastiku tervise seiresüsteemi funktsionaalse ümberkorraldamise rakendamise kohta, ii) riiklike tervishoiuteenuste tõhususe ja tulemuslikkuse kohta, iii) hädaolukordadele ja ohtudele reageerimise kiirreageerimismehhanismide tõhususe kohta, iv) keskkonnatervise mehhanismide tõhususe parandamise kohta, v) osutatavate teenuste kvaliteedi ja teadusliku kehtivuse parandamise kohta, vi) rahvatervise infotehnoloogilise korralduse kohta, vii) avatuse kohta.</w:t>
            </w:r>
          </w:p>
        </w:tc>
      </w:tr>
      <w:tr w:rsidR="006E0EA2" w:rsidRPr="003B132A" w14:paraId="29CF5AF0" w14:textId="77777777" w:rsidTr="00C15C41">
        <w:trPr>
          <w:trHeight w:val="313"/>
        </w:trPr>
        <w:tc>
          <w:tcPr>
            <w:tcW w:w="320" w:type="pct"/>
            <w:shd w:val="clear" w:color="auto" w:fill="C6EFCE"/>
            <w:noWrap/>
          </w:tcPr>
          <w:p w14:paraId="05B9E559"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166</w:t>
            </w:r>
          </w:p>
        </w:tc>
        <w:tc>
          <w:tcPr>
            <w:tcW w:w="408" w:type="pct"/>
            <w:shd w:val="clear" w:color="auto" w:fill="C6EFCE"/>
            <w:noWrap/>
          </w:tcPr>
          <w:p w14:paraId="47A030FE"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10-3.3. Tervishoiu vastupanuvõime, juurdepääsetavuse ja jätkusuutlikkuse parandamine – 16755_Keskkonnasõbralikud investeeringud – esmatasandi tervishoiusüsteemi reform</w:t>
            </w:r>
          </w:p>
        </w:tc>
        <w:tc>
          <w:tcPr>
            <w:tcW w:w="322" w:type="pct"/>
            <w:shd w:val="clear" w:color="auto" w:fill="C6EFCE"/>
            <w:noWrap/>
          </w:tcPr>
          <w:p w14:paraId="678459D0"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Siht</w:t>
            </w:r>
          </w:p>
        </w:tc>
        <w:tc>
          <w:tcPr>
            <w:tcW w:w="410" w:type="pct"/>
            <w:shd w:val="clear" w:color="auto" w:fill="C6EFCE"/>
            <w:noWrap/>
          </w:tcPr>
          <w:p w14:paraId="5B765CB9"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PHC – täielikult renoveeritud tervisekeskused</w:t>
            </w:r>
          </w:p>
        </w:tc>
        <w:tc>
          <w:tcPr>
            <w:tcW w:w="593" w:type="pct"/>
            <w:shd w:val="clear" w:color="auto" w:fill="C6EFCE"/>
            <w:noWrap/>
          </w:tcPr>
          <w:p w14:paraId="66D00F14" w14:textId="77777777" w:rsidR="00764877" w:rsidRPr="00E02B5D" w:rsidRDefault="00764877" w:rsidP="006E0EA2">
            <w:pPr>
              <w:spacing w:after="0" w:line="240" w:lineRule="auto"/>
              <w:rPr>
                <w:rFonts w:eastAsia="Times New Roman" w:cs="Calibri"/>
                <w:noProof/>
                <w:color w:val="006100"/>
                <w:sz w:val="18"/>
                <w:szCs w:val="18"/>
                <w:lang w:val="en-GB" w:eastAsia="en-GB"/>
              </w:rPr>
            </w:pPr>
          </w:p>
        </w:tc>
        <w:tc>
          <w:tcPr>
            <w:tcW w:w="408" w:type="pct"/>
            <w:shd w:val="clear" w:color="auto" w:fill="C6EFCE"/>
            <w:noWrap/>
          </w:tcPr>
          <w:p w14:paraId="56DF655B"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Selliste tervisekeskuste arv (vähemalt), kus taristu renoveerimine on täielikult lõpule viidud ja keskused toimivad</w:t>
            </w:r>
          </w:p>
        </w:tc>
        <w:tc>
          <w:tcPr>
            <w:tcW w:w="276" w:type="pct"/>
            <w:gridSpan w:val="2"/>
            <w:shd w:val="clear" w:color="auto" w:fill="C6EFCE"/>
            <w:noWrap/>
          </w:tcPr>
          <w:p w14:paraId="53402DE6"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0</w:t>
            </w:r>
          </w:p>
        </w:tc>
        <w:tc>
          <w:tcPr>
            <w:tcW w:w="272" w:type="pct"/>
            <w:shd w:val="clear" w:color="auto" w:fill="C6EFCE"/>
            <w:noWrap/>
          </w:tcPr>
          <w:p w14:paraId="602DA23A"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156</w:t>
            </w:r>
          </w:p>
        </w:tc>
        <w:tc>
          <w:tcPr>
            <w:tcW w:w="228" w:type="pct"/>
            <w:shd w:val="clear" w:color="auto" w:fill="C6EFCE"/>
            <w:noWrap/>
          </w:tcPr>
          <w:p w14:paraId="51B56476"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4. kv</w:t>
            </w:r>
          </w:p>
        </w:tc>
        <w:tc>
          <w:tcPr>
            <w:tcW w:w="328" w:type="pct"/>
            <w:shd w:val="clear" w:color="auto" w:fill="C6EFCE"/>
            <w:noWrap/>
          </w:tcPr>
          <w:p w14:paraId="36DBD118"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2025</w:t>
            </w:r>
          </w:p>
        </w:tc>
        <w:tc>
          <w:tcPr>
            <w:tcW w:w="1435" w:type="pct"/>
            <w:shd w:val="clear" w:color="auto" w:fill="C6EFCE"/>
            <w:noWrap/>
          </w:tcPr>
          <w:p w14:paraId="29F15179" w14:textId="1D09C6CD" w:rsidR="00764877" w:rsidRPr="00E02B5D" w:rsidRDefault="00764877" w:rsidP="006E0EA2">
            <w:pPr>
              <w:spacing w:after="0" w:line="240" w:lineRule="auto"/>
              <w:rPr>
                <w:rFonts w:eastAsia="Times New Roman" w:cs="Calibri"/>
                <w:noProof/>
                <w:color w:val="006100"/>
                <w:sz w:val="18"/>
                <w:szCs w:val="18"/>
              </w:rPr>
            </w:pPr>
            <w:r>
              <w:rPr>
                <w:noProof/>
                <w:color w:val="006100"/>
                <w:sz w:val="18"/>
              </w:rPr>
              <w:t>Vähemalt 156 tervisekeskuse (50 % kõigist tervisekeskustest Kreekas) taristu renoveerimise lõpuleviimine energiatõhususe parandamiseks. Esmatasandi arstiabi haldusliku ja organisatsioonilise ümberkorraldamise lõpuleviimine, rakendades vähemalt 280 arsti jaoks mõõdetavate eesmärkidega haldusmudelit. Tervishoiutöötajate hariduse ja koolituse laiendamise edukas lõpuleviimine 10 000 esmatasandi tervishoiutöötajale. Koolitusprogrammi eesmärk on täiendada meditsiinitöötajaid, tutvustada neile uusimaid meetodeid ning kasutada tipptasemel tehnoloogiat ja meditsiiniseadmeid. Krooniliste haiguste raviüksuste arendamine 312 tervisekeskuses ja esmatasandi tervishoiukeskustega seotud detsentraliseeritud esmatasandi tervishoiuüksuses.</w:t>
            </w:r>
          </w:p>
        </w:tc>
      </w:tr>
      <w:tr w:rsidR="006E0EA2" w:rsidRPr="003B132A" w14:paraId="381D13CC" w14:textId="77777777" w:rsidTr="00C15C41">
        <w:trPr>
          <w:trHeight w:val="313"/>
        </w:trPr>
        <w:tc>
          <w:tcPr>
            <w:tcW w:w="320" w:type="pct"/>
            <w:shd w:val="clear" w:color="auto" w:fill="C6EFCE"/>
            <w:noWrap/>
          </w:tcPr>
          <w:p w14:paraId="12E063B6"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335</w:t>
            </w:r>
          </w:p>
        </w:tc>
        <w:tc>
          <w:tcPr>
            <w:tcW w:w="408" w:type="pct"/>
            <w:shd w:val="clear" w:color="auto" w:fill="C6EFCE"/>
            <w:noWrap/>
          </w:tcPr>
          <w:p w14:paraId="455DEB46"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10-3.3. Parandada tervishoiu vastupanuvõimet, kättesaadavust ja jätkusuutlikkust – 16984_Üldarstide reform</w:t>
            </w:r>
          </w:p>
        </w:tc>
        <w:tc>
          <w:tcPr>
            <w:tcW w:w="322" w:type="pct"/>
            <w:shd w:val="clear" w:color="auto" w:fill="C6EFCE"/>
            <w:noWrap/>
          </w:tcPr>
          <w:p w14:paraId="3F17B213"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Eesmärk</w:t>
            </w:r>
          </w:p>
        </w:tc>
        <w:tc>
          <w:tcPr>
            <w:tcW w:w="410" w:type="pct"/>
            <w:shd w:val="clear" w:color="auto" w:fill="C6EFCE"/>
            <w:noWrap/>
          </w:tcPr>
          <w:p w14:paraId="0B174DFC" w14:textId="77777777" w:rsidR="00764877" w:rsidRPr="00E02B5D" w:rsidRDefault="00764877" w:rsidP="006E0EA2">
            <w:pPr>
              <w:spacing w:after="0" w:line="240" w:lineRule="auto"/>
              <w:rPr>
                <w:rFonts w:eastAsia="Times New Roman" w:cs="Calibri"/>
                <w:noProof/>
                <w:color w:val="006100"/>
                <w:sz w:val="18"/>
                <w:szCs w:val="18"/>
              </w:rPr>
            </w:pPr>
            <w:r>
              <w:rPr>
                <w:rFonts w:ascii="Times New Roman" w:hAnsi="Times New Roman"/>
                <w:noProof/>
                <w:color w:val="006100"/>
                <w:sz w:val="18"/>
              </w:rPr>
              <w:t>Üldarstide reform – õigusaktide jõustumine</w:t>
            </w:r>
          </w:p>
        </w:tc>
        <w:tc>
          <w:tcPr>
            <w:tcW w:w="593" w:type="pct"/>
            <w:shd w:val="clear" w:color="auto" w:fill="C6EFCE"/>
            <w:noWrap/>
          </w:tcPr>
          <w:p w14:paraId="1817702D" w14:textId="77777777" w:rsidR="00764877" w:rsidRPr="00E02B5D" w:rsidRDefault="00764877" w:rsidP="006E0EA2">
            <w:pPr>
              <w:spacing w:after="0" w:line="240" w:lineRule="auto"/>
              <w:rPr>
                <w:rFonts w:eastAsia="Times New Roman" w:cs="Calibri"/>
                <w:noProof/>
                <w:color w:val="006100"/>
                <w:sz w:val="18"/>
                <w:szCs w:val="18"/>
              </w:rPr>
            </w:pPr>
            <w:r>
              <w:rPr>
                <w:rFonts w:ascii="Times New Roman" w:hAnsi="Times New Roman"/>
                <w:noProof/>
                <w:color w:val="006100"/>
                <w:sz w:val="18"/>
              </w:rPr>
              <w:t>Selliste õigusaktide jõustumine, milles sätestatakse maaarstide personaalsete arstide süsteemi registreerimise põhielemendid, sarnaste ametikohtade avamine linna-, linnalähi- ja maapiirkondades ning stiimulite mehhanism</w:t>
            </w:r>
          </w:p>
        </w:tc>
        <w:tc>
          <w:tcPr>
            <w:tcW w:w="408" w:type="pct"/>
            <w:shd w:val="clear" w:color="auto" w:fill="C6EFCE"/>
            <w:noWrap/>
          </w:tcPr>
          <w:p w14:paraId="56372798"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76" w:type="pct"/>
            <w:gridSpan w:val="2"/>
            <w:shd w:val="clear" w:color="auto" w:fill="C6EFCE"/>
            <w:noWrap/>
          </w:tcPr>
          <w:p w14:paraId="1CF6C35E"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72" w:type="pct"/>
            <w:shd w:val="clear" w:color="auto" w:fill="C6EFCE"/>
            <w:noWrap/>
          </w:tcPr>
          <w:p w14:paraId="41B1BC20" w14:textId="77777777" w:rsidR="00764877" w:rsidRPr="00AD4052" w:rsidRDefault="00764877" w:rsidP="006E0EA2">
            <w:pPr>
              <w:spacing w:after="0" w:line="240" w:lineRule="auto"/>
              <w:rPr>
                <w:rFonts w:eastAsia="Times New Roman" w:cs="Calibri"/>
                <w:noProof/>
                <w:color w:val="006100"/>
                <w:sz w:val="18"/>
                <w:szCs w:val="18"/>
                <w:lang w:eastAsia="en-GB"/>
              </w:rPr>
            </w:pPr>
          </w:p>
        </w:tc>
        <w:tc>
          <w:tcPr>
            <w:tcW w:w="228" w:type="pct"/>
            <w:shd w:val="clear" w:color="auto" w:fill="C6EFCE"/>
            <w:noWrap/>
          </w:tcPr>
          <w:p w14:paraId="5A8ADC55"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 kv</w:t>
            </w:r>
          </w:p>
        </w:tc>
        <w:tc>
          <w:tcPr>
            <w:tcW w:w="328" w:type="pct"/>
            <w:shd w:val="clear" w:color="auto" w:fill="C6EFCE"/>
            <w:noWrap/>
          </w:tcPr>
          <w:p w14:paraId="1C339860"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2024</w:t>
            </w:r>
          </w:p>
        </w:tc>
        <w:tc>
          <w:tcPr>
            <w:tcW w:w="1435" w:type="pct"/>
            <w:shd w:val="clear" w:color="auto" w:fill="C6EFCE"/>
            <w:noWrap/>
          </w:tcPr>
          <w:p w14:paraId="1E8D91BF" w14:textId="2A06ED33" w:rsidR="00764877" w:rsidRPr="00E02B5D" w:rsidRDefault="00764877" w:rsidP="0085478C">
            <w:pPr>
              <w:spacing w:before="120"/>
              <w:rPr>
                <w:rFonts w:eastAsia="Times New Roman" w:cs="Calibri"/>
                <w:noProof/>
                <w:color w:val="006100"/>
                <w:sz w:val="18"/>
                <w:szCs w:val="18"/>
              </w:rPr>
            </w:pPr>
            <w:r>
              <w:rPr>
                <w:noProof/>
                <w:color w:val="006100"/>
                <w:sz w:val="18"/>
              </w:rPr>
              <w:t>Selliste õigusaktide jõustumine, milles sätestatakse maaarstide eraarstide süsteemi registreerimise põhielemendid, mis avavad uusi sarnaseid ametikohti linna-, linnalähi- ja maapiirkondades, kus personaalseid arste endiselt napib, ning stimuleerimismehhanismi, sealhulgas: a) finantsstiimulid ja b) eelisõiguse andmine üldarsti või patoloogia elanikuks saamiseks ning üldarsti tunnistuse saamiseks. Lisaks suurendatakse üldmeditsiinis või patoloogias olemasolevate elukohakohtade koguarvu 1 700 ametikoha võrra.</w:t>
            </w:r>
          </w:p>
        </w:tc>
      </w:tr>
      <w:tr w:rsidR="006E0EA2" w:rsidRPr="003B132A" w14:paraId="06067782" w14:textId="77777777" w:rsidTr="00C15C41">
        <w:trPr>
          <w:trHeight w:val="313"/>
        </w:trPr>
        <w:tc>
          <w:tcPr>
            <w:tcW w:w="320" w:type="pct"/>
            <w:shd w:val="clear" w:color="auto" w:fill="C6EFCE"/>
            <w:noWrap/>
          </w:tcPr>
          <w:p w14:paraId="4E8D478F"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336</w:t>
            </w:r>
          </w:p>
        </w:tc>
        <w:tc>
          <w:tcPr>
            <w:tcW w:w="408" w:type="pct"/>
            <w:shd w:val="clear" w:color="auto" w:fill="C6EFCE"/>
            <w:noWrap/>
          </w:tcPr>
          <w:p w14:paraId="1CFF199C"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10-3.3. Parandada tervishoiu vastupanuvõimet, kättesaadavust ja jätkusuutlikkust – 16984_Üldarstide reform</w:t>
            </w:r>
          </w:p>
        </w:tc>
        <w:tc>
          <w:tcPr>
            <w:tcW w:w="322" w:type="pct"/>
            <w:shd w:val="clear" w:color="auto" w:fill="C6EFCE"/>
            <w:noWrap/>
          </w:tcPr>
          <w:p w14:paraId="0186354A"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Eesmärk</w:t>
            </w:r>
          </w:p>
        </w:tc>
        <w:tc>
          <w:tcPr>
            <w:tcW w:w="410" w:type="pct"/>
            <w:shd w:val="clear" w:color="auto" w:fill="C6EFCE"/>
            <w:noWrap/>
          </w:tcPr>
          <w:p w14:paraId="14B71387" w14:textId="77777777" w:rsidR="00764877" w:rsidRPr="00E02B5D" w:rsidRDefault="00764877" w:rsidP="006E0EA2">
            <w:pPr>
              <w:spacing w:after="0" w:line="240" w:lineRule="auto"/>
              <w:rPr>
                <w:rFonts w:eastAsia="Times New Roman" w:cs="Calibri"/>
                <w:noProof/>
                <w:color w:val="006100"/>
                <w:sz w:val="18"/>
                <w:szCs w:val="18"/>
              </w:rPr>
            </w:pPr>
            <w:r>
              <w:rPr>
                <w:rFonts w:ascii="Times New Roman" w:hAnsi="Times New Roman"/>
                <w:noProof/>
                <w:color w:val="006100"/>
                <w:sz w:val="18"/>
              </w:rPr>
              <w:t>Üldarstide reform – rahvastiku registreerimine</w:t>
            </w:r>
            <w:r>
              <w:rPr>
                <w:noProof/>
                <w:color w:val="006100"/>
                <w:sz w:val="18"/>
              </w:rPr>
              <w:t xml:space="preserve"> </w:t>
            </w:r>
          </w:p>
        </w:tc>
        <w:tc>
          <w:tcPr>
            <w:tcW w:w="593" w:type="pct"/>
            <w:shd w:val="clear" w:color="auto" w:fill="C6EFCE"/>
            <w:noWrap/>
          </w:tcPr>
          <w:p w14:paraId="4E74EBFF"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100 % rahvastiku registreerimine ja väravahoid</w:t>
            </w:r>
          </w:p>
        </w:tc>
        <w:tc>
          <w:tcPr>
            <w:tcW w:w="408" w:type="pct"/>
            <w:shd w:val="clear" w:color="auto" w:fill="C6EFCE"/>
            <w:noWrap/>
          </w:tcPr>
          <w:p w14:paraId="768E85B0" w14:textId="77777777" w:rsidR="00764877" w:rsidRPr="00E02B5D" w:rsidRDefault="00764877" w:rsidP="006E0EA2">
            <w:pPr>
              <w:spacing w:after="0" w:line="240" w:lineRule="auto"/>
              <w:rPr>
                <w:rFonts w:eastAsia="Times New Roman" w:cs="Calibri"/>
                <w:noProof/>
                <w:color w:val="006100"/>
                <w:sz w:val="18"/>
                <w:szCs w:val="18"/>
                <w:lang w:val="en-GB" w:eastAsia="en-GB"/>
              </w:rPr>
            </w:pPr>
          </w:p>
        </w:tc>
        <w:tc>
          <w:tcPr>
            <w:tcW w:w="276" w:type="pct"/>
            <w:gridSpan w:val="2"/>
            <w:shd w:val="clear" w:color="auto" w:fill="C6EFCE"/>
            <w:noWrap/>
          </w:tcPr>
          <w:p w14:paraId="54ABB69C" w14:textId="77777777" w:rsidR="00764877" w:rsidRPr="00E02B5D" w:rsidRDefault="00764877" w:rsidP="006E0EA2">
            <w:pPr>
              <w:spacing w:after="0" w:line="240" w:lineRule="auto"/>
              <w:rPr>
                <w:rFonts w:eastAsia="Times New Roman" w:cs="Calibri"/>
                <w:noProof/>
                <w:color w:val="006100"/>
                <w:sz w:val="18"/>
                <w:szCs w:val="18"/>
                <w:lang w:val="en-GB" w:eastAsia="en-GB"/>
              </w:rPr>
            </w:pPr>
          </w:p>
        </w:tc>
        <w:tc>
          <w:tcPr>
            <w:tcW w:w="272" w:type="pct"/>
            <w:shd w:val="clear" w:color="auto" w:fill="C6EFCE"/>
            <w:noWrap/>
          </w:tcPr>
          <w:p w14:paraId="5A895A4F" w14:textId="77777777" w:rsidR="00764877" w:rsidRPr="00E02B5D" w:rsidRDefault="00764877" w:rsidP="006E0EA2">
            <w:pPr>
              <w:spacing w:after="0" w:line="240" w:lineRule="auto"/>
              <w:rPr>
                <w:rFonts w:eastAsia="Times New Roman" w:cs="Calibri"/>
                <w:noProof/>
                <w:color w:val="006100"/>
                <w:sz w:val="18"/>
                <w:szCs w:val="18"/>
                <w:lang w:val="en-GB" w:eastAsia="en-GB"/>
              </w:rPr>
            </w:pPr>
          </w:p>
        </w:tc>
        <w:tc>
          <w:tcPr>
            <w:tcW w:w="228" w:type="pct"/>
            <w:shd w:val="clear" w:color="auto" w:fill="C6EFCE"/>
            <w:noWrap/>
          </w:tcPr>
          <w:p w14:paraId="625A6828"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 kv</w:t>
            </w:r>
          </w:p>
        </w:tc>
        <w:tc>
          <w:tcPr>
            <w:tcW w:w="328" w:type="pct"/>
            <w:shd w:val="clear" w:color="auto" w:fill="C6EFCE"/>
            <w:noWrap/>
          </w:tcPr>
          <w:p w14:paraId="415AB01B" w14:textId="77777777" w:rsidR="00764877" w:rsidRPr="00E02B5D" w:rsidRDefault="00764877" w:rsidP="006E0EA2">
            <w:pPr>
              <w:spacing w:after="0" w:line="240" w:lineRule="auto"/>
              <w:rPr>
                <w:rFonts w:eastAsia="Times New Roman" w:cs="Calibri"/>
                <w:noProof/>
                <w:color w:val="006100"/>
                <w:sz w:val="18"/>
                <w:szCs w:val="18"/>
              </w:rPr>
            </w:pPr>
            <w:r>
              <w:rPr>
                <w:noProof/>
                <w:color w:val="006100"/>
                <w:sz w:val="18"/>
              </w:rPr>
              <w:t>2025</w:t>
            </w:r>
          </w:p>
        </w:tc>
        <w:tc>
          <w:tcPr>
            <w:tcW w:w="1435" w:type="pct"/>
            <w:shd w:val="clear" w:color="auto" w:fill="C6EFCE"/>
            <w:noWrap/>
          </w:tcPr>
          <w:p w14:paraId="4F22D306" w14:textId="77777777" w:rsidR="00764877" w:rsidRPr="00E02B5D" w:rsidRDefault="00764877" w:rsidP="006E0EA2">
            <w:pPr>
              <w:spacing w:after="0" w:line="240" w:lineRule="auto"/>
              <w:rPr>
                <w:rFonts w:eastAsia="Times New Roman" w:cs="Calibri"/>
                <w:noProof/>
                <w:color w:val="006100"/>
                <w:sz w:val="18"/>
                <w:szCs w:val="18"/>
              </w:rPr>
            </w:pPr>
            <w:r>
              <w:rPr>
                <w:rFonts w:ascii="Times New Roman" w:hAnsi="Times New Roman"/>
                <w:noProof/>
                <w:color w:val="006100"/>
                <w:sz w:val="18"/>
              </w:rPr>
              <w:t>Kõik tingimustele vastavad kodanikud peavad olema registreeritud üldarsti juures.</w:t>
            </w:r>
            <w:r>
              <w:rPr>
                <w:noProof/>
                <w:color w:val="006100"/>
                <w:sz w:val="18"/>
              </w:rPr>
              <w:t xml:space="preserve"> Väravahoidmispõhine süsteem aktiveerub nii, nagu on kirjeldatud MD-s. Γ1α/Γ.Π.οικ. </w:t>
            </w:r>
            <w:r>
              <w:rPr>
                <w:rFonts w:ascii="Times New Roman" w:hAnsi="Times New Roman"/>
                <w:noProof/>
                <w:color w:val="006100"/>
                <w:sz w:val="18"/>
              </w:rPr>
              <w:t>34694 (ELT L 3010, 15.6.2022, mille kohaselt üldarstid on patsiendi ravi esmaseks kontaktpunktiks ja esmaseks koordinaatoriks ning annavad patsiendile loa juurdepääsu erihooldusele riiklikes teise ja kolmanda taseme tervishoiu struktuurides, välja arvatud kiireloomulised juhud, kus kohaldatakse patsiendi triaažiprotsessi.</w:t>
            </w:r>
          </w:p>
        </w:tc>
      </w:tr>
    </w:tbl>
    <w:p w14:paraId="41236009" w14:textId="77777777" w:rsidR="00C63536" w:rsidRDefault="0068278F" w:rsidP="00D16F13">
      <w:pPr>
        <w:keepNext/>
        <w:keepLines/>
        <w:spacing w:before="40" w:after="0" w:line="240" w:lineRule="auto"/>
        <w:jc w:val="both"/>
        <w:outlineLvl w:val="4"/>
        <w:rPr>
          <w:rFonts w:ascii="Cambria" w:hAnsi="Cambria"/>
          <w:noProof/>
          <w:color w:val="365F91" w:themeColor="accent1" w:themeShade="BF"/>
          <w:sz w:val="24"/>
        </w:rPr>
      </w:pPr>
      <w:r>
        <w:rPr>
          <w:noProof/>
        </w:rPr>
        <w:br w:type="textWrapping" w:clear="all"/>
      </w:r>
    </w:p>
    <w:p w14:paraId="052820C0" w14:textId="77777777" w:rsidR="00764877" w:rsidRPr="00E02B5D" w:rsidRDefault="00764877" w:rsidP="00D16F13">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themeColor="accent1" w:themeShade="BF"/>
          <w:sz w:val="24"/>
        </w:rPr>
        <w:t xml:space="preserve">Grupp 14:  Infrastruktuuri- ja digimeetmed tervishoiusüsteemi ajakohastamiseks ja ajakohastamiseks </w:t>
      </w:r>
    </w:p>
    <w:p w14:paraId="6F7D134E" w14:textId="77777777" w:rsidR="00764877" w:rsidRPr="00E02B5D" w:rsidRDefault="00764877" w:rsidP="00DE1EE5">
      <w:pPr>
        <w:numPr>
          <w:ilvl w:val="0"/>
          <w:numId w:val="39"/>
        </w:numPr>
        <w:spacing w:before="120" w:after="0" w:line="240" w:lineRule="auto"/>
        <w:jc w:val="both"/>
        <w:rPr>
          <w:rFonts w:ascii="Times New Roman" w:hAnsi="Times New Roman" w:cs="Times New Roman"/>
          <w:noProof/>
        </w:rPr>
      </w:pPr>
      <w:r>
        <w:rPr>
          <w:rFonts w:ascii="Times New Roman" w:hAnsi="Times New Roman"/>
          <w:noProof/>
          <w:sz w:val="24"/>
        </w:rPr>
        <w:t>Tervise digiüleminek (ID: 16752)</w:t>
      </w:r>
    </w:p>
    <w:p w14:paraId="2C5A81F6" w14:textId="77777777" w:rsidR="00764877" w:rsidRPr="00E02B5D" w:rsidRDefault="00764877" w:rsidP="00DE1EE5">
      <w:pPr>
        <w:numPr>
          <w:ilvl w:val="0"/>
          <w:numId w:val="39"/>
        </w:numPr>
        <w:spacing w:before="120" w:after="0" w:line="240" w:lineRule="auto"/>
        <w:jc w:val="both"/>
        <w:rPr>
          <w:rFonts w:ascii="Times New Roman" w:hAnsi="Times New Roman" w:cs="Times New Roman"/>
          <w:noProof/>
          <w:sz w:val="24"/>
        </w:rPr>
      </w:pPr>
      <w:r>
        <w:rPr>
          <w:rFonts w:ascii="Times New Roman" w:hAnsi="Times New Roman"/>
          <w:noProof/>
          <w:sz w:val="24"/>
        </w:rPr>
        <w:t>NHSi haiglate renoveerimine ja taristu uuendamine (ID: 16795)</w:t>
      </w:r>
    </w:p>
    <w:p w14:paraId="27388021" w14:textId="77777777" w:rsidR="00764877" w:rsidRPr="00E02B5D" w:rsidRDefault="00764877" w:rsidP="00DE1EE5">
      <w:pPr>
        <w:numPr>
          <w:ilvl w:val="0"/>
          <w:numId w:val="39"/>
        </w:numPr>
        <w:spacing w:before="120" w:after="0" w:line="240" w:lineRule="auto"/>
        <w:jc w:val="both"/>
        <w:rPr>
          <w:rFonts w:ascii="Times New Roman" w:hAnsi="Times New Roman" w:cs="Times New Roman"/>
          <w:noProof/>
          <w:sz w:val="24"/>
        </w:rPr>
      </w:pPr>
      <w:r>
        <w:rPr>
          <w:rFonts w:ascii="Times New Roman" w:hAnsi="Times New Roman"/>
          <w:noProof/>
          <w:sz w:val="24"/>
        </w:rPr>
        <w:t>Raadioteraapiakeskuse asutamine Ateena rinnahaiguste haiglas (ID: 16757)</w:t>
      </w:r>
    </w:p>
    <w:p w14:paraId="3D982996" w14:textId="77777777" w:rsidR="00764877" w:rsidRPr="00E02B5D" w:rsidRDefault="00764877" w:rsidP="00DE1EE5">
      <w:pPr>
        <w:numPr>
          <w:ilvl w:val="0"/>
          <w:numId w:val="39"/>
        </w:numPr>
        <w:spacing w:before="120" w:after="0" w:line="240" w:lineRule="auto"/>
        <w:jc w:val="both"/>
        <w:rPr>
          <w:rFonts w:ascii="Times New Roman" w:hAnsi="Times New Roman" w:cs="Times New Roman"/>
          <w:noProof/>
          <w:sz w:val="24"/>
        </w:rPr>
      </w:pPr>
      <w:r>
        <w:rPr>
          <w:rFonts w:ascii="Times New Roman" w:hAnsi="Times New Roman"/>
          <w:noProof/>
          <w:sz w:val="24"/>
        </w:rPr>
        <w:t>Projekt raku- ja geeniteraapia- ja hematoloogiakliiniku laboritele hoone ehitamiseks Thessaloniki „Papanikolaou“ üldhaiglasse (ID: 16793)</w:t>
      </w:r>
    </w:p>
    <w:p w14:paraId="118030CB" w14:textId="77777777" w:rsidR="00764877" w:rsidRPr="00E02B5D" w:rsidRDefault="00764877" w:rsidP="00DE1EE5">
      <w:pPr>
        <w:numPr>
          <w:ilvl w:val="0"/>
          <w:numId w:val="39"/>
        </w:numPr>
        <w:spacing w:before="120" w:after="120" w:line="240" w:lineRule="auto"/>
        <w:jc w:val="both"/>
        <w:rPr>
          <w:rFonts w:ascii="Times New Roman" w:hAnsi="Times New Roman" w:cs="Times New Roman"/>
          <w:noProof/>
          <w:sz w:val="24"/>
        </w:rPr>
      </w:pPr>
      <w:r>
        <w:rPr>
          <w:rFonts w:ascii="Times New Roman" w:hAnsi="Times New Roman"/>
          <w:noProof/>
          <w:sz w:val="24"/>
        </w:rPr>
        <w:t>Kodutervishoiu ja koduhaigla süsteemide loomine (ID: 16753)</w:t>
      </w:r>
    </w:p>
    <w:tbl>
      <w:tblPr>
        <w:tblW w:w="15893" w:type="dxa"/>
        <w:jc w:val="center"/>
        <w:tblLayout w:type="fixed"/>
        <w:tblLook w:val="04A0" w:firstRow="1" w:lastRow="0" w:firstColumn="1" w:lastColumn="0" w:noHBand="0" w:noVBand="1"/>
      </w:tblPr>
      <w:tblGrid>
        <w:gridCol w:w="1028"/>
        <w:gridCol w:w="1797"/>
        <w:gridCol w:w="1424"/>
        <w:gridCol w:w="1419"/>
        <w:gridCol w:w="1553"/>
        <w:gridCol w:w="866"/>
        <w:gridCol w:w="857"/>
        <w:gridCol w:w="659"/>
        <w:gridCol w:w="850"/>
        <w:gridCol w:w="709"/>
        <w:gridCol w:w="4731"/>
      </w:tblGrid>
      <w:tr w:rsidR="00764877" w:rsidRPr="003B132A" w14:paraId="425F7D23" w14:textId="77777777" w:rsidTr="00C63536">
        <w:trPr>
          <w:trHeight w:val="853"/>
          <w:tblHeader/>
          <w:jc w:val="center"/>
        </w:trPr>
        <w:tc>
          <w:tcPr>
            <w:tcW w:w="102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DDC924A"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1E52A14"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42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F8C0B39"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419" w:type="dxa"/>
            <w:vMerge w:val="restart"/>
            <w:tcBorders>
              <w:top w:val="single" w:sz="4" w:space="0" w:color="auto"/>
              <w:left w:val="nil"/>
              <w:bottom w:val="single" w:sz="4" w:space="0" w:color="000000"/>
              <w:right w:val="single" w:sz="4" w:space="0" w:color="auto"/>
            </w:tcBorders>
            <w:shd w:val="clear" w:color="auto" w:fill="BDD7EE"/>
            <w:vAlign w:val="center"/>
            <w:hideMark/>
          </w:tcPr>
          <w:p w14:paraId="5A9747E5"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8AE1340"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382" w:type="dxa"/>
            <w:gridSpan w:val="3"/>
            <w:tcBorders>
              <w:top w:val="single" w:sz="4" w:space="0" w:color="auto"/>
              <w:left w:val="nil"/>
              <w:bottom w:val="single" w:sz="4" w:space="0" w:color="auto"/>
              <w:right w:val="single" w:sz="4" w:space="0" w:color="auto"/>
            </w:tcBorders>
            <w:shd w:val="clear" w:color="auto" w:fill="BDD7EE"/>
            <w:vAlign w:val="center"/>
            <w:hideMark/>
          </w:tcPr>
          <w:p w14:paraId="49257024"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3C4BF284"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7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A378D6"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64877" w:rsidRPr="00E02B5D" w14:paraId="67D25494" w14:textId="77777777" w:rsidTr="00C63536">
        <w:trPr>
          <w:trHeight w:val="626"/>
          <w:tblHeader/>
          <w:jc w:val="center"/>
        </w:trPr>
        <w:tc>
          <w:tcPr>
            <w:tcW w:w="1028" w:type="dxa"/>
            <w:vMerge/>
            <w:tcBorders>
              <w:top w:val="single" w:sz="4" w:space="0" w:color="auto"/>
              <w:left w:val="single" w:sz="4" w:space="0" w:color="auto"/>
              <w:bottom w:val="single" w:sz="4" w:space="0" w:color="000000"/>
              <w:right w:val="single" w:sz="4" w:space="0" w:color="auto"/>
            </w:tcBorders>
            <w:vAlign w:val="center"/>
            <w:hideMark/>
          </w:tcPr>
          <w:p w14:paraId="645087EC"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14:paraId="007B4B45"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14:paraId="15034413"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419" w:type="dxa"/>
            <w:vMerge/>
            <w:tcBorders>
              <w:top w:val="single" w:sz="4" w:space="0" w:color="auto"/>
              <w:left w:val="nil"/>
              <w:bottom w:val="single" w:sz="4" w:space="0" w:color="000000"/>
              <w:right w:val="single" w:sz="4" w:space="0" w:color="auto"/>
            </w:tcBorders>
            <w:vAlign w:val="center"/>
            <w:hideMark/>
          </w:tcPr>
          <w:p w14:paraId="3957549C"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14:paraId="6655C37E" w14:textId="77777777" w:rsidR="00764877" w:rsidRPr="00AD4052" w:rsidRDefault="00764877" w:rsidP="00D16F13">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14:paraId="0339A0A1"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857" w:type="dxa"/>
            <w:tcBorders>
              <w:top w:val="nil"/>
              <w:left w:val="nil"/>
              <w:bottom w:val="single" w:sz="4" w:space="0" w:color="auto"/>
              <w:right w:val="single" w:sz="4" w:space="0" w:color="auto"/>
            </w:tcBorders>
            <w:shd w:val="clear" w:color="auto" w:fill="BDD7EE"/>
            <w:vAlign w:val="center"/>
            <w:hideMark/>
          </w:tcPr>
          <w:p w14:paraId="54D3EA86"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659" w:type="dxa"/>
            <w:tcBorders>
              <w:top w:val="nil"/>
              <w:left w:val="nil"/>
              <w:bottom w:val="single" w:sz="4" w:space="0" w:color="auto"/>
              <w:right w:val="single" w:sz="4" w:space="0" w:color="auto"/>
            </w:tcBorders>
            <w:shd w:val="clear" w:color="auto" w:fill="BDD7EE"/>
            <w:vAlign w:val="center"/>
            <w:hideMark/>
          </w:tcPr>
          <w:p w14:paraId="60D8ECB3"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50" w:type="dxa"/>
            <w:tcBorders>
              <w:top w:val="nil"/>
              <w:left w:val="nil"/>
              <w:bottom w:val="single" w:sz="4" w:space="0" w:color="auto"/>
              <w:right w:val="single" w:sz="4" w:space="0" w:color="auto"/>
            </w:tcBorders>
            <w:shd w:val="clear" w:color="auto" w:fill="BDD7EE"/>
            <w:vAlign w:val="center"/>
            <w:hideMark/>
          </w:tcPr>
          <w:p w14:paraId="7CFD6D95"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9" w:type="dxa"/>
            <w:tcBorders>
              <w:top w:val="nil"/>
              <w:left w:val="nil"/>
              <w:bottom w:val="single" w:sz="4" w:space="0" w:color="auto"/>
              <w:right w:val="single" w:sz="4" w:space="0" w:color="auto"/>
            </w:tcBorders>
            <w:shd w:val="clear" w:color="auto" w:fill="BDD7EE"/>
            <w:vAlign w:val="center"/>
            <w:hideMark/>
          </w:tcPr>
          <w:p w14:paraId="2161F62D" w14:textId="77777777" w:rsidR="00764877" w:rsidRPr="00E02B5D" w:rsidRDefault="00764877"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731" w:type="dxa"/>
            <w:vMerge/>
            <w:tcBorders>
              <w:top w:val="single" w:sz="4" w:space="0" w:color="auto"/>
              <w:left w:val="single" w:sz="4" w:space="0" w:color="auto"/>
              <w:bottom w:val="single" w:sz="4" w:space="0" w:color="auto"/>
              <w:right w:val="single" w:sz="4" w:space="0" w:color="auto"/>
            </w:tcBorders>
            <w:vAlign w:val="center"/>
            <w:hideMark/>
          </w:tcPr>
          <w:p w14:paraId="462DD85D" w14:textId="77777777" w:rsidR="00764877" w:rsidRPr="00E02B5D" w:rsidRDefault="00764877" w:rsidP="00D16F13">
            <w:pPr>
              <w:spacing w:after="0" w:line="240" w:lineRule="auto"/>
              <w:rPr>
                <w:rFonts w:ascii="Times New Roman" w:eastAsia="Times New Roman" w:hAnsi="Times New Roman" w:cs="Times New Roman"/>
                <w:b/>
                <w:bCs/>
                <w:noProof/>
                <w:sz w:val="18"/>
                <w:szCs w:val="18"/>
                <w:lang w:val="en-GB" w:eastAsia="en-GB"/>
              </w:rPr>
            </w:pPr>
          </w:p>
        </w:tc>
      </w:tr>
      <w:tr w:rsidR="00764877" w:rsidRPr="003B132A" w14:paraId="1C0F9D7B" w14:textId="77777777" w:rsidTr="00D16F13">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14:paraId="0B03A81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167</w:t>
            </w:r>
          </w:p>
          <w:p w14:paraId="2653D9D7"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1797" w:type="dxa"/>
            <w:tcBorders>
              <w:top w:val="nil"/>
              <w:left w:val="nil"/>
              <w:bottom w:val="single" w:sz="4" w:space="0" w:color="auto"/>
              <w:right w:val="single" w:sz="4" w:space="0" w:color="auto"/>
            </w:tcBorders>
            <w:shd w:val="clear" w:color="auto" w:fill="C6EFCE"/>
            <w:noWrap/>
          </w:tcPr>
          <w:p w14:paraId="79D8C70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 vastupanuvõime, juurdepääsetavuse ja jätkusuutlikkuse parandamine – 16752_Tervise digitaalne ümberkujundamine (DigHealth)</w:t>
            </w:r>
          </w:p>
        </w:tc>
        <w:tc>
          <w:tcPr>
            <w:tcW w:w="1424" w:type="dxa"/>
            <w:tcBorders>
              <w:top w:val="nil"/>
              <w:left w:val="nil"/>
              <w:bottom w:val="single" w:sz="4" w:space="0" w:color="auto"/>
              <w:right w:val="single" w:sz="4" w:space="0" w:color="auto"/>
            </w:tcBorders>
            <w:shd w:val="clear" w:color="auto" w:fill="C6EFCE"/>
            <w:noWrap/>
          </w:tcPr>
          <w:p w14:paraId="0C581AA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419" w:type="dxa"/>
            <w:tcBorders>
              <w:top w:val="nil"/>
              <w:left w:val="nil"/>
              <w:bottom w:val="single" w:sz="4" w:space="0" w:color="auto"/>
              <w:right w:val="single" w:sz="4" w:space="0" w:color="auto"/>
            </w:tcBorders>
            <w:shd w:val="clear" w:color="auto" w:fill="C6EFCE"/>
            <w:noWrap/>
          </w:tcPr>
          <w:p w14:paraId="2B04557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Tervishoiu digiüleminek riiklik digitaalne terviseregister (1. allprojekt) Aruanne, milles tõendatakse järgmiste peamiste elementide täitmist:</w:t>
            </w:r>
          </w:p>
        </w:tc>
        <w:tc>
          <w:tcPr>
            <w:tcW w:w="1553" w:type="dxa"/>
            <w:tcBorders>
              <w:top w:val="nil"/>
              <w:left w:val="nil"/>
              <w:bottom w:val="single" w:sz="4" w:space="0" w:color="auto"/>
              <w:right w:val="single" w:sz="4" w:space="0" w:color="auto"/>
            </w:tcBorders>
            <w:shd w:val="clear" w:color="auto" w:fill="C6EFCE"/>
            <w:noWrap/>
          </w:tcPr>
          <w:p w14:paraId="604F57F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Allprojekt 1 (digitaalsed terviseandmed – vt kirjeldus)</w:t>
            </w:r>
          </w:p>
        </w:tc>
        <w:tc>
          <w:tcPr>
            <w:tcW w:w="866" w:type="dxa"/>
            <w:tcBorders>
              <w:top w:val="nil"/>
              <w:left w:val="nil"/>
              <w:bottom w:val="single" w:sz="4" w:space="0" w:color="auto"/>
              <w:right w:val="single" w:sz="4" w:space="0" w:color="auto"/>
            </w:tcBorders>
            <w:shd w:val="clear" w:color="auto" w:fill="C6EFCE"/>
            <w:noWrap/>
          </w:tcPr>
          <w:p w14:paraId="5EEDD513"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651424E6"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659" w:type="dxa"/>
            <w:tcBorders>
              <w:top w:val="nil"/>
              <w:left w:val="nil"/>
              <w:bottom w:val="single" w:sz="4" w:space="0" w:color="auto"/>
              <w:right w:val="single" w:sz="4" w:space="0" w:color="auto"/>
            </w:tcBorders>
            <w:shd w:val="clear" w:color="auto" w:fill="C6EFCE"/>
            <w:noWrap/>
          </w:tcPr>
          <w:p w14:paraId="50D87414"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50" w:type="dxa"/>
            <w:tcBorders>
              <w:top w:val="nil"/>
              <w:left w:val="nil"/>
              <w:bottom w:val="single" w:sz="4" w:space="0" w:color="auto"/>
              <w:right w:val="single" w:sz="4" w:space="0" w:color="auto"/>
            </w:tcBorders>
            <w:shd w:val="clear" w:color="auto" w:fill="C6EFCE"/>
            <w:noWrap/>
          </w:tcPr>
          <w:p w14:paraId="1AEA0C0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709" w:type="dxa"/>
            <w:tcBorders>
              <w:top w:val="nil"/>
              <w:left w:val="nil"/>
              <w:bottom w:val="single" w:sz="4" w:space="0" w:color="auto"/>
              <w:right w:val="single" w:sz="4" w:space="0" w:color="auto"/>
            </w:tcBorders>
            <w:shd w:val="clear" w:color="auto" w:fill="C6EFCE"/>
            <w:noWrap/>
          </w:tcPr>
          <w:p w14:paraId="1FDBCCB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2024</w:t>
            </w:r>
          </w:p>
        </w:tc>
        <w:tc>
          <w:tcPr>
            <w:tcW w:w="4731" w:type="dxa"/>
            <w:tcBorders>
              <w:top w:val="nil"/>
              <w:left w:val="nil"/>
              <w:bottom w:val="single" w:sz="4" w:space="0" w:color="auto"/>
              <w:right w:val="single" w:sz="4" w:space="0" w:color="auto"/>
            </w:tcBorders>
            <w:shd w:val="clear" w:color="auto" w:fill="C6EFCE"/>
            <w:noWrap/>
          </w:tcPr>
          <w:p w14:paraId="4E4A865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Tervishoiusüsteemi digiüleminekut toetava 1. allprojekti vähemalt kõigi järgmiste elementide lõpuleviimine (täielik loomine ja rakendamine), nii et riiklik digitaalne tervisekaart oleks toimiv: 1) kliinilised dokumendid, 2) terminoloogiateenused, 3) riiklik e-tervise koostalitlusvõime raamistik, 4) kõigi laboritulemuste kogumine e-tervise registrisse, 5) tühjendamiskirjade kogumine).</w:t>
            </w:r>
          </w:p>
        </w:tc>
      </w:tr>
      <w:tr w:rsidR="00764877" w:rsidRPr="003B132A" w14:paraId="7FD0DEB5" w14:textId="77777777" w:rsidTr="00D16F13">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14:paraId="1E19392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168</w:t>
            </w:r>
          </w:p>
        </w:tc>
        <w:tc>
          <w:tcPr>
            <w:tcW w:w="1797" w:type="dxa"/>
            <w:tcBorders>
              <w:top w:val="nil"/>
              <w:left w:val="nil"/>
              <w:bottom w:val="single" w:sz="4" w:space="0" w:color="auto"/>
              <w:right w:val="single" w:sz="4" w:space="0" w:color="auto"/>
            </w:tcBorders>
            <w:shd w:val="clear" w:color="auto" w:fill="C6EFCE"/>
            <w:noWrap/>
          </w:tcPr>
          <w:p w14:paraId="48B31D6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 vastupanuvõime, juurdepääsetavuse ja jätkusuutlikkuse parandamine – 16752_Tervise digitaalne ümberkujundamine (DigHealth)</w:t>
            </w:r>
          </w:p>
        </w:tc>
        <w:tc>
          <w:tcPr>
            <w:tcW w:w="1424" w:type="dxa"/>
            <w:tcBorders>
              <w:top w:val="nil"/>
              <w:left w:val="nil"/>
              <w:bottom w:val="single" w:sz="4" w:space="0" w:color="auto"/>
              <w:right w:val="single" w:sz="4" w:space="0" w:color="auto"/>
            </w:tcBorders>
            <w:shd w:val="clear" w:color="auto" w:fill="C6EFCE"/>
            <w:noWrap/>
          </w:tcPr>
          <w:p w14:paraId="1A7B0E9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419" w:type="dxa"/>
            <w:tcBorders>
              <w:top w:val="nil"/>
              <w:left w:val="nil"/>
              <w:bottom w:val="single" w:sz="4" w:space="0" w:color="auto"/>
              <w:right w:val="single" w:sz="4" w:space="0" w:color="auto"/>
            </w:tcBorders>
            <w:shd w:val="clear" w:color="auto" w:fill="C6EFCE"/>
            <w:noWrap/>
          </w:tcPr>
          <w:p w14:paraId="7DECB15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Digiüleminek – vähi digiprogramm – 2. allprojekt</w:t>
            </w:r>
          </w:p>
        </w:tc>
        <w:tc>
          <w:tcPr>
            <w:tcW w:w="1553" w:type="dxa"/>
            <w:tcBorders>
              <w:top w:val="nil"/>
              <w:left w:val="nil"/>
              <w:bottom w:val="single" w:sz="4" w:space="0" w:color="auto"/>
              <w:right w:val="single" w:sz="4" w:space="0" w:color="auto"/>
            </w:tcBorders>
            <w:shd w:val="clear" w:color="auto" w:fill="C6EFCE"/>
            <w:noWrap/>
          </w:tcPr>
          <w:p w14:paraId="7C5B5C2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Allprojekti nr 2 (tugevdajate digitaalse tervise programm – vt kirjeldus) kõigi põhiosade täitmist tõendav aruanne ja allprojekti nr 1 täielik lõpuleviimine</w:t>
            </w:r>
          </w:p>
        </w:tc>
        <w:tc>
          <w:tcPr>
            <w:tcW w:w="866" w:type="dxa"/>
            <w:tcBorders>
              <w:top w:val="nil"/>
              <w:left w:val="nil"/>
              <w:bottom w:val="single" w:sz="4" w:space="0" w:color="auto"/>
              <w:right w:val="single" w:sz="4" w:space="0" w:color="auto"/>
            </w:tcBorders>
            <w:shd w:val="clear" w:color="auto" w:fill="C6EFCE"/>
            <w:noWrap/>
          </w:tcPr>
          <w:p w14:paraId="57EBE59D"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14:paraId="0FD4ABF4"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659" w:type="dxa"/>
            <w:tcBorders>
              <w:top w:val="nil"/>
              <w:left w:val="nil"/>
              <w:bottom w:val="single" w:sz="4" w:space="0" w:color="auto"/>
              <w:right w:val="single" w:sz="4" w:space="0" w:color="auto"/>
            </w:tcBorders>
            <w:shd w:val="clear" w:color="auto" w:fill="C6EFCE"/>
            <w:noWrap/>
          </w:tcPr>
          <w:p w14:paraId="6CD5630A"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14:paraId="514567B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709" w:type="dxa"/>
            <w:tcBorders>
              <w:top w:val="nil"/>
              <w:left w:val="nil"/>
              <w:bottom w:val="single" w:sz="4" w:space="0" w:color="auto"/>
              <w:right w:val="single" w:sz="4" w:space="0" w:color="auto"/>
            </w:tcBorders>
            <w:shd w:val="clear" w:color="auto" w:fill="C6EFCE"/>
            <w:noWrap/>
          </w:tcPr>
          <w:p w14:paraId="6EA81B9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731" w:type="dxa"/>
            <w:tcBorders>
              <w:top w:val="nil"/>
              <w:left w:val="nil"/>
              <w:bottom w:val="single" w:sz="4" w:space="0" w:color="auto"/>
              <w:right w:val="single" w:sz="4" w:space="0" w:color="auto"/>
            </w:tcBorders>
            <w:shd w:val="clear" w:color="auto" w:fill="C6EFCE"/>
            <w:noWrap/>
          </w:tcPr>
          <w:p w14:paraId="42382AD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Riikliku digitaalse terviseloo täielik kasutuselevõtmine (allprojekti nr 1 täielik lõpuleviimine), sealhulgas patsiendi põhiandmete platvorm, kasutaja identimis- ja autentimissüsteem, süsteemi internetiportaal, kasutajaliidese koostalitluse allsüsteem, esmatasandi arstiabi meditsiiniandmete integreerimine, patsiendi nõusoleku rakendamine, allsüsteem BI ja vähktõve digitaalse tervise põhielementide lõpuleviimine (allprojekt 2), millega toetatakse tervishoiusüsteemi digiüleminekut. Need nõuavad vähemalt järgmiste elementide täielikku loomist ja rakendamist: 1) riiklik digitaalne terviseregister ja 2) vähiravi infosüsteem (süsteem sisaldab keemiaravi raviprotokolle, millest 36 on juba väljatöötamisel), 3) patsiendiregistrid, 4) riikliku vähiregistri rakendamine. Peale selle peab vähiravi infosüsteem olema paigaldatud vähemalt 8 haiglasse (12st).</w:t>
            </w:r>
          </w:p>
        </w:tc>
      </w:tr>
      <w:tr w:rsidR="00764877" w:rsidRPr="003B132A" w14:paraId="5026A36E" w14:textId="77777777" w:rsidTr="00D16F13">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14:paraId="0AFCCD1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169</w:t>
            </w:r>
          </w:p>
        </w:tc>
        <w:tc>
          <w:tcPr>
            <w:tcW w:w="1797" w:type="dxa"/>
            <w:tcBorders>
              <w:top w:val="nil"/>
              <w:left w:val="nil"/>
              <w:bottom w:val="single" w:sz="4" w:space="0" w:color="auto"/>
              <w:right w:val="single" w:sz="4" w:space="0" w:color="auto"/>
            </w:tcBorders>
            <w:shd w:val="clear" w:color="auto" w:fill="C6EFCE"/>
            <w:noWrap/>
          </w:tcPr>
          <w:p w14:paraId="1F542D8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Tervishoiusüsteemi vastupidavuse, juurdepääsetavuse ja jätkusuutlikkuse parandamine – 16753 – Koduhooldus ja koduhaigla süsteemid</w:t>
            </w:r>
          </w:p>
        </w:tc>
        <w:tc>
          <w:tcPr>
            <w:tcW w:w="1424" w:type="dxa"/>
            <w:tcBorders>
              <w:top w:val="nil"/>
              <w:left w:val="nil"/>
              <w:bottom w:val="single" w:sz="4" w:space="0" w:color="auto"/>
              <w:right w:val="single" w:sz="4" w:space="0" w:color="auto"/>
            </w:tcBorders>
            <w:shd w:val="clear" w:color="auto" w:fill="C6EFCE"/>
            <w:noWrap/>
          </w:tcPr>
          <w:p w14:paraId="7B63E69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419" w:type="dxa"/>
            <w:tcBorders>
              <w:top w:val="nil"/>
              <w:left w:val="nil"/>
              <w:bottom w:val="single" w:sz="4" w:space="0" w:color="auto"/>
              <w:right w:val="single" w:sz="4" w:space="0" w:color="auto"/>
            </w:tcBorders>
            <w:shd w:val="clear" w:color="auto" w:fill="C6EFCE"/>
            <w:noWrap/>
          </w:tcPr>
          <w:p w14:paraId="4292186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Koduhooldus – üksuste avamine</w:t>
            </w:r>
          </w:p>
        </w:tc>
        <w:tc>
          <w:tcPr>
            <w:tcW w:w="1553" w:type="dxa"/>
            <w:tcBorders>
              <w:top w:val="nil"/>
              <w:left w:val="nil"/>
              <w:bottom w:val="single" w:sz="4" w:space="0" w:color="auto"/>
              <w:right w:val="single" w:sz="4" w:space="0" w:color="auto"/>
            </w:tcBorders>
            <w:shd w:val="clear" w:color="auto" w:fill="C6EFCE"/>
            <w:noWrap/>
          </w:tcPr>
          <w:p w14:paraId="79C00B4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Aruanded, mis tõendavad koduhooldusteenust osutava 8 tegevusüksuse avamist ja kõigi asjakohaste allprojektide lõpuleviimist</w:t>
            </w:r>
          </w:p>
        </w:tc>
        <w:tc>
          <w:tcPr>
            <w:tcW w:w="866" w:type="dxa"/>
            <w:tcBorders>
              <w:top w:val="nil"/>
              <w:left w:val="nil"/>
              <w:bottom w:val="single" w:sz="4" w:space="0" w:color="auto"/>
              <w:right w:val="single" w:sz="4" w:space="0" w:color="auto"/>
            </w:tcBorders>
            <w:shd w:val="clear" w:color="auto" w:fill="C6EFCE"/>
            <w:noWrap/>
          </w:tcPr>
          <w:p w14:paraId="577C878A"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14:paraId="5F68AB8C"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659" w:type="dxa"/>
            <w:tcBorders>
              <w:top w:val="nil"/>
              <w:left w:val="nil"/>
              <w:bottom w:val="single" w:sz="4" w:space="0" w:color="auto"/>
              <w:right w:val="single" w:sz="4" w:space="0" w:color="auto"/>
            </w:tcBorders>
            <w:shd w:val="clear" w:color="auto" w:fill="C6EFCE"/>
            <w:noWrap/>
          </w:tcPr>
          <w:p w14:paraId="4D8A01B6"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14:paraId="4270738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 kv</w:t>
            </w:r>
          </w:p>
        </w:tc>
        <w:tc>
          <w:tcPr>
            <w:tcW w:w="709" w:type="dxa"/>
            <w:tcBorders>
              <w:top w:val="nil"/>
              <w:left w:val="nil"/>
              <w:bottom w:val="single" w:sz="4" w:space="0" w:color="auto"/>
              <w:right w:val="single" w:sz="4" w:space="0" w:color="auto"/>
            </w:tcBorders>
            <w:shd w:val="clear" w:color="auto" w:fill="C6EFCE"/>
            <w:noWrap/>
          </w:tcPr>
          <w:p w14:paraId="6F0C64F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731" w:type="dxa"/>
            <w:tcBorders>
              <w:top w:val="nil"/>
              <w:left w:val="nil"/>
              <w:bottom w:val="single" w:sz="4" w:space="0" w:color="auto"/>
              <w:right w:val="single" w:sz="4" w:space="0" w:color="auto"/>
            </w:tcBorders>
            <w:shd w:val="clear" w:color="auto" w:fill="C6EFCE"/>
            <w:noWrap/>
          </w:tcPr>
          <w:p w14:paraId="498A6C0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8 personali- ja tegevusüksuse loomine koduhooldusteenuste osutamiseks (2 Ateenas, 1 Thessalonikis, 1 Alexandroupolises, 1 Patras, 1 Ioanninas, 1 Iraklionis ja 1 Larisas) ning järgmiste allprojektide lõpuleviimine:</w:t>
            </w:r>
          </w:p>
          <w:p w14:paraId="5E5E9AE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a) Praeguse olukorra ja vajaduste hindamise uuring (1. allprojekt) </w:t>
            </w:r>
          </w:p>
          <w:p w14:paraId="6E69C51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b) telemeditsiinirakendus: paigaldatavad ja käitatavad seadmed ja varustus koduhoolduse katsekeskuse jaoks, sealhulgas koolitus (2. allprojekt)</w:t>
            </w:r>
          </w:p>
          <w:p w14:paraId="6ABB0B7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c) riiklik register koduhoolduse kaudu ravitavate patsientide kohta (3. allprojekt)</w:t>
            </w:r>
          </w:p>
          <w:p w14:paraId="24B508F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 standardsete raviprotokollide ning kvaliteedi- ja ohutusstandardite kindlaksmääramine (allprojekt 4)</w:t>
            </w:r>
          </w:p>
        </w:tc>
      </w:tr>
      <w:tr w:rsidR="00764877" w:rsidRPr="003B132A" w14:paraId="6503DCC0" w14:textId="77777777" w:rsidTr="00D16F13">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14:paraId="7558A4C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170</w:t>
            </w:r>
          </w:p>
        </w:tc>
        <w:tc>
          <w:tcPr>
            <w:tcW w:w="1797" w:type="dxa"/>
            <w:tcBorders>
              <w:top w:val="nil"/>
              <w:left w:val="nil"/>
              <w:bottom w:val="single" w:sz="4" w:space="0" w:color="auto"/>
              <w:right w:val="single" w:sz="4" w:space="0" w:color="auto"/>
            </w:tcBorders>
            <w:shd w:val="clear" w:color="auto" w:fill="C6EFCE"/>
            <w:noWrap/>
          </w:tcPr>
          <w:p w14:paraId="64B63CC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Tervishoiusüsteemi vastupanuvõime, juurdepääsetavuse ja jätkusuutlikkuse parandamine – 16795_NHS haiglate renoveerimine ja infrastruktuuri ajakohastamine</w:t>
            </w:r>
          </w:p>
        </w:tc>
        <w:tc>
          <w:tcPr>
            <w:tcW w:w="1424" w:type="dxa"/>
            <w:tcBorders>
              <w:top w:val="nil"/>
              <w:left w:val="nil"/>
              <w:bottom w:val="single" w:sz="4" w:space="0" w:color="auto"/>
              <w:right w:val="single" w:sz="4" w:space="0" w:color="auto"/>
            </w:tcBorders>
            <w:shd w:val="clear" w:color="auto" w:fill="C6EFCE"/>
            <w:noWrap/>
          </w:tcPr>
          <w:p w14:paraId="3E45CFF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419" w:type="dxa"/>
            <w:tcBorders>
              <w:top w:val="nil"/>
              <w:left w:val="nil"/>
              <w:bottom w:val="single" w:sz="4" w:space="0" w:color="auto"/>
              <w:right w:val="single" w:sz="4" w:space="0" w:color="auto"/>
            </w:tcBorders>
            <w:shd w:val="clear" w:color="auto" w:fill="C6EFCE"/>
            <w:noWrap/>
          </w:tcPr>
          <w:p w14:paraId="1749243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NHSi infrastruktuuri ajakohastamise lõpuleviimine</w:t>
            </w:r>
          </w:p>
        </w:tc>
        <w:tc>
          <w:tcPr>
            <w:tcW w:w="1553" w:type="dxa"/>
            <w:tcBorders>
              <w:top w:val="nil"/>
              <w:left w:val="nil"/>
              <w:bottom w:val="single" w:sz="4" w:space="0" w:color="auto"/>
              <w:right w:val="single" w:sz="4" w:space="0" w:color="auto"/>
            </w:tcBorders>
            <w:shd w:val="clear" w:color="auto" w:fill="C6EFCE"/>
            <w:noWrap/>
          </w:tcPr>
          <w:p w14:paraId="6BFFC6E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Aruanne, mis tõendab NHSi haiglate renoveerimise ja infrastruktuuride uuendamise taristutööde lõpuleviimist.</w:t>
            </w:r>
          </w:p>
        </w:tc>
        <w:tc>
          <w:tcPr>
            <w:tcW w:w="866" w:type="dxa"/>
            <w:tcBorders>
              <w:top w:val="nil"/>
              <w:left w:val="nil"/>
              <w:bottom w:val="single" w:sz="4" w:space="0" w:color="auto"/>
              <w:right w:val="single" w:sz="4" w:space="0" w:color="auto"/>
            </w:tcBorders>
            <w:shd w:val="clear" w:color="auto" w:fill="C6EFCE"/>
            <w:noWrap/>
          </w:tcPr>
          <w:p w14:paraId="4E7F1D41"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14:paraId="7D92386D"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659" w:type="dxa"/>
            <w:tcBorders>
              <w:top w:val="nil"/>
              <w:left w:val="nil"/>
              <w:bottom w:val="single" w:sz="4" w:space="0" w:color="auto"/>
              <w:right w:val="single" w:sz="4" w:space="0" w:color="auto"/>
            </w:tcBorders>
            <w:shd w:val="clear" w:color="auto" w:fill="C6EFCE"/>
            <w:noWrap/>
          </w:tcPr>
          <w:p w14:paraId="6D8BAA6D"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14:paraId="2216091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42687E9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731" w:type="dxa"/>
            <w:tcBorders>
              <w:top w:val="nil"/>
              <w:left w:val="nil"/>
              <w:bottom w:val="single" w:sz="4" w:space="0" w:color="auto"/>
              <w:right w:val="single" w:sz="4" w:space="0" w:color="auto"/>
            </w:tcBorders>
            <w:shd w:val="clear" w:color="auto" w:fill="C6EFCE"/>
            <w:noWrap/>
          </w:tcPr>
          <w:p w14:paraId="3DCC632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Ehituse ja taristu uuendamise lõpuleviimine, sealhulgas elektromehaaniline ja elektrotehniline taristu, majutuskohad ja taristu koos mugavustega, meditsiiniseadmed ja -seadmed, ning lepingute sõlmimine teenustaseme kokkulepete ja rajatiste haldamise kohta kõigi 80 mõjutatud haigla jaoks seitsmes piirkonnas. </w:t>
            </w:r>
          </w:p>
        </w:tc>
      </w:tr>
      <w:tr w:rsidR="00764877" w:rsidRPr="003B132A" w14:paraId="6336E803" w14:textId="77777777" w:rsidTr="00D16F13">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14:paraId="6038A3F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171</w:t>
            </w:r>
          </w:p>
        </w:tc>
        <w:tc>
          <w:tcPr>
            <w:tcW w:w="1797" w:type="dxa"/>
            <w:tcBorders>
              <w:top w:val="single" w:sz="4" w:space="0" w:color="auto"/>
              <w:left w:val="nil"/>
              <w:bottom w:val="single" w:sz="4" w:space="0" w:color="auto"/>
              <w:right w:val="single" w:sz="4" w:space="0" w:color="auto"/>
            </w:tcBorders>
            <w:shd w:val="clear" w:color="auto" w:fill="C6EFCE"/>
            <w:noWrap/>
          </w:tcPr>
          <w:p w14:paraId="77F6277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 vastupanuvõime, juurdepääsetavuse ja jätkusuutlikkuse parandamine – 16757_Kiiritusravikeskuse loomine „Sotiria“ rindkerehaiguste haiglas</w:t>
            </w:r>
          </w:p>
          <w:p w14:paraId="39560FE6"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Ateena Haigla</w:t>
            </w:r>
          </w:p>
        </w:tc>
        <w:tc>
          <w:tcPr>
            <w:tcW w:w="1424" w:type="dxa"/>
            <w:tcBorders>
              <w:top w:val="single" w:sz="4" w:space="0" w:color="auto"/>
              <w:left w:val="nil"/>
              <w:bottom w:val="single" w:sz="4" w:space="0" w:color="auto"/>
              <w:right w:val="single" w:sz="4" w:space="0" w:color="auto"/>
            </w:tcBorders>
            <w:shd w:val="clear" w:color="auto" w:fill="C6EFCE"/>
            <w:noWrap/>
          </w:tcPr>
          <w:p w14:paraId="35ACBF9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419" w:type="dxa"/>
            <w:tcBorders>
              <w:top w:val="single" w:sz="4" w:space="0" w:color="auto"/>
              <w:left w:val="nil"/>
              <w:bottom w:val="single" w:sz="4" w:space="0" w:color="auto"/>
              <w:right w:val="single" w:sz="4" w:space="0" w:color="auto"/>
            </w:tcBorders>
            <w:shd w:val="clear" w:color="auto" w:fill="C6EFCE"/>
            <w:noWrap/>
          </w:tcPr>
          <w:p w14:paraId="3F3F30A4"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Sotiria kiiritusravikeskus</w:t>
            </w:r>
          </w:p>
          <w:p w14:paraId="7639D82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täitmine</w:t>
            </w:r>
          </w:p>
        </w:tc>
        <w:tc>
          <w:tcPr>
            <w:tcW w:w="1553" w:type="dxa"/>
            <w:tcBorders>
              <w:top w:val="single" w:sz="4" w:space="0" w:color="auto"/>
              <w:left w:val="nil"/>
              <w:bottom w:val="single" w:sz="4" w:space="0" w:color="auto"/>
              <w:right w:val="single" w:sz="4" w:space="0" w:color="auto"/>
            </w:tcBorders>
            <w:shd w:val="clear" w:color="auto" w:fill="C6EFCE"/>
            <w:noWrap/>
          </w:tcPr>
          <w:p w14:paraId="2426EC9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Aruanne, mis tõendab kiiritusravikeskuse rajamiseks vajalike infrastruktuuritööde lõpuleviimist</w:t>
            </w:r>
          </w:p>
          <w:p w14:paraId="044F708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Ateena rindkerehaiguste haiglas „Sotiria“.</w:t>
            </w:r>
          </w:p>
        </w:tc>
        <w:tc>
          <w:tcPr>
            <w:tcW w:w="866" w:type="dxa"/>
            <w:tcBorders>
              <w:top w:val="single" w:sz="4" w:space="0" w:color="auto"/>
              <w:left w:val="nil"/>
              <w:bottom w:val="single" w:sz="4" w:space="0" w:color="auto"/>
              <w:right w:val="single" w:sz="4" w:space="0" w:color="auto"/>
            </w:tcBorders>
            <w:shd w:val="clear" w:color="auto" w:fill="C6EFCE"/>
            <w:noWrap/>
          </w:tcPr>
          <w:p w14:paraId="769D387E"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088D3C3A"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659" w:type="dxa"/>
            <w:tcBorders>
              <w:top w:val="single" w:sz="4" w:space="0" w:color="auto"/>
              <w:left w:val="nil"/>
              <w:bottom w:val="single" w:sz="4" w:space="0" w:color="auto"/>
              <w:right w:val="single" w:sz="4" w:space="0" w:color="auto"/>
            </w:tcBorders>
            <w:shd w:val="clear" w:color="auto" w:fill="C6EFCE"/>
            <w:noWrap/>
          </w:tcPr>
          <w:p w14:paraId="2D4C39B0" w14:textId="77777777" w:rsidR="00764877" w:rsidRPr="00E02B5D" w:rsidRDefault="00764877" w:rsidP="00D16F13">
            <w:pPr>
              <w:spacing w:after="0" w:line="240" w:lineRule="auto"/>
              <w:rPr>
                <w:rFonts w:eastAsia="Times New Roman" w:cs="Calibri"/>
                <w:noProof/>
                <w:color w:val="006100"/>
                <w:sz w:val="18"/>
                <w:szCs w:val="18"/>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604DECC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28807D7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731" w:type="dxa"/>
            <w:tcBorders>
              <w:top w:val="single" w:sz="4" w:space="0" w:color="auto"/>
              <w:left w:val="nil"/>
              <w:bottom w:val="single" w:sz="4" w:space="0" w:color="auto"/>
              <w:right w:val="single" w:sz="4" w:space="0" w:color="auto"/>
            </w:tcBorders>
            <w:shd w:val="clear" w:color="auto" w:fill="C6EFCE"/>
            <w:noWrap/>
          </w:tcPr>
          <w:p w14:paraId="6459C71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Sotiria haigla uue kiiritusravi osakonna ja uue hoonetaristu valmimine; infrastruktuuri uuendamine, sild hädaolukorra osakonna ühendamiseks kirurgiaosakonna ja muude hoonetega; laboriosakondade ja kliinikute renoveerimine. </w:t>
            </w:r>
          </w:p>
        </w:tc>
      </w:tr>
      <w:tr w:rsidR="00764877" w:rsidRPr="003B132A" w14:paraId="19E54A6F" w14:textId="77777777" w:rsidTr="00D16F13">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14:paraId="4C6F993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172</w:t>
            </w:r>
          </w:p>
        </w:tc>
        <w:tc>
          <w:tcPr>
            <w:tcW w:w="1797" w:type="dxa"/>
            <w:tcBorders>
              <w:top w:val="single" w:sz="4" w:space="0" w:color="auto"/>
              <w:left w:val="nil"/>
              <w:bottom w:val="single" w:sz="4" w:space="0" w:color="auto"/>
              <w:right w:val="single" w:sz="4" w:space="0" w:color="auto"/>
            </w:tcBorders>
            <w:shd w:val="clear" w:color="auto" w:fill="C6EFCE"/>
            <w:noWrap/>
          </w:tcPr>
          <w:p w14:paraId="705518C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 vastupanuvõime, juurdepääsetavuse ja jätkusuutlikkuse parandamine – 16793_Projekt raku- ja geeniteraapia- ja hematoloogiakliiniku laboritele hoone ehitamiseks Thessaloniki „Papanikolaou“ üldhaiglasse</w:t>
            </w:r>
          </w:p>
        </w:tc>
        <w:tc>
          <w:tcPr>
            <w:tcW w:w="1424" w:type="dxa"/>
            <w:tcBorders>
              <w:top w:val="single" w:sz="4" w:space="0" w:color="auto"/>
              <w:left w:val="nil"/>
              <w:bottom w:val="single" w:sz="4" w:space="0" w:color="auto"/>
              <w:right w:val="single" w:sz="4" w:space="0" w:color="auto"/>
            </w:tcBorders>
            <w:shd w:val="clear" w:color="auto" w:fill="C6EFCE"/>
            <w:noWrap/>
          </w:tcPr>
          <w:p w14:paraId="0BA3C583"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419" w:type="dxa"/>
            <w:tcBorders>
              <w:top w:val="single" w:sz="4" w:space="0" w:color="auto"/>
              <w:left w:val="nil"/>
              <w:bottom w:val="single" w:sz="4" w:space="0" w:color="auto"/>
              <w:right w:val="single" w:sz="4" w:space="0" w:color="auto"/>
            </w:tcBorders>
            <w:shd w:val="clear" w:color="auto" w:fill="C6EFCE"/>
            <w:noWrap/>
          </w:tcPr>
          <w:p w14:paraId="24DCEFF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Papanikolau haigla lõpetamine</w:t>
            </w:r>
          </w:p>
        </w:tc>
        <w:tc>
          <w:tcPr>
            <w:tcW w:w="1553" w:type="dxa"/>
            <w:tcBorders>
              <w:top w:val="single" w:sz="4" w:space="0" w:color="auto"/>
              <w:left w:val="nil"/>
              <w:bottom w:val="single" w:sz="4" w:space="0" w:color="auto"/>
              <w:right w:val="single" w:sz="4" w:space="0" w:color="auto"/>
            </w:tcBorders>
            <w:shd w:val="clear" w:color="auto" w:fill="C6EFCE"/>
            <w:noWrap/>
          </w:tcPr>
          <w:p w14:paraId="4AEE5AC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Aruanne raku- ja geeniteraapia- ja hematoloogiakliiniku laboritele mõeldud hoone ehituse taristutööde lõpuleviimisest. </w:t>
            </w:r>
          </w:p>
        </w:tc>
        <w:tc>
          <w:tcPr>
            <w:tcW w:w="866" w:type="dxa"/>
            <w:tcBorders>
              <w:top w:val="single" w:sz="4" w:space="0" w:color="auto"/>
              <w:left w:val="nil"/>
              <w:bottom w:val="single" w:sz="4" w:space="0" w:color="auto"/>
              <w:right w:val="single" w:sz="4" w:space="0" w:color="auto"/>
            </w:tcBorders>
            <w:shd w:val="clear" w:color="auto" w:fill="C6EFCE"/>
            <w:noWrap/>
          </w:tcPr>
          <w:p w14:paraId="351D56CA"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41975CB3"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659" w:type="dxa"/>
            <w:tcBorders>
              <w:top w:val="single" w:sz="4" w:space="0" w:color="auto"/>
              <w:left w:val="nil"/>
              <w:bottom w:val="single" w:sz="4" w:space="0" w:color="auto"/>
              <w:right w:val="single" w:sz="4" w:space="0" w:color="auto"/>
            </w:tcBorders>
            <w:shd w:val="clear" w:color="auto" w:fill="C6EFCE"/>
            <w:noWrap/>
          </w:tcPr>
          <w:p w14:paraId="66CC0648"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3C19EE6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49DB644B"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731" w:type="dxa"/>
            <w:tcBorders>
              <w:top w:val="single" w:sz="4" w:space="0" w:color="auto"/>
              <w:left w:val="nil"/>
              <w:bottom w:val="single" w:sz="4" w:space="0" w:color="auto"/>
              <w:right w:val="single" w:sz="4" w:space="0" w:color="auto"/>
            </w:tcBorders>
            <w:shd w:val="clear" w:color="auto" w:fill="C6EFCE"/>
            <w:noWrap/>
          </w:tcPr>
          <w:p w14:paraId="00A375A7"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Kõigi spetsialiseerunud laborite ja spetsiaalse õendusüksuse uue kolmekorruselise hoone valmimine; olemasoleva hoone alumise korruse ümberehitamine nii, et ambulatoorsetel kliinikutel oleks piisavalt ruumi ja Papanikolaou haigla päevahoiuks ning et saavutataks primaarenergia nõudlus, mis on vähemalt 20 % väiksem kui liginullenergiahoone nõue (liginullenergiahoone, riiklikud direktiivid).</w:t>
            </w:r>
          </w:p>
        </w:tc>
      </w:tr>
      <w:tr w:rsidR="00764877" w:rsidRPr="003B132A" w14:paraId="40919628" w14:textId="77777777" w:rsidTr="00D16F13">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14:paraId="0C6531B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173</w:t>
            </w:r>
          </w:p>
        </w:tc>
        <w:tc>
          <w:tcPr>
            <w:tcW w:w="1797" w:type="dxa"/>
            <w:tcBorders>
              <w:top w:val="single" w:sz="4" w:space="0" w:color="auto"/>
              <w:left w:val="nil"/>
              <w:bottom w:val="single" w:sz="4" w:space="0" w:color="auto"/>
              <w:right w:val="single" w:sz="4" w:space="0" w:color="auto"/>
            </w:tcBorders>
            <w:shd w:val="clear" w:color="auto" w:fill="C6EFCE"/>
            <w:noWrap/>
          </w:tcPr>
          <w:p w14:paraId="2131BB20"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10-3.3. Tervishoiu vastupanuvõime, juurdepääsetavuse ja jätkusuutlikkuse parandamine – 16752_Tervise digitaalne ümberkujundamine (DigHealth)</w:t>
            </w:r>
          </w:p>
          <w:p w14:paraId="0BE470D7" w14:textId="77777777" w:rsidR="00764877" w:rsidRPr="00AD4052" w:rsidRDefault="00764877" w:rsidP="00D16F13">
            <w:pPr>
              <w:spacing w:before="120" w:after="120" w:line="240" w:lineRule="auto"/>
              <w:jc w:val="center"/>
              <w:rPr>
                <w:rFonts w:eastAsia="Times New Roman" w:cs="Calibri"/>
                <w:noProof/>
                <w:sz w:val="18"/>
                <w:szCs w:val="18"/>
                <w:lang w:eastAsia="en-GB"/>
              </w:rPr>
            </w:pPr>
          </w:p>
        </w:tc>
        <w:tc>
          <w:tcPr>
            <w:tcW w:w="1424" w:type="dxa"/>
            <w:tcBorders>
              <w:top w:val="single" w:sz="4" w:space="0" w:color="auto"/>
              <w:left w:val="nil"/>
              <w:bottom w:val="single" w:sz="4" w:space="0" w:color="auto"/>
              <w:right w:val="single" w:sz="4" w:space="0" w:color="auto"/>
            </w:tcBorders>
            <w:shd w:val="clear" w:color="auto" w:fill="C6EFCE"/>
            <w:noWrap/>
          </w:tcPr>
          <w:p w14:paraId="55C9986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Eesmärk</w:t>
            </w:r>
          </w:p>
        </w:tc>
        <w:tc>
          <w:tcPr>
            <w:tcW w:w="1419" w:type="dxa"/>
            <w:tcBorders>
              <w:top w:val="single" w:sz="4" w:space="0" w:color="auto"/>
              <w:left w:val="nil"/>
              <w:bottom w:val="single" w:sz="4" w:space="0" w:color="auto"/>
              <w:right w:val="single" w:sz="4" w:space="0" w:color="auto"/>
            </w:tcBorders>
            <w:shd w:val="clear" w:color="auto" w:fill="C6EFCE"/>
            <w:noWrap/>
          </w:tcPr>
          <w:p w14:paraId="31E84A4C"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Digiüleminek – kõik allprojektid on lõpule viidud</w:t>
            </w:r>
          </w:p>
        </w:tc>
        <w:tc>
          <w:tcPr>
            <w:tcW w:w="1553" w:type="dxa"/>
            <w:tcBorders>
              <w:top w:val="single" w:sz="4" w:space="0" w:color="auto"/>
              <w:left w:val="nil"/>
              <w:bottom w:val="single" w:sz="4" w:space="0" w:color="auto"/>
              <w:right w:val="single" w:sz="4" w:space="0" w:color="auto"/>
            </w:tcBorders>
            <w:shd w:val="clear" w:color="auto" w:fill="C6EFCE"/>
            <w:noWrap/>
          </w:tcPr>
          <w:p w14:paraId="37772179"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Aruanne, milles kinnitatakse viie tervishoiusüsteemi digiüleminekut toetava allprojekti lõpuleviimist ja täielikku rakendamist, hõlmates iga allprojekti kõiki elemente. </w:t>
            </w:r>
          </w:p>
          <w:p w14:paraId="704BECF4"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14:paraId="2BCE5037"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24E82653"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659" w:type="dxa"/>
            <w:tcBorders>
              <w:top w:val="single" w:sz="4" w:space="0" w:color="auto"/>
              <w:left w:val="nil"/>
              <w:bottom w:val="single" w:sz="4" w:space="0" w:color="auto"/>
              <w:right w:val="single" w:sz="4" w:space="0" w:color="auto"/>
            </w:tcBorders>
            <w:shd w:val="clear" w:color="auto" w:fill="C6EFCE"/>
            <w:noWrap/>
          </w:tcPr>
          <w:p w14:paraId="7912F78B" w14:textId="77777777" w:rsidR="00764877" w:rsidRPr="00AD4052" w:rsidRDefault="00764877" w:rsidP="00D16F13">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67AF94F1"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55F1CEB8"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2025</w:t>
            </w:r>
          </w:p>
        </w:tc>
        <w:tc>
          <w:tcPr>
            <w:tcW w:w="4731" w:type="dxa"/>
            <w:tcBorders>
              <w:top w:val="single" w:sz="4" w:space="0" w:color="auto"/>
              <w:left w:val="nil"/>
              <w:bottom w:val="single" w:sz="4" w:space="0" w:color="auto"/>
              <w:right w:val="single" w:sz="4" w:space="0" w:color="auto"/>
            </w:tcBorders>
            <w:shd w:val="clear" w:color="auto" w:fill="C6EFCE"/>
            <w:noWrap/>
          </w:tcPr>
          <w:p w14:paraId="38945BA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Kõigi kavandatud meetmete lõpuleviimine, et rakendada viit (5) allprojekti, millega toetatakse tervishoiusüsteemi digiüleminekut:</w:t>
            </w:r>
          </w:p>
          <w:p w14:paraId="2E8C3A2F"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a) riiklik digitaalne patsiendi tervisekaart (1. allprojekt)</w:t>
            </w:r>
          </w:p>
          <w:p w14:paraId="54A0D8DE"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 xml:space="preserve">b) vähiravi digitaalse ümberkujundamise programm, mis hõlmab patsiente </w:t>
            </w:r>
          </w:p>
          <w:p w14:paraId="39AC948A"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registrid (allprojekt 2)</w:t>
            </w:r>
          </w:p>
          <w:p w14:paraId="2CCB4E72"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c) telemeditsiin, sealhulgas telemeditsiinijaamad, uus taristu, vahendid (allprojekt 3)</w:t>
            </w:r>
          </w:p>
          <w:p w14:paraId="0E8D3CDD"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d) haigla digitaalne valmisolek, sealhulgas: elektroonilised tervisekaardisüsteemid, meditsiiniseadmete inventarinimestik, DRG rakendamine, 4e-retsept haiglapatsientidele/raviprotokollide kohaldamine haiglakeskkonnas, e-broneerimise süsteem, riikliku hädaabikeskuse (EKAB) ja ravimiameti (EOF) digitaalne ajakohastamine, (allprojekt 4)</w:t>
            </w:r>
          </w:p>
          <w:p w14:paraId="5B64AEC5" w14:textId="77777777" w:rsidR="00764877" w:rsidRPr="00E02B5D" w:rsidRDefault="00764877" w:rsidP="00D16F13">
            <w:pPr>
              <w:spacing w:after="0" w:line="240" w:lineRule="auto"/>
              <w:rPr>
                <w:rFonts w:eastAsia="Times New Roman" w:cs="Calibri"/>
                <w:noProof/>
                <w:color w:val="006100"/>
                <w:sz w:val="18"/>
                <w:szCs w:val="18"/>
              </w:rPr>
            </w:pPr>
            <w:r>
              <w:rPr>
                <w:noProof/>
                <w:color w:val="006100"/>
                <w:sz w:val="18"/>
              </w:rPr>
              <w:t>e) EOPYY (riiklik tervishoiuteenuste osutamise organisatsioon) integreeritud infosüsteemi kõigi elementide lõpuleviimine, kõik kulude haldamise ja järelevalve elemendid, tervishoiuteenuse osutajatele ja kodanikele osutatavate digiteenuste kõik elemendid, kõik andmehalduse elemendid, analüüs, koostalitlusvõime ja 250 ettevõtte ressursiplaneerimise (ERP) litsentsi ostmine finantsjuhtimissüsteemi jaoks; kliiring (allprojekt 5).</w:t>
            </w:r>
          </w:p>
        </w:tc>
      </w:tr>
    </w:tbl>
    <w:p w14:paraId="5C6054FB" w14:textId="77777777" w:rsidR="00AA541B" w:rsidRPr="00AD4052" w:rsidRDefault="00AA541B" w:rsidP="00AA541B">
      <w:pPr>
        <w:spacing w:before="120" w:after="120" w:line="240" w:lineRule="auto"/>
        <w:jc w:val="both"/>
        <w:rPr>
          <w:rFonts w:ascii="Times New Roman" w:hAnsi="Times New Roman" w:cs="Times New Roman"/>
          <w:noProof/>
          <w:sz w:val="24"/>
        </w:rPr>
        <w:sectPr w:rsidR="00AA541B" w:rsidRPr="00AD4052" w:rsidSect="00271D33">
          <w:headerReference w:type="even" r:id="rId218"/>
          <w:headerReference w:type="default" r:id="rId219"/>
          <w:footerReference w:type="even" r:id="rId220"/>
          <w:footerReference w:type="default" r:id="rId221"/>
          <w:headerReference w:type="first" r:id="rId222"/>
          <w:footerReference w:type="first" r:id="rId223"/>
          <w:pgSz w:w="16839" w:h="11907" w:orient="landscape"/>
          <w:pgMar w:top="720" w:right="720" w:bottom="720" w:left="720" w:header="709" w:footer="217" w:gutter="0"/>
          <w:cols w:space="720"/>
          <w:docGrid w:linePitch="360"/>
        </w:sectPr>
      </w:pPr>
    </w:p>
    <w:p w14:paraId="76A8F673" w14:textId="77777777" w:rsidR="00764877" w:rsidRPr="00E02B5D" w:rsidRDefault="00764877" w:rsidP="00645BC7">
      <w:pPr>
        <w:spacing w:before="120" w:after="120" w:line="240" w:lineRule="auto"/>
        <w:ind w:firstLine="6"/>
        <w:jc w:val="both"/>
        <w:outlineLvl w:val="3"/>
        <w:rPr>
          <w:rFonts w:ascii="Times New Roman" w:hAnsi="Times New Roman" w:cs="Times New Roman"/>
          <w:b/>
          <w:noProof/>
          <w:sz w:val="24"/>
          <w:szCs w:val="24"/>
        </w:rPr>
      </w:pPr>
      <w:r>
        <w:rPr>
          <w:rFonts w:ascii="Times New Roman" w:hAnsi="Times New Roman"/>
          <w:b/>
          <w:noProof/>
          <w:sz w:val="24"/>
        </w:rPr>
        <w:t>K. KOMPONENT 3.4. PARANDADA JUURDEPÄÄSU TÕHUSALE JA KAASAVALE SOTSIAALPOLIITIKALE</w:t>
      </w:r>
    </w:p>
    <w:p w14:paraId="4B038EBD" w14:textId="77777777" w:rsidR="00764877" w:rsidRPr="00E02B5D" w:rsidRDefault="0076487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Kreeka majanduse elavdamise ja kriisilahenduse kava selle osa eesmärk on edendada sotsiaalset kaasatust, pöörates erilist tähelepanu haavatavatele rühmadele, toetades samal ajal naiste osalemist tööturul. Suur osa komponendist on ette nähtud alusharidusele ja lapsehoiule, eelkõige toetustena 1 000 uue lastehoiuasutuse loomiseks omavalitsusüksustes. Kava võimaldab ka tööturul aktiveerimismeetmeid haavatavatele rühmadele, sealhulgas garanteeritud miinimumsissetuleku saajatele, pagulastele, kodututele, romadele ja autismispektri häire all kannatavatele inimestele. Kava põhielemendid on ka ulatuslik koolitusprogramm väikeettevõtjatele mitmekesisusest teadlikkuse suurendamiseks ja mitmed väikesed katseprojektid, nagu laste deinstitutsionaliseerimine, puuetega inimeste toetamine ja sotsiaaleluasemed.</w:t>
      </w:r>
      <w:r>
        <w:rPr>
          <w:rFonts w:ascii="Times New Roman" w:hAnsi="Times New Roman"/>
          <w:noProof/>
          <w:color w:val="000000"/>
          <w:sz w:val="24"/>
          <w:shd w:val="clear" w:color="auto" w:fill="FFFFFF"/>
        </w:rPr>
        <w:t xml:space="preserve"> Komponent on kooskõlas riigipõhiste soovitustega tööturu ja sotsiaalpoliitika kohta (riigipõhised soovitused 2/2020 ja 1/2019) ning investeeringute kohta (riigipõhised soovitused 3/2020 ja 2/2019). </w:t>
      </w:r>
      <w:r>
        <w:rPr>
          <w:rFonts w:ascii="Times New Roman" w:hAnsi="Times New Roman"/>
          <w:noProof/>
          <w:sz w:val="24"/>
        </w:rPr>
        <w:t>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6287D754" w14:textId="77777777" w:rsidR="00764877" w:rsidRPr="00E02B5D" w:rsidRDefault="00764877" w:rsidP="00645BC7">
      <w:pPr>
        <w:spacing w:before="120" w:after="120" w:line="240" w:lineRule="auto"/>
        <w:jc w:val="both"/>
        <w:rPr>
          <w:rFonts w:ascii="Times New Roman" w:hAnsi="Times New Roman" w:cs="Times New Roman"/>
          <w:b/>
          <w:i/>
          <w:noProof/>
          <w:color w:val="4F81BD"/>
          <w:sz w:val="24"/>
          <w:szCs w:val="24"/>
        </w:rPr>
      </w:pPr>
      <w:r>
        <w:rPr>
          <w:rFonts w:ascii="Times New Roman" w:hAnsi="Times New Roman"/>
          <w:b/>
          <w:noProof/>
          <w:sz w:val="24"/>
          <w:u w:val="single"/>
        </w:rPr>
        <w:t xml:space="preserve">K.1. </w:t>
      </w:r>
      <w:r>
        <w:rPr>
          <w:noProof/>
        </w:rPr>
        <w:tab/>
      </w:r>
      <w:r>
        <w:rPr>
          <w:rFonts w:ascii="Times New Roman" w:hAnsi="Times New Roman"/>
          <w:b/>
          <w:noProof/>
          <w:sz w:val="24"/>
          <w:u w:val="single"/>
        </w:rPr>
        <w:t>Tagastamatu rahalise toetusega seotud reformide ja investeeringute kirjeldus</w:t>
      </w:r>
    </w:p>
    <w:p w14:paraId="105C9639" w14:textId="77777777" w:rsidR="00764877" w:rsidRPr="00E02B5D" w:rsidRDefault="00764877" w:rsidP="00645BC7">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 xml:space="preserve">Reform: </w:t>
      </w:r>
      <w:r>
        <w:rPr>
          <w:rFonts w:ascii="Times New Roman" w:hAnsi="Times New Roman"/>
          <w:noProof/>
          <w:sz w:val="24"/>
        </w:rPr>
        <w:t>Lastekaitse (meetme ID: 16919)</w:t>
      </w:r>
    </w:p>
    <w:p w14:paraId="4AFBC0FA" w14:textId="77777777" w:rsidR="00764877" w:rsidRPr="00E02B5D" w:rsidRDefault="00764877"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Meede hõlmab 3 kuu kuni 4 aasta vanuste laste õppekava ja haridusprogrammi reformi, mille eesmärk on edendada nende kognitiivset arengut. Reformiga kaasnevad investeeringud 3 000 lastehoiukeskuse õppematerjalidesse ja kognitiivse arengu hindamise vahenditesse. Meede hõlmab ka investeeringuid, mis võimaldavad a) raske puudega (üle 67 %) ja/või raske vaimse häirega alaealiste paigutamist professionaalsetesse kasuperedesse; b) kuni 26-aastaste noorte üleviimine lastekaitseüksustest toetatud iseseisva eluga korteritesse deinstitutsionaliseerimise, oskuste arendamise ja tööalase konkurentsivõime parandamise eesmärgil; lasteaia loomine või laiendamine 2-kuu kuni 2,5-aastastele lastele (lasteaiad); ning d) teadus-, tehnoloogia-, inseneri- ja matemaatikakeskuste (STEM-keskused) loomine 12–15-aastastele lastele. Reform ja investeeringud viiakse lõpule 31. detsembriks 2025.</w:t>
      </w:r>
    </w:p>
    <w:p w14:paraId="37272078"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Puue (meetme ID: 16904)</w:t>
      </w:r>
    </w:p>
    <w:p w14:paraId="731579C7"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 koosneb kahest allprojektist, mille eesmärk on suurendada puuetega inimeste puhul sotsiaalset kaasatust, iseseisva elu võimalusi, tööalast konkurentsivõimet ja varajast sekkumist. Need allprojektid on eelkõige seotud a) puuetega inimeste iseseisva elu edendamisega, liikumis- ja meelelise puudega inimeste juurdepääsu ja tugitaristuga, puuetega inimeste iseseisva toimetuleku toetamisega, sealhulgas abikõlblikkuse hindamisega, mis põhineb nii puude meditsiinilisel kui ka funktsionaalsel hindamisel valdkondadevahelise hindamiskomitee poolt: esialgne katseprogramm ja sellele järgnev riiklik kasutuselevõtt; b) autismispektri häiretega inimeste sotsiaalse kaasamise ja varajase sekkumise toetamine (katseprogramm). Reformi rakendamine viiakse lõpule 31. detsembriks 2025.</w:t>
      </w:r>
    </w:p>
    <w:p w14:paraId="7E018482" w14:textId="77777777" w:rsidR="00892295" w:rsidRDefault="00892295">
      <w:pPr>
        <w:rPr>
          <w:rFonts w:ascii="Times New Roman" w:hAnsi="Times New Roman"/>
          <w:b/>
          <w:noProof/>
          <w:sz w:val="24"/>
        </w:rPr>
      </w:pPr>
      <w:r>
        <w:rPr>
          <w:noProof/>
        </w:rPr>
        <w:br w:type="page"/>
      </w:r>
    </w:p>
    <w:p w14:paraId="19EDAD7F" w14:textId="4F7CB390"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Sotsiaalne integratsioon (meetme ID: 16922)</w:t>
      </w:r>
    </w:p>
    <w:p w14:paraId="4E25B1AF"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See investeering koosneb kolmest allprojektist.</w:t>
      </w:r>
    </w:p>
    <w:p w14:paraId="171E6A88" w14:textId="77777777" w:rsidR="00764877" w:rsidRPr="00E02B5D" w:rsidRDefault="00764877" w:rsidP="00DE1EE5">
      <w:pPr>
        <w:numPr>
          <w:ilvl w:val="0"/>
          <w:numId w:val="66"/>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Kõige haavatavamate rühmade sotsiaalsel taasintegreerimisel keskendutakse kõige haavatavamate rühmade (tagatud miinimumsissetuleku saajad, romad ja kodutud) toetamisele, seades eesmärgiks nende (taas)integreerimise tööturule.</w:t>
      </w:r>
    </w:p>
    <w:p w14:paraId="04E9A2B9" w14:textId="77777777" w:rsidR="00764877" w:rsidRPr="00E02B5D" w:rsidRDefault="00764877" w:rsidP="00DE1EE5">
      <w:pPr>
        <w:numPr>
          <w:ilvl w:val="0"/>
          <w:numId w:val="66"/>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Eakate ja puuetega inimeste digikoolitus hõlmab uue tehnoloogia tundmaõppimist, tutvustamist ja õpetamist, peamiselt seoses digitaalse teabe, suhtluse ning internetipõhiste ja sotsiaalmeedia oskustega (nt elektrooniliste maksete tegemine, taotluste esitamine digitaalsete platvormide kaudu, sotsiaalmeedia kasutamine). </w:t>
      </w:r>
    </w:p>
    <w:p w14:paraId="12145958" w14:textId="77777777" w:rsidR="00764877" w:rsidRPr="00E02B5D" w:rsidRDefault="00764877" w:rsidP="00DE1EE5">
      <w:pPr>
        <w:numPr>
          <w:ilvl w:val="0"/>
          <w:numId w:val="66"/>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Sotsiaalelamumajandus keskendub eluasemetoetuse pakkumisele kõige haavatavamatele rühmadele, keda ohustab kodutus või kes on kodutud.</w:t>
      </w:r>
    </w:p>
    <w:p w14:paraId="31B4390C"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rakendamine viiakse lõpule 31. detsembriks 2025.</w:t>
      </w:r>
    </w:p>
    <w:p w14:paraId="69FD3E0D"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Sotsiaalabisüsteemi digiüleminek (meetme ID: 16925)</w:t>
      </w:r>
    </w:p>
    <w:p w14:paraId="33425782"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Investeeringuga töötatakse välja digitaalsed vahendid, mis võimaldavad järgmist: 1) kodanike juurdepääsu lihtsustamine sotsiaalhooldusteenustele ja -hüvitistele, pöörates erilist tähelepanu puuetega inimestele, 2) vajaduste parem kindlakstegemine, et vältida ressursside raiskamist ja eraldada sotsiaalabi eelarvet võimalikult õiglaselt, 3) avaliku ja erasektori sotsiaalhooldusteenuste osutajate tõhusam järelevalve ning 4) avalike hoolekandeasutuste teenuseosutajate oskuste täiendamine või ümberõpe.</w:t>
      </w:r>
    </w:p>
    <w:p w14:paraId="1323E774" w14:textId="77777777" w:rsidR="00764877" w:rsidRPr="00E02B5D" w:rsidRDefault="0076487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 koosneb järgmistest allprojektidest: a) sotsiaalkaitse ühtse digitaalse juurdepääsu portaali loomine, mis integreerib olemasolevad rahalised sotsiaalabihüvitised elektrooniliste taotlusvormide kaudu ühtsesse digitaalsesse portaali; b) luua puudega inimeste toetusi käsitlev riiklik ühtne kontaktpunkt, mis võimaldab hüvitise saajatele veebipõhist juurdepääsu isikuandmetele ja hüvitistele ning väljastab tõendeid; c) puudega inimestele kaardi loomine; d) ühtse sotsiaaltoetuste maksmise asutuse (OPEKA) digiüleminek; e) sotsiaalteenuste osutajatele digitaalse koolituse pakkumine; f) sotsiaalkaitseteenustega seotud avaliku kinnisvara täieliku nimistu koostamine. Investeeringu rakendamine viiakse lõpule 31. detsembriks 2025.</w:t>
      </w:r>
    </w:p>
    <w:p w14:paraId="6372FCB8"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Sotsiaaltoetuste optimeerimine (meetme ID: 16726)</w:t>
      </w:r>
    </w:p>
    <w:p w14:paraId="4D5605CB"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 koosneb järgmistest osadest: </w:t>
      </w:r>
    </w:p>
    <w:p w14:paraId="78292C9C" w14:textId="77777777" w:rsidR="00764877" w:rsidRPr="00E02B5D" w:rsidRDefault="00764877" w:rsidP="00DE1EE5">
      <w:pPr>
        <w:numPr>
          <w:ilvl w:val="0"/>
          <w:numId w:val="67"/>
        </w:numPr>
        <w:spacing w:before="12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Sotsiaaltoetuste maksmiseks ettemaksekaartide kasutuselevõtmine, mida pakuvad ühtne sotsiaaltoetuste maksmise asutus (OPEKA) ja riiklik tööturuasutus (OAED). </w:t>
      </w:r>
    </w:p>
    <w:p w14:paraId="5EA16424" w14:textId="77777777" w:rsidR="00764877" w:rsidRPr="00E02B5D" w:rsidRDefault="00764877" w:rsidP="00DE1EE5">
      <w:pPr>
        <w:numPr>
          <w:ilvl w:val="0"/>
          <w:numId w:val="67"/>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Toetusesaajatele stiimulite pakkumine ettemaksekaartide kasutamiseks konkreetsete kaupade ja teenuste ostmiseks </w:t>
      </w:r>
    </w:p>
    <w:p w14:paraId="708BA280"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rakendamine viiakse lõpule 31. detsembriks 2025.</w:t>
      </w:r>
    </w:p>
    <w:p w14:paraId="37E5F825"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Mitmekesisusteadlikkus (meetme ID: 16685)</w:t>
      </w:r>
    </w:p>
    <w:p w14:paraId="331A8513" w14:textId="1B6FF236" w:rsidR="00892295" w:rsidRDefault="00764877" w:rsidP="00892295">
      <w:pPr>
        <w:spacing w:before="120" w:after="120" w:line="240" w:lineRule="auto"/>
        <w:jc w:val="both"/>
        <w:rPr>
          <w:rFonts w:ascii="Times New Roman" w:hAnsi="Times New Roman"/>
          <w:noProof/>
          <w:sz w:val="24"/>
        </w:rPr>
      </w:pPr>
      <w:r>
        <w:rPr>
          <w:rFonts w:ascii="Times New Roman" w:hAnsi="Times New Roman"/>
          <w:noProof/>
          <w:sz w:val="24"/>
        </w:rPr>
        <w:t xml:space="preserve">Investeering koosneb kahest omavahel seotud allprojektist, mille eesmärk on suurendada teadlikkust mitmekesisusest: a) väikeettevõtete töötajatele mõeldud mitmekesisuse koolitusprogrammide väljatöötamine ja pakkumine, et võidelda mitmekesisuse kõigi mõõtmete diskrimineerimise vastu töökohal; b) konkreetse mehhanismi väljatöötamine asjakohaste statistiliste andmete kogumiseks võrdõiguslikkuse ja diskrimineerimise kohta. </w:t>
      </w:r>
      <w:r>
        <w:rPr>
          <w:rFonts w:ascii="Times New Roman" w:hAnsi="Times New Roman"/>
          <w:noProof/>
          <w:sz w:val="24"/>
        </w:rPr>
        <w:br w:type="page"/>
      </w:r>
    </w:p>
    <w:p w14:paraId="0C6D6FCC" w14:textId="76FF16CC" w:rsidR="00764877" w:rsidRPr="00E02B5D" w:rsidRDefault="00764877"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Suurendatakse töö- ja sotsiaalministeeriumi tegevüksuseks oleva võrdõiguslikkuse vaatluskeskuse rolli, et koostada põhjalikke aruandeid võrdsete võimaluste olukorra kohta. Töötatakse välja mitmekesisus- ja kaasamistavasid edendavate ettevõtete/organisatsioonide sertifitseerimis- ja auhinnasüsteem. Reform ja investeeringud viiakse lõpule 31. märtsiks 2025.</w:t>
      </w:r>
    </w:p>
    <w:p w14:paraId="4A5563AC" w14:textId="77777777" w:rsidR="00C63536" w:rsidRDefault="00C63536" w:rsidP="00645BC7">
      <w:pPr>
        <w:spacing w:before="120" w:after="120" w:line="240" w:lineRule="auto"/>
        <w:jc w:val="both"/>
        <w:rPr>
          <w:rFonts w:ascii="Times New Roman" w:hAnsi="Times New Roman"/>
          <w:b/>
          <w:noProof/>
          <w:sz w:val="24"/>
          <w:lang w:val="en-GB"/>
        </w:rPr>
        <w:sectPr w:rsidR="00C63536" w:rsidSect="00271D33">
          <w:headerReference w:type="even" r:id="rId224"/>
          <w:headerReference w:type="default" r:id="rId225"/>
          <w:footerReference w:type="even" r:id="rId226"/>
          <w:footerReference w:type="default" r:id="rId227"/>
          <w:headerReference w:type="first" r:id="rId228"/>
          <w:footerReference w:type="first" r:id="rId229"/>
          <w:pgSz w:w="11907" w:h="16839"/>
          <w:pgMar w:top="1134" w:right="1417" w:bottom="1134" w:left="1417" w:header="709" w:footer="185" w:gutter="0"/>
          <w:cols w:space="720"/>
          <w:docGrid w:linePitch="360"/>
        </w:sectPr>
      </w:pPr>
    </w:p>
    <w:p w14:paraId="48DDA5A2"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Edendada pagulaste integreerimist tööturule (meetme ID: 16688)</w:t>
      </w:r>
    </w:p>
    <w:p w14:paraId="7A28241F" w14:textId="77777777" w:rsidR="00764877" w:rsidRPr="00E02B5D" w:rsidRDefault="00764877" w:rsidP="00F30E40">
      <w:pPr>
        <w:spacing w:before="120" w:after="0" w:line="240" w:lineRule="auto"/>
        <w:jc w:val="both"/>
        <w:rPr>
          <w:rFonts w:ascii="Times New Roman" w:hAnsi="Times New Roman" w:cs="Times New Roman"/>
          <w:noProof/>
          <w:sz w:val="24"/>
          <w:szCs w:val="24"/>
        </w:rPr>
      </w:pPr>
      <w:r>
        <w:rPr>
          <w:rFonts w:ascii="Times New Roman" w:hAnsi="Times New Roman"/>
          <w:noProof/>
          <w:sz w:val="24"/>
        </w:rPr>
        <w:t>Investeeringu eesmärk on edendada pagulaste integreerimist tööturule. Selleks rakendatakse praktikat, mis aitab pagulastel omandada töökogemust ja hõlbustab nende edasist integreerimist tööturule. Projekt viiakse kooskõlla partnerluslepingu projektiga (2021–2027) ning see täiendab muid ELi fonde ja projekte. Investeeringu rakendamine viiakse lõpule 31. detsembriks 2025.</w:t>
      </w:r>
    </w:p>
    <w:p w14:paraId="70FEA528"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Rände- ja varjupaigasüsteemi digiüleminek (meetme ID: 16763)</w:t>
      </w:r>
    </w:p>
    <w:p w14:paraId="7412DEF2" w14:textId="77777777" w:rsidR="00764877" w:rsidRPr="00E02B5D" w:rsidRDefault="00764877"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 rakendamise tulemusel paraneb märkimisväärselt asjaomastele toetusesaajatele osutatavate teenuste kvaliteet. Rände- ja varjupaigasüsteemi digitaliseerimise kaudu käsitletakse järgmisi kriitilisi küsimusi</w:t>
      </w:r>
    </w:p>
    <w:p w14:paraId="12FFEE04" w14:textId="77777777" w:rsidR="00764877" w:rsidRPr="00E02B5D" w:rsidRDefault="00764877" w:rsidP="00DE1EE5">
      <w:pPr>
        <w:numPr>
          <w:ilvl w:val="0"/>
          <w:numId w:val="68"/>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pagulasvoogudega seotud menetluste kogu elutsükli ühtne haldamine alates esimesest vastuvõtust kuni varjupaigataotluse läbivaatamise lõpuleviimiseni;</w:t>
      </w:r>
    </w:p>
    <w:p w14:paraId="7F5ACBEB" w14:textId="77777777" w:rsidR="00764877" w:rsidRPr="00E02B5D" w:rsidRDefault="00764877" w:rsidP="00DE1EE5">
      <w:pPr>
        <w:numPr>
          <w:ilvl w:val="0"/>
          <w:numId w:val="68"/>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integreeritud reaalajas teabe kogumine kõigi asjaomaste asutuste poolt;</w:t>
      </w:r>
    </w:p>
    <w:p w14:paraId="594DE69D" w14:textId="77777777" w:rsidR="00764877" w:rsidRPr="00E02B5D" w:rsidRDefault="00764877" w:rsidP="00DE1EE5">
      <w:pPr>
        <w:numPr>
          <w:ilvl w:val="0"/>
          <w:numId w:val="68"/>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riiki sisenevate isikute turvaline ja kehtiv tuvastamine menetluste abil, mis hõlmavad biomeetriliste andmete saamist ja nn aruka ID-kaardi väljastamist, ning</w:t>
      </w:r>
    </w:p>
    <w:p w14:paraId="1C94F2C6" w14:textId="77777777" w:rsidR="00764877" w:rsidRPr="00E02B5D" w:rsidRDefault="00764877" w:rsidP="00DE1EE5">
      <w:pPr>
        <w:numPr>
          <w:ilvl w:val="0"/>
          <w:numId w:val="68"/>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veebi- &amp; mobiilirakendus pagulastega suhtlemiseks.</w:t>
      </w:r>
    </w:p>
    <w:p w14:paraId="19325253" w14:textId="77777777" w:rsidR="00764877" w:rsidRPr="00E02B5D" w:rsidRDefault="00764877" w:rsidP="00D16F13">
      <w:pPr>
        <w:jc w:val="both"/>
        <w:rPr>
          <w:rFonts w:ascii="Times New Roman" w:hAnsi="Times New Roman" w:cs="Times New Roman"/>
          <w:noProof/>
          <w:sz w:val="24"/>
          <w:szCs w:val="24"/>
        </w:rPr>
      </w:pPr>
      <w:r>
        <w:rPr>
          <w:rFonts w:ascii="Times New Roman" w:hAnsi="Times New Roman"/>
          <w:noProof/>
          <w:sz w:val="24"/>
        </w:rPr>
        <w:t xml:space="preserve">Investeering võimaldab ka luua integreeritud tulekahjude avastamise ja varajase hoiatamise süsteemi Lesbosel Vastria metsaalal, kus asub pagulaslaager. </w:t>
      </w:r>
    </w:p>
    <w:p w14:paraId="3A8CFD10" w14:textId="77777777" w:rsidR="00764877" w:rsidRDefault="00764877" w:rsidP="00D16F13">
      <w:pPr>
        <w:spacing w:before="120" w:after="120" w:line="240" w:lineRule="auto"/>
        <w:jc w:val="both"/>
        <w:rPr>
          <w:rFonts w:ascii="Times New Roman" w:hAnsi="Times New Roman"/>
          <w:noProof/>
          <w:sz w:val="24"/>
        </w:rPr>
      </w:pPr>
      <w:r>
        <w:rPr>
          <w:rFonts w:ascii="Times New Roman" w:hAnsi="Times New Roman"/>
          <w:noProof/>
          <w:sz w:val="24"/>
        </w:rPr>
        <w:t>Investeeringu rakendamine viiakse lõpule 31. detsembriks 2024.</w:t>
      </w:r>
    </w:p>
    <w:p w14:paraId="4DD53085" w14:textId="77777777" w:rsidR="000C08B8" w:rsidRPr="00AD4052" w:rsidRDefault="000C08B8" w:rsidP="00D16F13">
      <w:pPr>
        <w:spacing w:before="120" w:after="120" w:line="240" w:lineRule="auto"/>
        <w:jc w:val="both"/>
        <w:rPr>
          <w:rFonts w:ascii="Times New Roman" w:hAnsi="Times New Roman"/>
          <w:noProof/>
          <w:sz w:val="24"/>
        </w:rPr>
      </w:pPr>
    </w:p>
    <w:p w14:paraId="06B332C4" w14:textId="77777777" w:rsidR="00AD23BF" w:rsidRPr="000634A3" w:rsidRDefault="00AD23BF" w:rsidP="00AD23BF">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Reform:</w:t>
      </w:r>
      <w:r>
        <w:rPr>
          <w:rFonts w:ascii="Times New Roman" w:hAnsi="Times New Roman"/>
          <w:noProof/>
          <w:color w:val="000000" w:themeColor="text1"/>
          <w:sz w:val="24"/>
        </w:rPr>
        <w:t xml:space="preserve"> </w:t>
      </w:r>
      <w:r>
        <w:rPr>
          <w:rStyle w:val="normaltextrun"/>
          <w:rFonts w:ascii="Times New Roman" w:hAnsi="Times New Roman"/>
          <w:noProof/>
          <w:color w:val="000000" w:themeColor="text1"/>
          <w:sz w:val="24"/>
          <w:bdr w:val="none" w:sz="0" w:space="0" w:color="auto" w:frame="1"/>
        </w:rPr>
        <w:t>Sotsiaalne</w:t>
      </w:r>
      <w:r>
        <w:rPr>
          <w:rFonts w:ascii="Times New Roman" w:hAnsi="Times New Roman"/>
          <w:noProof/>
          <w:color w:val="000000" w:themeColor="text1"/>
          <w:sz w:val="24"/>
        </w:rPr>
        <w:t xml:space="preserve"> ja taskukohane elamumajandus (meetme ID: 16402)</w:t>
      </w:r>
    </w:p>
    <w:p w14:paraId="23AF3184" w14:textId="77777777" w:rsidR="00AD23BF" w:rsidRPr="000634A3" w:rsidRDefault="00AD23BF" w:rsidP="00AD23BF">
      <w:pPr>
        <w:pStyle w:val="paragraph"/>
        <w:jc w:val="both"/>
        <w:textAlignment w:val="baseline"/>
        <w:rPr>
          <w:noProof/>
        </w:rPr>
      </w:pPr>
      <w:r>
        <w:rPr>
          <w:noProof/>
        </w:rPr>
        <w:t xml:space="preserve">Reformi eesmärk on parandada madala sissetulekuga leibkondade juurdepääsu taskukohasele ja kvaliteetsele eluasemele ning suurendada haavatavate rühmade juurdepääsu sotsiaaleluruumidele. Reform koosneb kahest osast: i) riikliku eluasemestrateegia vastuvõtmine ja ii) seaduse 5006/2022 seadusandlikud muudatused. </w:t>
      </w:r>
    </w:p>
    <w:p w14:paraId="130B6428" w14:textId="77777777" w:rsidR="00AD23BF" w:rsidRPr="000634A3" w:rsidRDefault="00AD23BF" w:rsidP="00AD23BF">
      <w:pPr>
        <w:pStyle w:val="paragraph"/>
        <w:jc w:val="both"/>
        <w:textAlignment w:val="baseline"/>
        <w:rPr>
          <w:noProof/>
        </w:rPr>
      </w:pPr>
      <w:r>
        <w:rPr>
          <w:noProof/>
        </w:rPr>
        <w:t xml:space="preserve">Esimene element on riikliku eluasemestrateegia vastuvõtmine, mis hõlmab eluasemeturu toimimise analüüsi ja eluasemevajaduste üksikasjalikku kaardistamist elanikkonnarühmade kaupa (s.t elanikkonnarühmad, kellel on eristav eripära, nagu vanus, kasutatav sissetulek, perekonna koosseis piirkondlikul tasandil, maa- või linnapiirkondades, väike- või suurlinnades), sealhulgas noored ja lastega pered. Strateegia vastuvõtmisele järgneb avalik konsultatsioon. </w:t>
      </w:r>
    </w:p>
    <w:p w14:paraId="370E05C8" w14:textId="77777777" w:rsidR="00AD23BF" w:rsidRPr="000634A3" w:rsidRDefault="00AD23BF" w:rsidP="00AD23BF">
      <w:pPr>
        <w:pStyle w:val="PlainText"/>
        <w:jc w:val="both"/>
        <w:rPr>
          <w:rFonts w:ascii="Times New Roman" w:eastAsia="Times New Roman" w:hAnsi="Times New Roman" w:cs="Times New Roman"/>
          <w:noProof/>
          <w:sz w:val="24"/>
          <w:szCs w:val="24"/>
          <w14:ligatures w14:val="none"/>
        </w:rPr>
      </w:pPr>
      <w:r>
        <w:rPr>
          <w:rFonts w:ascii="Times New Roman" w:hAnsi="Times New Roman"/>
          <w:noProof/>
          <w:sz w:val="24"/>
        </w:rPr>
        <w:t xml:space="preserve">Teine element on seaduse 5006/2022 muutmine. Seadusandlike muudatuste eesmärk on ühtlustada avaliku omandi vastastikuse vahetamise programmi („Kinoniki antiparochi“) ning motiveerida erasektori kinnisvaraarendajaid investeerima sotsiaaleluruumidesse ja taskukohastesse eluasemetesse. Erasektori kinnisvaraarendajaid kutsutakse läbipaistva ja konkurentsipõhise protsessi käigus üles arendama või renoveerima riigi omandis olevat kinnisvara. </w:t>
      </w:r>
    </w:p>
    <w:p w14:paraId="3000ACCA" w14:textId="77777777" w:rsidR="00AD23BF" w:rsidRPr="000634A3" w:rsidRDefault="00AD23BF" w:rsidP="00AD23BF">
      <w:pPr>
        <w:pStyle w:val="PlainText"/>
        <w:jc w:val="both"/>
        <w:rPr>
          <w:rFonts w:ascii="Times New Roman" w:eastAsia="Times New Roman" w:hAnsi="Times New Roman" w:cs="Times New Roman"/>
          <w:noProof/>
          <w:sz w:val="24"/>
          <w:szCs w:val="24"/>
          <w:lang w:eastAsia="en-GB"/>
          <w14:ligatures w14:val="none"/>
        </w:rPr>
      </w:pPr>
    </w:p>
    <w:p w14:paraId="24F180C6" w14:textId="77777777" w:rsidR="00AD23BF" w:rsidRPr="00503CA7" w:rsidRDefault="00AD23BF" w:rsidP="00AD23BF">
      <w:pPr>
        <w:pStyle w:val="PlainText"/>
        <w:jc w:val="both"/>
        <w:rPr>
          <w:rFonts w:ascii="Times New Roman" w:eastAsia="Times New Roman" w:hAnsi="Times New Roman" w:cs="Times New Roman"/>
          <w:noProof/>
          <w:sz w:val="24"/>
          <w:szCs w:val="24"/>
        </w:rPr>
      </w:pPr>
      <w:r>
        <w:rPr>
          <w:rFonts w:ascii="Times New Roman" w:hAnsi="Times New Roman"/>
          <w:noProof/>
          <w:sz w:val="24"/>
        </w:rPr>
        <w:t>Reformiga ergutatakse erasektori kinnisvaraarendajaid investeerima riigi omandis oleva kinnisvara uude ehitamisse või renoveerimisse, andes osa arendatavast kinnisvarast üle ja võimaldades neid kasutada, sealhulgas ärilistel eesmärkidel, muutes osa kinnisvarast sotsiaaleluruumideks ja taskukohasteks eluasemeteks. Reformi rakendamine viiakse lõpule 31. märtsiks 2026.</w:t>
      </w:r>
    </w:p>
    <w:p w14:paraId="5FE5F907" w14:textId="77777777" w:rsidR="00FD006B" w:rsidRPr="00AD4052" w:rsidRDefault="00FD006B" w:rsidP="00FD006B">
      <w:pPr>
        <w:spacing w:after="0" w:line="240" w:lineRule="auto"/>
        <w:rPr>
          <w:rFonts w:ascii="Times New Roman" w:eastAsiaTheme="minorHAnsi" w:hAnsi="Times New Roman" w:cs="Times New Roman"/>
          <w:noProof/>
          <w:sz w:val="24"/>
          <w:szCs w:val="24"/>
        </w:rPr>
        <w:sectPr w:rsidR="00FD006B" w:rsidRPr="00AD4052" w:rsidSect="00FD006B">
          <w:headerReference w:type="even" r:id="rId230"/>
          <w:headerReference w:type="default" r:id="rId231"/>
          <w:footerReference w:type="even" r:id="rId232"/>
          <w:footerReference w:type="default" r:id="rId233"/>
          <w:headerReference w:type="first" r:id="rId234"/>
          <w:footerReference w:type="first" r:id="rId235"/>
          <w:pgSz w:w="11906" w:h="16838"/>
          <w:pgMar w:top="1417" w:right="1417" w:bottom="1417" w:left="1417" w:header="708" w:footer="708" w:gutter="0"/>
          <w:cols w:space="720"/>
        </w:sectPr>
      </w:pPr>
    </w:p>
    <w:p w14:paraId="6E898A49" w14:textId="77777777" w:rsidR="00764877" w:rsidRPr="00E02B5D" w:rsidRDefault="00764877" w:rsidP="00645BC7">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K.2. </w:t>
      </w:r>
      <w:r>
        <w:rPr>
          <w:noProof/>
        </w:rPr>
        <w:tab/>
      </w:r>
      <w:r>
        <w:rPr>
          <w:rFonts w:ascii="Times New Roman" w:hAnsi="Times New Roman"/>
          <w:b/>
          <w:noProof/>
          <w:sz w:val="24"/>
          <w:u w:val="single"/>
        </w:rPr>
        <w:t>Tagastamatu rahalise toetuse eesmärgid, sihid, näitajad ning seire ja rakendamise ajakava</w:t>
      </w:r>
    </w:p>
    <w:p w14:paraId="2D8B0E3A" w14:textId="77777777" w:rsidR="00764877" w:rsidRPr="00E02B5D" w:rsidRDefault="00764877" w:rsidP="00645BC7">
      <w:pPr>
        <w:keepNext/>
        <w:keepLines/>
        <w:spacing w:before="120" w:after="0" w:line="240" w:lineRule="auto"/>
        <w:jc w:val="both"/>
        <w:outlineLvl w:val="4"/>
        <w:rPr>
          <w:rFonts w:ascii="Cambria" w:eastAsia="Times New Roman" w:hAnsi="Cambria"/>
          <w:noProof/>
          <w:color w:val="365F91"/>
          <w:sz w:val="24"/>
        </w:rPr>
      </w:pPr>
      <w:r>
        <w:rPr>
          <w:rFonts w:ascii="Cambria" w:hAnsi="Cambria"/>
          <w:noProof/>
          <w:color w:val="365F91"/>
          <w:sz w:val="24"/>
        </w:rPr>
        <w:t>Grupp 15: Parandada juurdepääsu tõhusale ja kaasavale sotsiaalpoliitikale</w:t>
      </w:r>
    </w:p>
    <w:p w14:paraId="4AAD9CB7" w14:textId="77777777" w:rsidR="00764877" w:rsidRPr="00E02B5D" w:rsidRDefault="00764877" w:rsidP="00DE1EE5">
      <w:pPr>
        <w:numPr>
          <w:ilvl w:val="0"/>
          <w:numId w:val="40"/>
        </w:numPr>
        <w:spacing w:before="120" w:after="0" w:line="240" w:lineRule="auto"/>
        <w:ind w:left="0"/>
        <w:jc w:val="both"/>
        <w:rPr>
          <w:rFonts w:ascii="Times New Roman" w:hAnsi="Times New Roman" w:cs="Times New Roman"/>
          <w:noProof/>
        </w:rPr>
      </w:pPr>
      <w:r>
        <w:rPr>
          <w:rFonts w:ascii="Times New Roman" w:hAnsi="Times New Roman"/>
          <w:noProof/>
          <w:sz w:val="24"/>
        </w:rPr>
        <w:t>Lastekaitse (ID: 16919)</w:t>
      </w:r>
    </w:p>
    <w:p w14:paraId="0161E390" w14:textId="77777777" w:rsidR="00764877" w:rsidRPr="00E02B5D" w:rsidRDefault="00764877" w:rsidP="00DE1EE5">
      <w:pPr>
        <w:numPr>
          <w:ilvl w:val="0"/>
          <w:numId w:val="40"/>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Puue (ID: 16904)</w:t>
      </w:r>
    </w:p>
    <w:p w14:paraId="2363BEF1" w14:textId="77777777" w:rsidR="00764877" w:rsidRPr="008E683B" w:rsidRDefault="00764877" w:rsidP="00DE1EE5">
      <w:pPr>
        <w:numPr>
          <w:ilvl w:val="0"/>
          <w:numId w:val="40"/>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Sotsiaalhüvitiste optimeerimine (16726)</w:t>
      </w:r>
    </w:p>
    <w:p w14:paraId="44A0DCCC" w14:textId="77777777" w:rsidR="008E683B" w:rsidRPr="006A7BEF" w:rsidRDefault="009D6551" w:rsidP="00DE1EE5">
      <w:pPr>
        <w:numPr>
          <w:ilvl w:val="0"/>
          <w:numId w:val="40"/>
        </w:numPr>
        <w:spacing w:before="120" w:after="0" w:line="240" w:lineRule="auto"/>
        <w:ind w:left="0" w:hanging="357"/>
        <w:jc w:val="both"/>
        <w:rPr>
          <w:rFonts w:ascii="Times New Roman" w:hAnsi="Times New Roman" w:cs="Times New Roman"/>
          <w:noProof/>
          <w:color w:val="000000" w:themeColor="text1"/>
          <w:sz w:val="24"/>
        </w:rPr>
      </w:pPr>
      <w:r>
        <w:rPr>
          <w:rFonts w:ascii="Times New Roman" w:hAnsi="Times New Roman"/>
          <w:noProof/>
          <w:color w:val="000000" w:themeColor="text1"/>
          <w:sz w:val="24"/>
        </w:rPr>
        <w:t>Sotsiaaleluruumid ja taskukohased eluasemed (16402)</w:t>
      </w:r>
    </w:p>
    <w:p w14:paraId="6A435AC2" w14:textId="77777777" w:rsidR="00764877" w:rsidRPr="00E02B5D" w:rsidRDefault="00764877" w:rsidP="00645BC7">
      <w:pPr>
        <w:spacing w:before="120" w:after="0" w:line="240" w:lineRule="auto"/>
        <w:jc w:val="both"/>
        <w:rPr>
          <w:rFonts w:ascii="Times New Roman" w:hAnsi="Times New Roman" w:cs="Times New Roman"/>
          <w:noProof/>
          <w:sz w:val="24"/>
          <w:lang w:val="en-GB"/>
        </w:rPr>
      </w:pPr>
    </w:p>
    <w:tbl>
      <w:tblPr>
        <w:tblW w:w="16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993"/>
        <w:gridCol w:w="1285"/>
        <w:gridCol w:w="1418"/>
        <w:gridCol w:w="1134"/>
        <w:gridCol w:w="982"/>
        <w:gridCol w:w="1286"/>
        <w:gridCol w:w="1417"/>
        <w:gridCol w:w="709"/>
        <w:gridCol w:w="4536"/>
      </w:tblGrid>
      <w:tr w:rsidR="007B4D63" w:rsidRPr="003B132A" w14:paraId="6C377CB6" w14:textId="77777777" w:rsidTr="00C15C41">
        <w:trPr>
          <w:trHeight w:val="616"/>
          <w:tblHeader/>
          <w:jc w:val="center"/>
        </w:trPr>
        <w:tc>
          <w:tcPr>
            <w:tcW w:w="846" w:type="dxa"/>
            <w:vMerge w:val="restart"/>
            <w:shd w:val="clear" w:color="auto" w:fill="BDD7EE"/>
            <w:vAlign w:val="center"/>
            <w:hideMark/>
          </w:tcPr>
          <w:p w14:paraId="34FDA223"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417" w:type="dxa"/>
            <w:vMerge w:val="restart"/>
            <w:shd w:val="clear" w:color="auto" w:fill="BDD7EE"/>
            <w:vAlign w:val="center"/>
            <w:hideMark/>
          </w:tcPr>
          <w:p w14:paraId="0141F482"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93" w:type="dxa"/>
            <w:vMerge w:val="restart"/>
            <w:shd w:val="clear" w:color="auto" w:fill="BDD7EE"/>
            <w:vAlign w:val="center"/>
            <w:hideMark/>
          </w:tcPr>
          <w:p w14:paraId="5A4DBFE5"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285" w:type="dxa"/>
            <w:vMerge w:val="restart"/>
            <w:shd w:val="clear" w:color="auto" w:fill="BDD7EE"/>
            <w:vAlign w:val="center"/>
            <w:hideMark/>
          </w:tcPr>
          <w:p w14:paraId="73C79586"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418" w:type="dxa"/>
            <w:vMerge w:val="restart"/>
            <w:shd w:val="clear" w:color="auto" w:fill="BDD7EE"/>
            <w:vAlign w:val="center"/>
            <w:hideMark/>
          </w:tcPr>
          <w:p w14:paraId="4AC0191C"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402" w:type="dxa"/>
            <w:gridSpan w:val="3"/>
            <w:shd w:val="clear" w:color="auto" w:fill="BDD7EE"/>
            <w:vAlign w:val="center"/>
            <w:hideMark/>
          </w:tcPr>
          <w:p w14:paraId="46902282"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2126" w:type="dxa"/>
            <w:gridSpan w:val="2"/>
            <w:shd w:val="clear" w:color="auto" w:fill="BDD7EE"/>
            <w:vAlign w:val="center"/>
            <w:hideMark/>
          </w:tcPr>
          <w:p w14:paraId="2288BF2D"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536" w:type="dxa"/>
            <w:vMerge w:val="restart"/>
            <w:shd w:val="clear" w:color="auto" w:fill="BDD7EE"/>
            <w:vAlign w:val="center"/>
            <w:hideMark/>
          </w:tcPr>
          <w:p w14:paraId="731AF50A"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6E0EA2" w:rsidRPr="00E02B5D" w14:paraId="3C49FF37" w14:textId="77777777" w:rsidTr="00C15C41">
        <w:trPr>
          <w:trHeight w:val="658"/>
          <w:tblHeader/>
          <w:jc w:val="center"/>
        </w:trPr>
        <w:tc>
          <w:tcPr>
            <w:tcW w:w="846" w:type="dxa"/>
            <w:vMerge/>
            <w:vAlign w:val="center"/>
            <w:hideMark/>
          </w:tcPr>
          <w:p w14:paraId="27B84A87" w14:textId="77777777" w:rsidR="00764877" w:rsidRPr="00AD4052" w:rsidRDefault="00764877" w:rsidP="00D16F13">
            <w:pPr>
              <w:spacing w:before="120" w:after="0" w:line="240" w:lineRule="auto"/>
              <w:rPr>
                <w:rFonts w:ascii="Times New Roman" w:eastAsia="Times New Roman" w:hAnsi="Times New Roman" w:cs="Times New Roman"/>
                <w:b/>
                <w:bCs/>
                <w:noProof/>
                <w:sz w:val="18"/>
                <w:szCs w:val="18"/>
                <w:lang w:eastAsia="en-GB"/>
              </w:rPr>
            </w:pPr>
          </w:p>
        </w:tc>
        <w:tc>
          <w:tcPr>
            <w:tcW w:w="1417" w:type="dxa"/>
            <w:vMerge/>
            <w:vAlign w:val="center"/>
            <w:hideMark/>
          </w:tcPr>
          <w:p w14:paraId="640FF2FC" w14:textId="77777777" w:rsidR="00764877" w:rsidRPr="00AD4052" w:rsidRDefault="00764877" w:rsidP="00D16F13">
            <w:pPr>
              <w:spacing w:before="120" w:after="0" w:line="240" w:lineRule="auto"/>
              <w:rPr>
                <w:rFonts w:ascii="Times New Roman" w:eastAsia="Times New Roman" w:hAnsi="Times New Roman" w:cs="Times New Roman"/>
                <w:b/>
                <w:bCs/>
                <w:noProof/>
                <w:sz w:val="18"/>
                <w:szCs w:val="18"/>
                <w:lang w:eastAsia="en-GB"/>
              </w:rPr>
            </w:pPr>
          </w:p>
        </w:tc>
        <w:tc>
          <w:tcPr>
            <w:tcW w:w="993" w:type="dxa"/>
            <w:vMerge/>
            <w:vAlign w:val="center"/>
            <w:hideMark/>
          </w:tcPr>
          <w:p w14:paraId="52E9947F" w14:textId="77777777" w:rsidR="00764877" w:rsidRPr="00AD4052" w:rsidRDefault="00764877" w:rsidP="00D16F13">
            <w:pPr>
              <w:spacing w:before="120" w:after="0" w:line="240" w:lineRule="auto"/>
              <w:rPr>
                <w:rFonts w:ascii="Times New Roman" w:eastAsia="Times New Roman" w:hAnsi="Times New Roman" w:cs="Times New Roman"/>
                <w:b/>
                <w:bCs/>
                <w:noProof/>
                <w:sz w:val="18"/>
                <w:szCs w:val="18"/>
                <w:lang w:eastAsia="en-GB"/>
              </w:rPr>
            </w:pPr>
          </w:p>
        </w:tc>
        <w:tc>
          <w:tcPr>
            <w:tcW w:w="1285" w:type="dxa"/>
            <w:vMerge/>
            <w:vAlign w:val="center"/>
            <w:hideMark/>
          </w:tcPr>
          <w:p w14:paraId="65F2BC01" w14:textId="77777777" w:rsidR="00764877" w:rsidRPr="00AD4052" w:rsidRDefault="00764877" w:rsidP="00D16F13">
            <w:pPr>
              <w:spacing w:before="120" w:after="0" w:line="240" w:lineRule="auto"/>
              <w:rPr>
                <w:rFonts w:ascii="Times New Roman" w:eastAsia="Times New Roman" w:hAnsi="Times New Roman" w:cs="Times New Roman"/>
                <w:b/>
                <w:bCs/>
                <w:noProof/>
                <w:sz w:val="18"/>
                <w:szCs w:val="18"/>
                <w:lang w:eastAsia="en-GB"/>
              </w:rPr>
            </w:pPr>
          </w:p>
        </w:tc>
        <w:tc>
          <w:tcPr>
            <w:tcW w:w="1418" w:type="dxa"/>
            <w:vMerge/>
            <w:vAlign w:val="center"/>
            <w:hideMark/>
          </w:tcPr>
          <w:p w14:paraId="2C235379" w14:textId="77777777" w:rsidR="00764877" w:rsidRPr="00AD4052" w:rsidRDefault="00764877" w:rsidP="00D16F13">
            <w:pPr>
              <w:spacing w:before="120" w:after="0" w:line="240" w:lineRule="auto"/>
              <w:rPr>
                <w:rFonts w:ascii="Times New Roman" w:eastAsia="Times New Roman" w:hAnsi="Times New Roman" w:cs="Times New Roman"/>
                <w:b/>
                <w:bCs/>
                <w:noProof/>
                <w:sz w:val="18"/>
                <w:szCs w:val="18"/>
                <w:lang w:eastAsia="en-GB"/>
              </w:rPr>
            </w:pPr>
          </w:p>
        </w:tc>
        <w:tc>
          <w:tcPr>
            <w:tcW w:w="1134" w:type="dxa"/>
            <w:shd w:val="clear" w:color="auto" w:fill="BDD7EE"/>
            <w:vAlign w:val="center"/>
            <w:hideMark/>
          </w:tcPr>
          <w:p w14:paraId="62460C04"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82" w:type="dxa"/>
            <w:shd w:val="clear" w:color="auto" w:fill="BDD7EE"/>
            <w:vAlign w:val="center"/>
            <w:hideMark/>
          </w:tcPr>
          <w:p w14:paraId="3447E519"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1286" w:type="dxa"/>
            <w:shd w:val="clear" w:color="auto" w:fill="BDD7EE"/>
            <w:vAlign w:val="center"/>
            <w:hideMark/>
          </w:tcPr>
          <w:p w14:paraId="452CBC49"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1417" w:type="dxa"/>
            <w:shd w:val="clear" w:color="auto" w:fill="BDD7EE"/>
            <w:vAlign w:val="center"/>
            <w:hideMark/>
          </w:tcPr>
          <w:p w14:paraId="60400BF1"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9" w:type="dxa"/>
            <w:shd w:val="clear" w:color="auto" w:fill="BDD7EE"/>
            <w:vAlign w:val="center"/>
            <w:hideMark/>
          </w:tcPr>
          <w:p w14:paraId="14170B13"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536" w:type="dxa"/>
            <w:vMerge/>
            <w:vAlign w:val="center"/>
            <w:hideMark/>
          </w:tcPr>
          <w:p w14:paraId="5310884E" w14:textId="77777777" w:rsidR="00764877" w:rsidRPr="00E02B5D" w:rsidRDefault="00764877" w:rsidP="00D16F13">
            <w:pPr>
              <w:spacing w:before="120" w:after="0" w:line="240" w:lineRule="auto"/>
              <w:rPr>
                <w:rFonts w:ascii="Times New Roman" w:eastAsia="Times New Roman" w:hAnsi="Times New Roman" w:cs="Times New Roman"/>
                <w:b/>
                <w:bCs/>
                <w:noProof/>
                <w:sz w:val="18"/>
                <w:szCs w:val="18"/>
                <w:lang w:val="en-GB" w:eastAsia="en-GB"/>
              </w:rPr>
            </w:pPr>
          </w:p>
        </w:tc>
      </w:tr>
      <w:tr w:rsidR="007B4D63" w:rsidRPr="003B132A" w14:paraId="0F7D73D3" w14:textId="77777777" w:rsidTr="00C15C41">
        <w:trPr>
          <w:trHeight w:val="313"/>
          <w:jc w:val="center"/>
        </w:trPr>
        <w:tc>
          <w:tcPr>
            <w:tcW w:w="846" w:type="dxa"/>
            <w:shd w:val="clear" w:color="auto" w:fill="C6EFCE"/>
            <w:noWrap/>
          </w:tcPr>
          <w:p w14:paraId="7DD0A383"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174</w:t>
            </w:r>
          </w:p>
        </w:tc>
        <w:tc>
          <w:tcPr>
            <w:tcW w:w="1417" w:type="dxa"/>
            <w:shd w:val="clear" w:color="auto" w:fill="C6EFCE"/>
            <w:noWrap/>
          </w:tcPr>
          <w:p w14:paraId="481DE42E"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16904_puue</w:t>
            </w:r>
          </w:p>
        </w:tc>
        <w:tc>
          <w:tcPr>
            <w:tcW w:w="993" w:type="dxa"/>
            <w:shd w:val="clear" w:color="auto" w:fill="C6EFCE"/>
            <w:noWrap/>
          </w:tcPr>
          <w:p w14:paraId="3DC7A1D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Eesmärk</w:t>
            </w:r>
          </w:p>
        </w:tc>
        <w:tc>
          <w:tcPr>
            <w:tcW w:w="1285" w:type="dxa"/>
            <w:shd w:val="clear" w:color="auto" w:fill="C6EFCE"/>
            <w:noWrap/>
          </w:tcPr>
          <w:p w14:paraId="2E986283"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Isikliku abistaja puudeid käsitlev seadus ja esimese etapi katsekava kasutuselevõtmine</w:t>
            </w:r>
          </w:p>
        </w:tc>
        <w:tc>
          <w:tcPr>
            <w:tcW w:w="1418" w:type="dxa"/>
            <w:shd w:val="clear" w:color="auto" w:fill="C6EFCE"/>
            <w:noWrap/>
          </w:tcPr>
          <w:p w14:paraId="27081847"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Esmaste ja teiseste õigusaktide jõustumine (Euroopa Liidu Teataja viide) ning personaalse abi kava taotluskutse avaldamine.</w:t>
            </w:r>
          </w:p>
        </w:tc>
        <w:tc>
          <w:tcPr>
            <w:tcW w:w="1134" w:type="dxa"/>
            <w:shd w:val="clear" w:color="auto" w:fill="C6EFCE"/>
            <w:noWrap/>
          </w:tcPr>
          <w:p w14:paraId="7C9829B7"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982" w:type="dxa"/>
            <w:shd w:val="clear" w:color="auto" w:fill="C6EFCE"/>
            <w:noWrap/>
          </w:tcPr>
          <w:p w14:paraId="74854E15"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286" w:type="dxa"/>
            <w:shd w:val="clear" w:color="auto" w:fill="C6EFCE"/>
            <w:noWrap/>
          </w:tcPr>
          <w:p w14:paraId="39117E88"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417" w:type="dxa"/>
            <w:shd w:val="clear" w:color="auto" w:fill="C6EFCE"/>
            <w:noWrap/>
          </w:tcPr>
          <w:p w14:paraId="6F2FE778"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 kv</w:t>
            </w:r>
          </w:p>
        </w:tc>
        <w:tc>
          <w:tcPr>
            <w:tcW w:w="709" w:type="dxa"/>
            <w:shd w:val="clear" w:color="auto" w:fill="C6EFCE"/>
            <w:noWrap/>
          </w:tcPr>
          <w:p w14:paraId="1BCFCC0D"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2022</w:t>
            </w:r>
          </w:p>
        </w:tc>
        <w:tc>
          <w:tcPr>
            <w:tcW w:w="4536" w:type="dxa"/>
            <w:shd w:val="clear" w:color="auto" w:fill="C6EFCE"/>
            <w:noWrap/>
          </w:tcPr>
          <w:p w14:paraId="0DD3C01B"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Isiklik abi: Seaduse jõustumine, et võimaldada puudega inimeste hoolduse deinstitutsionaliseerimist, ning kutse esimeses etapis katseprojektis osalemiseks, mis hõlmab nii puude meditsiinilisel kui ka funktsionaalsel hindamisel põhinevat toetuskõlblikkust multidistsiplinaarse hindamiskomisjoni poolt</w:t>
            </w:r>
            <w:r>
              <w:rPr>
                <w:noProof/>
                <w:color w:val="006100"/>
                <w:sz w:val="18"/>
                <w:u w:val="single"/>
              </w:rPr>
              <w:t xml:space="preserve"> </w:t>
            </w:r>
            <w:r>
              <w:rPr>
                <w:noProof/>
                <w:color w:val="006100"/>
                <w:sz w:val="18"/>
              </w:rPr>
              <w:t xml:space="preserve"> </w:t>
            </w:r>
          </w:p>
        </w:tc>
      </w:tr>
      <w:tr w:rsidR="00764877" w:rsidRPr="003B132A" w14:paraId="38F6EE63" w14:textId="77777777" w:rsidTr="00C15C41">
        <w:trPr>
          <w:trHeight w:val="313"/>
          <w:jc w:val="center"/>
        </w:trPr>
        <w:tc>
          <w:tcPr>
            <w:tcW w:w="846" w:type="dxa"/>
            <w:shd w:val="clear" w:color="auto" w:fill="C6EFCE"/>
            <w:noWrap/>
          </w:tcPr>
          <w:p w14:paraId="5AD118FA"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174a</w:t>
            </w:r>
          </w:p>
        </w:tc>
        <w:tc>
          <w:tcPr>
            <w:tcW w:w="1417" w:type="dxa"/>
            <w:shd w:val="clear" w:color="auto" w:fill="C6EFCE"/>
            <w:noWrap/>
          </w:tcPr>
          <w:p w14:paraId="22B818EC"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16904_puue</w:t>
            </w:r>
          </w:p>
        </w:tc>
        <w:tc>
          <w:tcPr>
            <w:tcW w:w="993" w:type="dxa"/>
            <w:shd w:val="clear" w:color="auto" w:fill="C6EFCE"/>
            <w:noWrap/>
          </w:tcPr>
          <w:p w14:paraId="0BA0D102"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Eesmärk</w:t>
            </w:r>
          </w:p>
        </w:tc>
        <w:tc>
          <w:tcPr>
            <w:tcW w:w="1285" w:type="dxa"/>
            <w:shd w:val="clear" w:color="auto" w:fill="C6EFCE"/>
            <w:noWrap/>
          </w:tcPr>
          <w:p w14:paraId="337EE0D7" w14:textId="77777777" w:rsidR="00764877" w:rsidRPr="00E02B5D" w:rsidRDefault="00764877" w:rsidP="00D16F13">
            <w:pPr>
              <w:spacing w:before="120" w:after="0" w:line="240" w:lineRule="auto"/>
              <w:rPr>
                <w:rFonts w:eastAsia="Times New Roman"/>
                <w:noProof/>
                <w:color w:val="006100"/>
                <w:sz w:val="18"/>
                <w:szCs w:val="18"/>
              </w:rPr>
            </w:pPr>
            <w:r>
              <w:rPr>
                <w:noProof/>
                <w:color w:val="006100"/>
                <w:sz w:val="18"/>
              </w:rPr>
              <w:t>Juurdepääsetavus ja tugitaristu, aktiivsündroomi põdevate inimeste sotsiaalne kaasatus, varase lapsepõlve sekkumised</w:t>
            </w:r>
          </w:p>
        </w:tc>
        <w:tc>
          <w:tcPr>
            <w:tcW w:w="1418" w:type="dxa"/>
            <w:shd w:val="clear" w:color="auto" w:fill="C6EFCE"/>
            <w:noWrap/>
          </w:tcPr>
          <w:p w14:paraId="25846AE7"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Sotsiaalse ühtekuuluvuse ja perekonnaministeeriumi aruanne projektide a, b ja c lõpuleviimise kohta</w:t>
            </w:r>
          </w:p>
        </w:tc>
        <w:tc>
          <w:tcPr>
            <w:tcW w:w="1134" w:type="dxa"/>
            <w:shd w:val="clear" w:color="auto" w:fill="C6EFCE"/>
            <w:noWrap/>
          </w:tcPr>
          <w:p w14:paraId="6405EEBE"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982" w:type="dxa"/>
            <w:shd w:val="clear" w:color="auto" w:fill="C6EFCE"/>
            <w:noWrap/>
          </w:tcPr>
          <w:p w14:paraId="52A4CC29"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286" w:type="dxa"/>
            <w:shd w:val="clear" w:color="auto" w:fill="C6EFCE"/>
            <w:noWrap/>
          </w:tcPr>
          <w:p w14:paraId="17391245"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417" w:type="dxa"/>
            <w:shd w:val="clear" w:color="auto" w:fill="C6EFCE"/>
            <w:noWrap/>
          </w:tcPr>
          <w:p w14:paraId="037E9E9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2B9698D7"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2025</w:t>
            </w:r>
          </w:p>
        </w:tc>
        <w:tc>
          <w:tcPr>
            <w:tcW w:w="4536" w:type="dxa"/>
            <w:shd w:val="clear" w:color="auto" w:fill="C6EFCE"/>
            <w:noWrap/>
          </w:tcPr>
          <w:p w14:paraId="4B723A5C" w14:textId="77777777" w:rsidR="00764877" w:rsidRPr="00E02B5D" w:rsidRDefault="00764877" w:rsidP="00D16F13">
            <w:pPr>
              <w:spacing w:after="0" w:line="240" w:lineRule="auto"/>
              <w:textAlignment w:val="baseline"/>
              <w:rPr>
                <w:rFonts w:eastAsia="Times New Roman" w:cs="Calibri"/>
                <w:noProof/>
                <w:color w:val="006100"/>
                <w:sz w:val="18"/>
                <w:szCs w:val="18"/>
              </w:rPr>
            </w:pPr>
            <w:r>
              <w:rPr>
                <w:noProof/>
                <w:color w:val="006100"/>
                <w:sz w:val="18"/>
              </w:rPr>
              <w:t>Järgmiste projektide lõpuleviimine: </w:t>
            </w:r>
          </w:p>
          <w:p w14:paraId="7835B57C" w14:textId="77777777" w:rsidR="00764877" w:rsidRPr="00E02B5D" w:rsidRDefault="00764877" w:rsidP="00D16F13">
            <w:pPr>
              <w:spacing w:after="0" w:line="240" w:lineRule="auto"/>
              <w:textAlignment w:val="baseline"/>
              <w:rPr>
                <w:rFonts w:eastAsia="Times New Roman" w:cs="Calibri"/>
                <w:noProof/>
                <w:color w:val="006100"/>
                <w:sz w:val="18"/>
                <w:szCs w:val="18"/>
              </w:rPr>
            </w:pPr>
            <w:r>
              <w:rPr>
                <w:noProof/>
                <w:color w:val="006100"/>
                <w:sz w:val="18"/>
              </w:rPr>
              <w:t xml:space="preserve">a) juurdepääsetavus ja tugitaristu eramajades, töökohtades ja avalikes hoonetes, mis on valitud projektikonkursi kaudu, et hõlbustada juurdepääsu liikumis- ja meelepuudega inimestele;  </w:t>
            </w:r>
          </w:p>
          <w:p w14:paraId="3F803CA0" w14:textId="77777777" w:rsidR="00764877" w:rsidRPr="00E02B5D" w:rsidRDefault="00764877" w:rsidP="00D16F13">
            <w:pPr>
              <w:spacing w:after="0" w:line="240" w:lineRule="auto"/>
              <w:textAlignment w:val="baseline"/>
              <w:rPr>
                <w:rFonts w:eastAsia="Times New Roman" w:cs="Calibri"/>
                <w:noProof/>
                <w:color w:val="006100"/>
                <w:sz w:val="18"/>
                <w:szCs w:val="18"/>
              </w:rPr>
            </w:pPr>
            <w:r>
              <w:rPr>
                <w:noProof/>
                <w:color w:val="006100"/>
                <w:sz w:val="18"/>
              </w:rPr>
              <w:t>b) autismispektri häiretega inimeste nõustamine, töönõustamine ja lühiajaline tööhõivetoetuste programm, mis valitakse välja kutse kaudu, et toetada nende sotsiaalset kaasatust  </w:t>
            </w:r>
          </w:p>
          <w:p w14:paraId="35A2933A" w14:textId="77777777" w:rsidR="00764877" w:rsidRPr="00E02B5D" w:rsidRDefault="00764877" w:rsidP="00D16F13">
            <w:pPr>
              <w:spacing w:after="0" w:line="240" w:lineRule="auto"/>
              <w:textAlignment w:val="baseline"/>
              <w:rPr>
                <w:rFonts w:ascii="Arial" w:eastAsia="Arial" w:hAnsi="Arial" w:cs="Arial"/>
                <w:noProof/>
                <w:sz w:val="20"/>
                <w:szCs w:val="20"/>
              </w:rPr>
            </w:pPr>
            <w:r>
              <w:rPr>
                <w:noProof/>
                <w:color w:val="006100"/>
                <w:sz w:val="18"/>
              </w:rPr>
              <w:t>c) Meetmed varases lapsepõlves (terapeutilised/haridusprogrammid) lastele, kes valitakse välja konkursikutse kaudu. </w:t>
            </w:r>
            <w:r>
              <w:rPr>
                <w:rFonts w:ascii="Arial" w:hAnsi="Arial"/>
                <w:noProof/>
                <w:sz w:val="20"/>
              </w:rPr>
              <w:t xml:space="preserve"> </w:t>
            </w:r>
          </w:p>
        </w:tc>
      </w:tr>
      <w:tr w:rsidR="007B4D63" w:rsidRPr="003B132A" w14:paraId="48E1F5AF" w14:textId="77777777" w:rsidTr="00C15C41">
        <w:trPr>
          <w:trHeight w:val="313"/>
          <w:jc w:val="center"/>
        </w:trPr>
        <w:tc>
          <w:tcPr>
            <w:tcW w:w="846" w:type="dxa"/>
            <w:shd w:val="clear" w:color="auto" w:fill="C6EFCE"/>
            <w:noWrap/>
          </w:tcPr>
          <w:p w14:paraId="74242F64"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175</w:t>
            </w:r>
          </w:p>
        </w:tc>
        <w:tc>
          <w:tcPr>
            <w:tcW w:w="1417" w:type="dxa"/>
            <w:shd w:val="clear" w:color="auto" w:fill="C6EFCE"/>
            <w:noWrap/>
          </w:tcPr>
          <w:p w14:paraId="2B3B10F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Parem juurdepääs tõhusale ja kaasavale sotsiaalpoliitikale – 16726 Sotsiaalhüvitiste optimeerimine</w:t>
            </w:r>
          </w:p>
        </w:tc>
        <w:tc>
          <w:tcPr>
            <w:tcW w:w="993" w:type="dxa"/>
            <w:shd w:val="clear" w:color="auto" w:fill="C6EFCE"/>
            <w:noWrap/>
          </w:tcPr>
          <w:p w14:paraId="140643C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Eesmärk</w:t>
            </w:r>
          </w:p>
        </w:tc>
        <w:tc>
          <w:tcPr>
            <w:tcW w:w="1285" w:type="dxa"/>
            <w:shd w:val="clear" w:color="auto" w:fill="C6EFCE"/>
            <w:noWrap/>
          </w:tcPr>
          <w:p w14:paraId="4F62C252"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Sotsiaalhüvitised optimeerimine, ettemaksekaardid</w:t>
            </w:r>
          </w:p>
        </w:tc>
        <w:tc>
          <w:tcPr>
            <w:tcW w:w="1418" w:type="dxa"/>
            <w:shd w:val="clear" w:color="auto" w:fill="C6EFCE"/>
            <w:noWrap/>
          </w:tcPr>
          <w:p w14:paraId="1AC590E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OPEKA ja OAEDi aruanne, milles kinnitatakse ettemaksekaartide kasutuselevõtmise lõpuleviimist nende kahe teenistuse pakutavate sotsiaaltoetuste maksmiseks</w:t>
            </w:r>
          </w:p>
        </w:tc>
        <w:tc>
          <w:tcPr>
            <w:tcW w:w="1134" w:type="dxa"/>
            <w:shd w:val="clear" w:color="auto" w:fill="C6EFCE"/>
            <w:noWrap/>
          </w:tcPr>
          <w:p w14:paraId="28545126"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982" w:type="dxa"/>
            <w:shd w:val="clear" w:color="auto" w:fill="C6EFCE"/>
            <w:noWrap/>
          </w:tcPr>
          <w:p w14:paraId="45B9DBDF"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286" w:type="dxa"/>
            <w:shd w:val="clear" w:color="auto" w:fill="C6EFCE"/>
            <w:noWrap/>
          </w:tcPr>
          <w:p w14:paraId="0634D547"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417" w:type="dxa"/>
            <w:shd w:val="clear" w:color="auto" w:fill="C6EFCE"/>
            <w:noWrap/>
          </w:tcPr>
          <w:p w14:paraId="33E6C169"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 kv</w:t>
            </w:r>
          </w:p>
        </w:tc>
        <w:tc>
          <w:tcPr>
            <w:tcW w:w="709" w:type="dxa"/>
            <w:shd w:val="clear" w:color="auto" w:fill="C6EFCE"/>
            <w:noWrap/>
          </w:tcPr>
          <w:p w14:paraId="3696B0F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2024</w:t>
            </w:r>
          </w:p>
        </w:tc>
        <w:tc>
          <w:tcPr>
            <w:tcW w:w="4536" w:type="dxa"/>
            <w:shd w:val="clear" w:color="auto" w:fill="C6EFCE"/>
            <w:noWrap/>
          </w:tcPr>
          <w:p w14:paraId="4E0FA2B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Ühtse sotsiaaltoetuste maksmise ameti (OPEKA) ja riikliku tööhõiveameti (OAED) pakutavate sotsiaaltoetuste maksmiseks ettemaksekaartide kasutuselevõtu lõpuleviimine</w:t>
            </w:r>
          </w:p>
        </w:tc>
      </w:tr>
      <w:tr w:rsidR="00764877" w:rsidRPr="003B132A" w14:paraId="53EF82FA" w14:textId="77777777" w:rsidTr="00C15C41">
        <w:trPr>
          <w:trHeight w:val="313"/>
          <w:jc w:val="center"/>
        </w:trPr>
        <w:tc>
          <w:tcPr>
            <w:tcW w:w="846" w:type="dxa"/>
            <w:shd w:val="clear" w:color="auto" w:fill="C6EFCE"/>
            <w:noWrap/>
          </w:tcPr>
          <w:p w14:paraId="1F9B250D"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175a</w:t>
            </w:r>
          </w:p>
          <w:p w14:paraId="1DE91B79" w14:textId="77777777" w:rsidR="00764877" w:rsidRPr="00E02B5D" w:rsidRDefault="00764877" w:rsidP="00D16F13">
            <w:pPr>
              <w:spacing w:before="120" w:after="0" w:line="240" w:lineRule="auto"/>
              <w:rPr>
                <w:rFonts w:eastAsia="Times New Roman" w:cs="Calibri"/>
                <w:noProof/>
                <w:color w:val="006100"/>
                <w:sz w:val="18"/>
                <w:szCs w:val="18"/>
                <w:highlight w:val="cyan"/>
                <w:lang w:val="en-GB" w:eastAsia="en-GB"/>
              </w:rPr>
            </w:pPr>
          </w:p>
        </w:tc>
        <w:tc>
          <w:tcPr>
            <w:tcW w:w="1417" w:type="dxa"/>
            <w:shd w:val="clear" w:color="auto" w:fill="C6EFCE"/>
            <w:noWrap/>
          </w:tcPr>
          <w:p w14:paraId="12CFA9D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Parem juurdepääs tõhusale ja kaasavale sotsiaalpoliitikale – 16726 Sotsiaalhüvitiste optimeerimine</w:t>
            </w:r>
          </w:p>
        </w:tc>
        <w:tc>
          <w:tcPr>
            <w:tcW w:w="993" w:type="dxa"/>
            <w:shd w:val="clear" w:color="auto" w:fill="C6EFCE"/>
            <w:noWrap/>
          </w:tcPr>
          <w:p w14:paraId="43B2FEA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Eesmärk</w:t>
            </w:r>
          </w:p>
        </w:tc>
        <w:tc>
          <w:tcPr>
            <w:tcW w:w="1285" w:type="dxa"/>
            <w:shd w:val="clear" w:color="auto" w:fill="C6EFCE"/>
            <w:noWrap/>
          </w:tcPr>
          <w:p w14:paraId="44E16327"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Sotsiaaltoetuste optimeerimise ettemaksekaardid</w:t>
            </w:r>
          </w:p>
        </w:tc>
        <w:tc>
          <w:tcPr>
            <w:tcW w:w="1418" w:type="dxa"/>
            <w:shd w:val="clear" w:color="auto" w:fill="C6EFCE"/>
            <w:noWrap/>
          </w:tcPr>
          <w:p w14:paraId="15A5B85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Õigusaktide jõustumine</w:t>
            </w:r>
          </w:p>
        </w:tc>
        <w:tc>
          <w:tcPr>
            <w:tcW w:w="1134" w:type="dxa"/>
            <w:shd w:val="clear" w:color="auto" w:fill="C6EFCE"/>
            <w:noWrap/>
          </w:tcPr>
          <w:p w14:paraId="119EC8E4" w14:textId="77777777" w:rsidR="00764877" w:rsidRPr="00E02B5D" w:rsidRDefault="00764877" w:rsidP="00D16F13">
            <w:pPr>
              <w:spacing w:before="120" w:after="0" w:line="240" w:lineRule="auto"/>
              <w:rPr>
                <w:rFonts w:eastAsia="Times New Roman" w:cs="Calibri"/>
                <w:noProof/>
                <w:color w:val="006100"/>
                <w:sz w:val="18"/>
                <w:szCs w:val="18"/>
                <w:lang w:val="en-GB" w:eastAsia="en-GB"/>
              </w:rPr>
            </w:pPr>
          </w:p>
        </w:tc>
        <w:tc>
          <w:tcPr>
            <w:tcW w:w="982" w:type="dxa"/>
            <w:shd w:val="clear" w:color="auto" w:fill="C6EFCE"/>
            <w:noWrap/>
          </w:tcPr>
          <w:p w14:paraId="138D8508" w14:textId="77777777" w:rsidR="00764877" w:rsidRPr="00E02B5D" w:rsidRDefault="00764877" w:rsidP="00D16F13">
            <w:pPr>
              <w:spacing w:before="120" w:after="0" w:line="240" w:lineRule="auto"/>
              <w:rPr>
                <w:rFonts w:eastAsia="Times New Roman" w:cs="Calibri"/>
                <w:noProof/>
                <w:color w:val="006100"/>
                <w:sz w:val="18"/>
                <w:szCs w:val="18"/>
                <w:lang w:val="en-GB" w:eastAsia="en-GB"/>
              </w:rPr>
            </w:pPr>
          </w:p>
        </w:tc>
        <w:tc>
          <w:tcPr>
            <w:tcW w:w="1286" w:type="dxa"/>
            <w:shd w:val="clear" w:color="auto" w:fill="C6EFCE"/>
            <w:noWrap/>
          </w:tcPr>
          <w:p w14:paraId="37355235" w14:textId="77777777" w:rsidR="00764877" w:rsidRPr="00E02B5D" w:rsidRDefault="00764877" w:rsidP="00D16F13">
            <w:pPr>
              <w:spacing w:before="120" w:after="0" w:line="240" w:lineRule="auto"/>
              <w:rPr>
                <w:rFonts w:eastAsia="Times New Roman" w:cs="Calibri"/>
                <w:noProof/>
                <w:color w:val="006100"/>
                <w:sz w:val="18"/>
                <w:szCs w:val="18"/>
                <w:lang w:val="en-GB" w:eastAsia="en-GB"/>
              </w:rPr>
            </w:pPr>
          </w:p>
        </w:tc>
        <w:tc>
          <w:tcPr>
            <w:tcW w:w="1417" w:type="dxa"/>
            <w:shd w:val="clear" w:color="auto" w:fill="C6EFCE"/>
            <w:noWrap/>
          </w:tcPr>
          <w:p w14:paraId="139F8DFA"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6B1677AD"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2024</w:t>
            </w:r>
          </w:p>
          <w:p w14:paraId="57FA091A" w14:textId="77777777" w:rsidR="00764877" w:rsidRPr="00E02B5D" w:rsidRDefault="00764877" w:rsidP="00D16F13">
            <w:pPr>
              <w:spacing w:before="120" w:after="0" w:line="240" w:lineRule="auto"/>
              <w:rPr>
                <w:rFonts w:eastAsia="Times New Roman" w:cs="Calibri"/>
                <w:noProof/>
                <w:color w:val="006100"/>
                <w:sz w:val="18"/>
                <w:szCs w:val="18"/>
                <w:lang w:val="en-GB" w:eastAsia="en-GB"/>
              </w:rPr>
            </w:pPr>
          </w:p>
        </w:tc>
        <w:tc>
          <w:tcPr>
            <w:tcW w:w="4536" w:type="dxa"/>
            <w:shd w:val="clear" w:color="auto" w:fill="C6EFCE"/>
            <w:noWrap/>
          </w:tcPr>
          <w:p w14:paraId="2E3C21F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Selliste õigusaktide jõustumine, millega stimuleeritakse toetusesaajaid kasutama ettemaksekaarte konkreetsete kaupade ja teenuste ostmiseks.</w:t>
            </w:r>
          </w:p>
        </w:tc>
      </w:tr>
      <w:tr w:rsidR="007B4D63" w:rsidRPr="003B132A" w14:paraId="2E19218F" w14:textId="77777777" w:rsidTr="00C15C41">
        <w:trPr>
          <w:trHeight w:val="313"/>
          <w:jc w:val="center"/>
        </w:trPr>
        <w:tc>
          <w:tcPr>
            <w:tcW w:w="846" w:type="dxa"/>
            <w:shd w:val="clear" w:color="auto" w:fill="C6EFCE"/>
            <w:noWrap/>
          </w:tcPr>
          <w:p w14:paraId="26809BE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176</w:t>
            </w:r>
          </w:p>
        </w:tc>
        <w:tc>
          <w:tcPr>
            <w:tcW w:w="1417" w:type="dxa"/>
            <w:shd w:val="clear" w:color="auto" w:fill="C6EFCE"/>
            <w:noWrap/>
          </w:tcPr>
          <w:p w14:paraId="2EE96953"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16904_puue</w:t>
            </w:r>
          </w:p>
        </w:tc>
        <w:tc>
          <w:tcPr>
            <w:tcW w:w="993" w:type="dxa"/>
            <w:shd w:val="clear" w:color="auto" w:fill="C6EFCE"/>
            <w:noWrap/>
          </w:tcPr>
          <w:p w14:paraId="4B7A536B"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Eesmärk</w:t>
            </w:r>
          </w:p>
        </w:tc>
        <w:tc>
          <w:tcPr>
            <w:tcW w:w="1285" w:type="dxa"/>
            <w:shd w:val="clear" w:color="auto" w:fill="C6EFCE"/>
            <w:noWrap/>
          </w:tcPr>
          <w:p w14:paraId="2EDF078A"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Isikliku abistaja puude hindamise teise etapi lõpuleviimine</w:t>
            </w:r>
          </w:p>
        </w:tc>
        <w:tc>
          <w:tcPr>
            <w:tcW w:w="1418" w:type="dxa"/>
            <w:shd w:val="clear" w:color="auto" w:fill="C6EFCE"/>
            <w:noWrap/>
          </w:tcPr>
          <w:p w14:paraId="3D31008A"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Esitada koos statistilise lisaga, mis tõendab, et kaks katsekava on täidetud vähemalt 1800 toetusesaajaga.</w:t>
            </w:r>
          </w:p>
          <w:p w14:paraId="1BEE8BF2"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Katsekava ja hindamissüsteemi hindamisaruanne koos täieliku statistika ja soovitustega. </w:t>
            </w:r>
          </w:p>
        </w:tc>
        <w:tc>
          <w:tcPr>
            <w:tcW w:w="1134" w:type="dxa"/>
            <w:shd w:val="clear" w:color="auto" w:fill="C6EFCE"/>
            <w:noWrap/>
          </w:tcPr>
          <w:p w14:paraId="297B8647"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982" w:type="dxa"/>
            <w:shd w:val="clear" w:color="auto" w:fill="C6EFCE"/>
            <w:noWrap/>
          </w:tcPr>
          <w:p w14:paraId="02DB1096"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286" w:type="dxa"/>
            <w:shd w:val="clear" w:color="auto" w:fill="C6EFCE"/>
            <w:noWrap/>
          </w:tcPr>
          <w:p w14:paraId="29180636"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417" w:type="dxa"/>
            <w:shd w:val="clear" w:color="auto" w:fill="C6EFCE"/>
            <w:noWrap/>
          </w:tcPr>
          <w:p w14:paraId="19B3168B"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0674A393"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2024</w:t>
            </w:r>
          </w:p>
        </w:tc>
        <w:tc>
          <w:tcPr>
            <w:tcW w:w="4536" w:type="dxa"/>
            <w:shd w:val="clear" w:color="auto" w:fill="C6EFCE"/>
            <w:noWrap/>
          </w:tcPr>
          <w:p w14:paraId="43B3E00C"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Isikliku abistamise katseprogrammi teise etapi, sealhulgas puude funktsionaalse hindamise lõpuleviimine; ning</w:t>
            </w:r>
          </w:p>
          <w:p w14:paraId="66A6F530"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Isikliku abiprogrammi meditsiinilise ja funktsionaalse puude hindamise süsteemi tõhususe hindamise lõpuleviimine ja selle võimalik laiendamine.</w:t>
            </w:r>
          </w:p>
        </w:tc>
      </w:tr>
      <w:tr w:rsidR="007B4D63" w:rsidRPr="003B132A" w14:paraId="1E57CFDD" w14:textId="77777777" w:rsidTr="00C15C41">
        <w:trPr>
          <w:trHeight w:val="313"/>
          <w:jc w:val="center"/>
        </w:trPr>
        <w:tc>
          <w:tcPr>
            <w:tcW w:w="846" w:type="dxa"/>
            <w:shd w:val="clear" w:color="auto" w:fill="C6EFCE"/>
            <w:noWrap/>
          </w:tcPr>
          <w:p w14:paraId="15292CBD"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177</w:t>
            </w:r>
          </w:p>
        </w:tc>
        <w:tc>
          <w:tcPr>
            <w:tcW w:w="1417" w:type="dxa"/>
            <w:shd w:val="clear" w:color="auto" w:fill="C6EFCE"/>
            <w:noWrap/>
          </w:tcPr>
          <w:p w14:paraId="67A61491"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16919 – Laste kaitse</w:t>
            </w:r>
          </w:p>
          <w:p w14:paraId="696FEA92" w14:textId="77777777" w:rsidR="00764877" w:rsidRPr="00AD4052" w:rsidRDefault="00764877" w:rsidP="00D16F13">
            <w:pPr>
              <w:spacing w:before="120" w:after="120" w:line="240" w:lineRule="auto"/>
              <w:jc w:val="center"/>
              <w:rPr>
                <w:rFonts w:eastAsia="Times New Roman" w:cs="Calibri"/>
                <w:noProof/>
                <w:sz w:val="18"/>
                <w:szCs w:val="18"/>
                <w:lang w:eastAsia="en-GB"/>
              </w:rPr>
            </w:pPr>
          </w:p>
        </w:tc>
        <w:tc>
          <w:tcPr>
            <w:tcW w:w="993" w:type="dxa"/>
            <w:shd w:val="clear" w:color="auto" w:fill="C6EFCE"/>
            <w:noWrap/>
          </w:tcPr>
          <w:p w14:paraId="0586D27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Siht</w:t>
            </w:r>
          </w:p>
        </w:tc>
        <w:tc>
          <w:tcPr>
            <w:tcW w:w="1285" w:type="dxa"/>
            <w:shd w:val="clear" w:color="auto" w:fill="C6EFCE"/>
            <w:noWrap/>
          </w:tcPr>
          <w:p w14:paraId="2044B02B" w14:textId="77777777" w:rsidR="00764877" w:rsidRPr="004744FD" w:rsidRDefault="00764877" w:rsidP="00D16F13">
            <w:pPr>
              <w:spacing w:before="120" w:after="0" w:line="240" w:lineRule="auto"/>
              <w:rPr>
                <w:rFonts w:eastAsia="Times New Roman" w:cs="Calibri"/>
                <w:noProof/>
                <w:color w:val="006100"/>
                <w:sz w:val="18"/>
                <w:szCs w:val="18"/>
              </w:rPr>
            </w:pPr>
            <w:r>
              <w:rPr>
                <w:noProof/>
                <w:color w:val="006100"/>
                <w:sz w:val="18"/>
              </w:rPr>
              <w:t>Alaealiste deinstitutsionaliseerimine: puudega elukutselise kasuhooldaja läbimine</w:t>
            </w:r>
            <w:r>
              <w:rPr>
                <w:noProof/>
                <w:color w:val="006100"/>
                <w:sz w:val="18"/>
                <w:shd w:val="clear" w:color="auto" w:fill="E6E6E6"/>
              </w:rPr>
              <w:t xml:space="preserve"> </w:t>
            </w:r>
          </w:p>
        </w:tc>
        <w:tc>
          <w:tcPr>
            <w:tcW w:w="1418" w:type="dxa"/>
            <w:shd w:val="clear" w:color="auto" w:fill="C6EFCE"/>
            <w:noWrap/>
          </w:tcPr>
          <w:p w14:paraId="0627170C" w14:textId="77777777" w:rsidR="00764877" w:rsidRPr="004744FD" w:rsidRDefault="00764877" w:rsidP="00D16F13">
            <w:pPr>
              <w:spacing w:before="120" w:after="0" w:line="240" w:lineRule="auto"/>
              <w:rPr>
                <w:rFonts w:eastAsia="Times New Roman" w:cs="Calibri"/>
                <w:noProof/>
                <w:color w:val="006100"/>
                <w:sz w:val="18"/>
                <w:szCs w:val="18"/>
                <w:lang w:val="fr-BE" w:eastAsia="en-GB"/>
              </w:rPr>
            </w:pPr>
          </w:p>
        </w:tc>
        <w:tc>
          <w:tcPr>
            <w:tcW w:w="1134" w:type="dxa"/>
            <w:shd w:val="clear" w:color="auto" w:fill="C6EFCE"/>
            <w:noWrap/>
          </w:tcPr>
          <w:p w14:paraId="24ABEE6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Elukutseliste kasuhooldajate hoole alla paigutatud alaealiste arv</w:t>
            </w:r>
          </w:p>
        </w:tc>
        <w:tc>
          <w:tcPr>
            <w:tcW w:w="982" w:type="dxa"/>
            <w:shd w:val="clear" w:color="auto" w:fill="C6EFCE"/>
            <w:noWrap/>
          </w:tcPr>
          <w:p w14:paraId="72E553A8"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0</w:t>
            </w:r>
          </w:p>
        </w:tc>
        <w:tc>
          <w:tcPr>
            <w:tcW w:w="1286" w:type="dxa"/>
            <w:shd w:val="clear" w:color="auto" w:fill="C6EFCE"/>
            <w:noWrap/>
          </w:tcPr>
          <w:p w14:paraId="62C7525C"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100</w:t>
            </w:r>
          </w:p>
        </w:tc>
        <w:tc>
          <w:tcPr>
            <w:tcW w:w="1417" w:type="dxa"/>
            <w:shd w:val="clear" w:color="auto" w:fill="C6EFCE"/>
            <w:noWrap/>
          </w:tcPr>
          <w:p w14:paraId="13AF76DB"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4D6F647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2024</w:t>
            </w:r>
          </w:p>
        </w:tc>
        <w:tc>
          <w:tcPr>
            <w:tcW w:w="4536" w:type="dxa"/>
            <w:shd w:val="clear" w:color="auto" w:fill="C6EFCE"/>
            <w:noWrap/>
          </w:tcPr>
          <w:p w14:paraId="456DBF7C"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100 raske puudega alaealise (määratletud puude määraga üle 67 %) ja/või raskete psüühikahäiretega (kes elavad praegu hoolekandeasutustes) paigutamine kutseliste asendushooldajate hooldamisse.</w:t>
            </w:r>
          </w:p>
        </w:tc>
      </w:tr>
      <w:tr w:rsidR="007B4D63" w:rsidRPr="003B132A" w14:paraId="0A543B8D" w14:textId="77777777" w:rsidTr="00C15C41">
        <w:trPr>
          <w:trHeight w:val="313"/>
          <w:jc w:val="center"/>
        </w:trPr>
        <w:tc>
          <w:tcPr>
            <w:tcW w:w="846" w:type="dxa"/>
            <w:shd w:val="clear" w:color="auto" w:fill="C6EFCE"/>
            <w:noWrap/>
          </w:tcPr>
          <w:p w14:paraId="29CE26A1"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178</w:t>
            </w:r>
          </w:p>
        </w:tc>
        <w:tc>
          <w:tcPr>
            <w:tcW w:w="1417" w:type="dxa"/>
            <w:shd w:val="clear" w:color="auto" w:fill="C6EFCE"/>
            <w:noWrap/>
          </w:tcPr>
          <w:p w14:paraId="64ACC40E"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16919 – Laste kaitse</w:t>
            </w:r>
          </w:p>
        </w:tc>
        <w:tc>
          <w:tcPr>
            <w:tcW w:w="993" w:type="dxa"/>
            <w:shd w:val="clear" w:color="auto" w:fill="C6EFCE"/>
            <w:noWrap/>
          </w:tcPr>
          <w:p w14:paraId="52EA378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Siht</w:t>
            </w:r>
          </w:p>
        </w:tc>
        <w:tc>
          <w:tcPr>
            <w:tcW w:w="1285" w:type="dxa"/>
            <w:shd w:val="clear" w:color="auto" w:fill="C6EFCE"/>
            <w:noWrap/>
          </w:tcPr>
          <w:p w14:paraId="7E62470E"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Iseseisva eluga korterid kuni 26-aastaste isikute deinstitutsionaliseerimiseks </w:t>
            </w:r>
          </w:p>
        </w:tc>
        <w:tc>
          <w:tcPr>
            <w:tcW w:w="1418" w:type="dxa"/>
            <w:shd w:val="clear" w:color="auto" w:fill="C6EFCE"/>
            <w:noWrap/>
          </w:tcPr>
          <w:p w14:paraId="1B4CE9B0" w14:textId="77777777" w:rsidR="00764877" w:rsidRPr="00AD4052" w:rsidRDefault="00764877" w:rsidP="00D16F13">
            <w:pPr>
              <w:spacing w:before="120" w:after="0" w:line="240" w:lineRule="auto"/>
              <w:rPr>
                <w:rFonts w:eastAsia="Times New Roman" w:cs="Calibri"/>
                <w:noProof/>
                <w:color w:val="006100"/>
                <w:sz w:val="18"/>
                <w:szCs w:val="18"/>
                <w:lang w:val="it-IT" w:eastAsia="en-GB"/>
              </w:rPr>
            </w:pPr>
          </w:p>
        </w:tc>
        <w:tc>
          <w:tcPr>
            <w:tcW w:w="1134" w:type="dxa"/>
            <w:shd w:val="clear" w:color="auto" w:fill="C6EFCE"/>
            <w:noWrap/>
          </w:tcPr>
          <w:p w14:paraId="70ADB351"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Poolsõltumatutesse eluruumidesse paigutatud kuni 26-aastaste inimeste arv </w:t>
            </w:r>
          </w:p>
        </w:tc>
        <w:tc>
          <w:tcPr>
            <w:tcW w:w="982" w:type="dxa"/>
            <w:shd w:val="clear" w:color="auto" w:fill="C6EFCE"/>
            <w:noWrap/>
          </w:tcPr>
          <w:p w14:paraId="52C514F9"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0</w:t>
            </w:r>
          </w:p>
        </w:tc>
        <w:tc>
          <w:tcPr>
            <w:tcW w:w="1286" w:type="dxa"/>
            <w:shd w:val="clear" w:color="auto" w:fill="C6EFCE"/>
            <w:noWrap/>
          </w:tcPr>
          <w:p w14:paraId="6DC279A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200</w:t>
            </w:r>
          </w:p>
        </w:tc>
        <w:tc>
          <w:tcPr>
            <w:tcW w:w="1417" w:type="dxa"/>
            <w:shd w:val="clear" w:color="auto" w:fill="C6EFCE"/>
            <w:noWrap/>
          </w:tcPr>
          <w:p w14:paraId="58C3179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4. kv</w:t>
            </w:r>
          </w:p>
        </w:tc>
        <w:tc>
          <w:tcPr>
            <w:tcW w:w="709" w:type="dxa"/>
            <w:shd w:val="clear" w:color="auto" w:fill="C6EFCE"/>
            <w:noWrap/>
          </w:tcPr>
          <w:p w14:paraId="4F6E2213"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2024</w:t>
            </w:r>
          </w:p>
        </w:tc>
        <w:tc>
          <w:tcPr>
            <w:tcW w:w="4536" w:type="dxa"/>
            <w:shd w:val="clear" w:color="auto" w:fill="C6EFCE"/>
            <w:noWrap/>
          </w:tcPr>
          <w:p w14:paraId="4F1E21A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 200 kuni 26-aastase isiku paigutamine, kes praegu elavad hoolekandeasutustes korterites ja toetavad elamist.</w:t>
            </w:r>
          </w:p>
          <w:p w14:paraId="51FDA29D"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 jätkusuutliku toimetuleku võime ja -võime arendamine; järkjärguline iseseisvus, mille eesmärk on sujuv üleminek täiskasvanuikka; valmisolek tööturule integreerumiseks</w:t>
            </w:r>
          </w:p>
        </w:tc>
      </w:tr>
      <w:tr w:rsidR="007B4D63" w:rsidRPr="003B132A" w14:paraId="0FDE11E9" w14:textId="77777777" w:rsidTr="00C15C41">
        <w:trPr>
          <w:trHeight w:val="313"/>
          <w:jc w:val="center"/>
        </w:trPr>
        <w:tc>
          <w:tcPr>
            <w:tcW w:w="846" w:type="dxa"/>
            <w:shd w:val="clear" w:color="auto" w:fill="C6EFCE"/>
            <w:noWrap/>
          </w:tcPr>
          <w:p w14:paraId="5C7D53E2"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179</w:t>
            </w:r>
          </w:p>
        </w:tc>
        <w:tc>
          <w:tcPr>
            <w:tcW w:w="1417" w:type="dxa"/>
            <w:shd w:val="clear" w:color="auto" w:fill="C6EFCE"/>
            <w:noWrap/>
          </w:tcPr>
          <w:p w14:paraId="4F07DFC4"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16904_puue</w:t>
            </w:r>
          </w:p>
        </w:tc>
        <w:tc>
          <w:tcPr>
            <w:tcW w:w="993" w:type="dxa"/>
            <w:shd w:val="clear" w:color="auto" w:fill="C6EFCE"/>
            <w:noWrap/>
          </w:tcPr>
          <w:p w14:paraId="7C2033CC"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Eesmärk</w:t>
            </w:r>
          </w:p>
        </w:tc>
        <w:tc>
          <w:tcPr>
            <w:tcW w:w="1285" w:type="dxa"/>
            <w:shd w:val="clear" w:color="auto" w:fill="C6EFCE"/>
            <w:noWrap/>
          </w:tcPr>
          <w:p w14:paraId="7A7011E4"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Personaalse abi puudega inimeste kava riiklik kasutuselevõtt.</w:t>
            </w:r>
          </w:p>
        </w:tc>
        <w:tc>
          <w:tcPr>
            <w:tcW w:w="1418" w:type="dxa"/>
            <w:shd w:val="clear" w:color="auto" w:fill="C6EFCE"/>
            <w:noWrap/>
          </w:tcPr>
          <w:p w14:paraId="386B508A"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Riiklikku kasutuselevõttu käsitlevate esmaste ja teiseste õigusaktide jõustumine. Esitada koos statistilise lisaga, mis tõendab, et kasutuselevõtt on lõpule viidud. </w:t>
            </w:r>
          </w:p>
        </w:tc>
        <w:tc>
          <w:tcPr>
            <w:tcW w:w="1134" w:type="dxa"/>
            <w:shd w:val="clear" w:color="auto" w:fill="C6EFCE"/>
            <w:noWrap/>
          </w:tcPr>
          <w:p w14:paraId="07FD8997" w14:textId="77777777" w:rsidR="00764877" w:rsidRPr="00AD4052" w:rsidRDefault="00764877" w:rsidP="00D16F13">
            <w:pPr>
              <w:spacing w:before="120" w:after="0" w:line="240" w:lineRule="auto"/>
              <w:rPr>
                <w:rFonts w:eastAsia="Times New Roman" w:cs="Calibri"/>
                <w:noProof/>
                <w:color w:val="006100"/>
                <w:sz w:val="18"/>
                <w:szCs w:val="18"/>
                <w:lang w:val="fr-BE" w:eastAsia="en-GB"/>
              </w:rPr>
            </w:pPr>
          </w:p>
        </w:tc>
        <w:tc>
          <w:tcPr>
            <w:tcW w:w="982" w:type="dxa"/>
            <w:shd w:val="clear" w:color="auto" w:fill="C6EFCE"/>
            <w:noWrap/>
          </w:tcPr>
          <w:p w14:paraId="249415F6" w14:textId="77777777" w:rsidR="00764877" w:rsidRPr="00AD4052" w:rsidRDefault="00764877" w:rsidP="00D16F13">
            <w:pPr>
              <w:spacing w:before="120" w:after="0" w:line="240" w:lineRule="auto"/>
              <w:rPr>
                <w:rFonts w:eastAsia="Times New Roman" w:cs="Calibri"/>
                <w:noProof/>
                <w:color w:val="006100"/>
                <w:sz w:val="18"/>
                <w:szCs w:val="18"/>
                <w:lang w:val="fr-BE" w:eastAsia="en-GB"/>
              </w:rPr>
            </w:pPr>
          </w:p>
        </w:tc>
        <w:tc>
          <w:tcPr>
            <w:tcW w:w="1286" w:type="dxa"/>
            <w:shd w:val="clear" w:color="auto" w:fill="C6EFCE"/>
            <w:noWrap/>
          </w:tcPr>
          <w:p w14:paraId="601B495E" w14:textId="77777777" w:rsidR="00764877" w:rsidRPr="00AD4052" w:rsidRDefault="00764877" w:rsidP="00D16F13">
            <w:pPr>
              <w:spacing w:before="120" w:after="0" w:line="240" w:lineRule="auto"/>
              <w:rPr>
                <w:rFonts w:eastAsia="Times New Roman" w:cs="Calibri"/>
                <w:noProof/>
                <w:color w:val="006100"/>
                <w:sz w:val="18"/>
                <w:szCs w:val="18"/>
                <w:lang w:val="fr-BE" w:eastAsia="en-GB"/>
              </w:rPr>
            </w:pPr>
          </w:p>
        </w:tc>
        <w:tc>
          <w:tcPr>
            <w:tcW w:w="1417" w:type="dxa"/>
            <w:shd w:val="clear" w:color="auto" w:fill="C6EFCE"/>
            <w:noWrap/>
          </w:tcPr>
          <w:p w14:paraId="11DA9489"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 kv</w:t>
            </w:r>
          </w:p>
        </w:tc>
        <w:tc>
          <w:tcPr>
            <w:tcW w:w="709" w:type="dxa"/>
            <w:shd w:val="clear" w:color="auto" w:fill="C6EFCE"/>
            <w:noWrap/>
          </w:tcPr>
          <w:p w14:paraId="09810924"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2025</w:t>
            </w:r>
          </w:p>
        </w:tc>
        <w:tc>
          <w:tcPr>
            <w:tcW w:w="4536" w:type="dxa"/>
            <w:shd w:val="clear" w:color="auto" w:fill="C6EFCE"/>
            <w:noWrap/>
          </w:tcPr>
          <w:p w14:paraId="3648547D"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Personaalse abi puudega inimeste kava kasutuselevõtt kogu riigis, sealhulgas meditsiinilise ja funktsionaalse hindamise protsess</w:t>
            </w:r>
          </w:p>
        </w:tc>
      </w:tr>
      <w:tr w:rsidR="007B4D63" w:rsidRPr="003B132A" w14:paraId="35E22995" w14:textId="77777777" w:rsidTr="00C15C41">
        <w:trPr>
          <w:trHeight w:val="313"/>
          <w:jc w:val="center"/>
        </w:trPr>
        <w:tc>
          <w:tcPr>
            <w:tcW w:w="846" w:type="dxa"/>
            <w:shd w:val="clear" w:color="auto" w:fill="C6EFCE"/>
            <w:noWrap/>
          </w:tcPr>
          <w:p w14:paraId="5561CA98"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180</w:t>
            </w:r>
          </w:p>
        </w:tc>
        <w:tc>
          <w:tcPr>
            <w:tcW w:w="1417" w:type="dxa"/>
            <w:shd w:val="clear" w:color="auto" w:fill="C6EFCE"/>
            <w:noWrap/>
          </w:tcPr>
          <w:p w14:paraId="23A616D7" w14:textId="77777777" w:rsidR="00764877" w:rsidRPr="00E02B5D" w:rsidRDefault="00764877" w:rsidP="00D16F13">
            <w:pPr>
              <w:spacing w:before="120" w:after="0" w:line="240" w:lineRule="auto"/>
              <w:rPr>
                <w:rFonts w:asciiTheme="minorHAnsi" w:hAnsiTheme="minorHAnsi"/>
                <w:noProof/>
                <w:sz w:val="18"/>
              </w:rPr>
            </w:pPr>
            <w:r>
              <w:rPr>
                <w:rFonts w:asciiTheme="minorHAnsi" w:hAnsiTheme="minorHAnsi"/>
                <w:noProof/>
                <w:color w:val="006100"/>
                <w:sz w:val="18"/>
              </w:rPr>
              <w:t>11-3.4. Parandada juurdepääsu tõhusale ja kaasavale sotsiaalpoliitikale – 16919 – Laste kaitse</w:t>
            </w:r>
          </w:p>
        </w:tc>
        <w:tc>
          <w:tcPr>
            <w:tcW w:w="993" w:type="dxa"/>
            <w:shd w:val="clear" w:color="auto" w:fill="C6EFCE"/>
            <w:noWrap/>
          </w:tcPr>
          <w:p w14:paraId="35C705FB"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Siht</w:t>
            </w:r>
          </w:p>
        </w:tc>
        <w:tc>
          <w:tcPr>
            <w:tcW w:w="1285" w:type="dxa"/>
            <w:shd w:val="clear" w:color="auto" w:fill="C6EFCE"/>
            <w:noWrap/>
          </w:tcPr>
          <w:p w14:paraId="2F3D39CA"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 xml:space="preserve">Lastehoiukeskuste personali komplekteerimine </w:t>
            </w:r>
          </w:p>
        </w:tc>
        <w:tc>
          <w:tcPr>
            <w:tcW w:w="1418" w:type="dxa"/>
            <w:shd w:val="clear" w:color="auto" w:fill="C6EFCE"/>
            <w:noWrap/>
          </w:tcPr>
          <w:p w14:paraId="5ADEB86C" w14:textId="77777777" w:rsidR="00764877" w:rsidRPr="00E02B5D" w:rsidRDefault="00764877" w:rsidP="00D16F13">
            <w:pPr>
              <w:spacing w:before="120" w:after="0" w:line="240" w:lineRule="auto"/>
              <w:rPr>
                <w:rFonts w:asciiTheme="minorHAnsi" w:hAnsiTheme="minorHAnsi"/>
                <w:noProof/>
                <w:color w:val="006100"/>
                <w:sz w:val="18"/>
                <w:lang w:val="en-GB"/>
              </w:rPr>
            </w:pPr>
          </w:p>
        </w:tc>
        <w:tc>
          <w:tcPr>
            <w:tcW w:w="1134" w:type="dxa"/>
            <w:shd w:val="clear" w:color="auto" w:fill="C6EFCE"/>
            <w:noWrap/>
          </w:tcPr>
          <w:p w14:paraId="2D55F05C"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 xml:space="preserve">Lastehoiuasutuste arv </w:t>
            </w:r>
          </w:p>
        </w:tc>
        <w:tc>
          <w:tcPr>
            <w:tcW w:w="982" w:type="dxa"/>
            <w:shd w:val="clear" w:color="auto" w:fill="C6EFCE"/>
            <w:noWrap/>
          </w:tcPr>
          <w:p w14:paraId="54F2CD31"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12 500</w:t>
            </w:r>
          </w:p>
        </w:tc>
        <w:tc>
          <w:tcPr>
            <w:tcW w:w="1286" w:type="dxa"/>
            <w:shd w:val="clear" w:color="auto" w:fill="C6EFCE"/>
            <w:noWrap/>
          </w:tcPr>
          <w:p w14:paraId="01B6AD7E"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32 500</w:t>
            </w:r>
          </w:p>
        </w:tc>
        <w:tc>
          <w:tcPr>
            <w:tcW w:w="1417" w:type="dxa"/>
            <w:shd w:val="clear" w:color="auto" w:fill="C6EFCE"/>
            <w:noWrap/>
          </w:tcPr>
          <w:p w14:paraId="582A6256"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2. kv</w:t>
            </w:r>
          </w:p>
        </w:tc>
        <w:tc>
          <w:tcPr>
            <w:tcW w:w="709" w:type="dxa"/>
            <w:shd w:val="clear" w:color="auto" w:fill="C6EFCE"/>
            <w:noWrap/>
          </w:tcPr>
          <w:p w14:paraId="6D0B537C"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2025</w:t>
            </w:r>
          </w:p>
        </w:tc>
        <w:tc>
          <w:tcPr>
            <w:tcW w:w="4536" w:type="dxa"/>
            <w:shd w:val="clear" w:color="auto" w:fill="C6EFCE"/>
            <w:noWrap/>
          </w:tcPr>
          <w:p w14:paraId="668EAF82"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Vähemalt 20 000 uue lastehoiuasutuse valmimine ja töötajate värbamine</w:t>
            </w:r>
          </w:p>
          <w:p w14:paraId="0AF00AFC"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Toetust saavad üksused esitavad hüvitise saamiseks kõik vajalikud dokumendid. Väliskontrolörid kontrollivad kulusid ning teevad auditikontrolle ja külastusi, et kontrollida, kas uued kohad on loodud.</w:t>
            </w:r>
          </w:p>
        </w:tc>
      </w:tr>
      <w:tr w:rsidR="007B4D63" w:rsidRPr="003B132A" w14:paraId="7E3E2402" w14:textId="77777777" w:rsidTr="00C15C41">
        <w:trPr>
          <w:trHeight w:val="313"/>
          <w:jc w:val="center"/>
        </w:trPr>
        <w:tc>
          <w:tcPr>
            <w:tcW w:w="846" w:type="dxa"/>
            <w:shd w:val="clear" w:color="auto" w:fill="C6EFCE"/>
            <w:noWrap/>
          </w:tcPr>
          <w:p w14:paraId="4062104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180a</w:t>
            </w:r>
          </w:p>
        </w:tc>
        <w:tc>
          <w:tcPr>
            <w:tcW w:w="1417" w:type="dxa"/>
            <w:shd w:val="clear" w:color="auto" w:fill="C6EFCE"/>
            <w:noWrap/>
          </w:tcPr>
          <w:p w14:paraId="0D170A6D"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11-3.4. Parandada juurdepääsu tõhusale ja kaasavale sotsiaalpoliitikale – 16919 – Laste kaitse</w:t>
            </w:r>
          </w:p>
        </w:tc>
        <w:tc>
          <w:tcPr>
            <w:tcW w:w="993" w:type="dxa"/>
            <w:shd w:val="clear" w:color="auto" w:fill="C6EFCE"/>
            <w:noWrap/>
          </w:tcPr>
          <w:p w14:paraId="47F7A587"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Eesmärk</w:t>
            </w:r>
          </w:p>
        </w:tc>
        <w:tc>
          <w:tcPr>
            <w:tcW w:w="1285" w:type="dxa"/>
            <w:shd w:val="clear" w:color="auto" w:fill="C6EFCE"/>
            <w:noWrap/>
          </w:tcPr>
          <w:p w14:paraId="02961326"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Õppekava reform</w:t>
            </w:r>
          </w:p>
        </w:tc>
        <w:tc>
          <w:tcPr>
            <w:tcW w:w="1418" w:type="dxa"/>
            <w:shd w:val="clear" w:color="auto" w:fill="C6EFCE"/>
            <w:noWrap/>
          </w:tcPr>
          <w:p w14:paraId="526949E2"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Sotsiaalse ühtekuuluvuse ja perekonnaministeeriumi aruanne projektide lõpuleviimise kohta ja b</w:t>
            </w:r>
          </w:p>
        </w:tc>
        <w:tc>
          <w:tcPr>
            <w:tcW w:w="1134" w:type="dxa"/>
            <w:shd w:val="clear" w:color="auto" w:fill="C6EFCE"/>
            <w:noWrap/>
          </w:tcPr>
          <w:p w14:paraId="2C443BF8" w14:textId="77777777" w:rsidR="00764877" w:rsidRPr="00AD4052" w:rsidRDefault="00764877" w:rsidP="00D16F13">
            <w:pPr>
              <w:spacing w:before="120" w:after="0" w:line="240" w:lineRule="auto"/>
              <w:rPr>
                <w:rFonts w:asciiTheme="minorHAnsi" w:hAnsiTheme="minorHAnsi"/>
                <w:noProof/>
                <w:color w:val="006100"/>
                <w:sz w:val="18"/>
              </w:rPr>
            </w:pPr>
          </w:p>
        </w:tc>
        <w:tc>
          <w:tcPr>
            <w:tcW w:w="982" w:type="dxa"/>
            <w:shd w:val="clear" w:color="auto" w:fill="C6EFCE"/>
            <w:noWrap/>
          </w:tcPr>
          <w:p w14:paraId="50BD73E8" w14:textId="77777777" w:rsidR="00764877" w:rsidRPr="00AD4052" w:rsidRDefault="00764877" w:rsidP="00D16F13">
            <w:pPr>
              <w:spacing w:before="120" w:after="0" w:line="240" w:lineRule="auto"/>
              <w:rPr>
                <w:rFonts w:asciiTheme="minorHAnsi" w:hAnsiTheme="minorHAnsi"/>
                <w:noProof/>
                <w:color w:val="006100"/>
                <w:sz w:val="18"/>
              </w:rPr>
            </w:pPr>
          </w:p>
        </w:tc>
        <w:tc>
          <w:tcPr>
            <w:tcW w:w="1286" w:type="dxa"/>
            <w:shd w:val="clear" w:color="auto" w:fill="C6EFCE"/>
            <w:noWrap/>
          </w:tcPr>
          <w:p w14:paraId="0F146AD1" w14:textId="77777777" w:rsidR="00764877" w:rsidRPr="00AD4052" w:rsidRDefault="00764877" w:rsidP="00D16F13">
            <w:pPr>
              <w:spacing w:before="120" w:after="0" w:line="240" w:lineRule="auto"/>
              <w:rPr>
                <w:rFonts w:asciiTheme="minorHAnsi" w:hAnsiTheme="minorHAnsi"/>
                <w:noProof/>
                <w:color w:val="006100"/>
                <w:sz w:val="18"/>
              </w:rPr>
            </w:pPr>
          </w:p>
        </w:tc>
        <w:tc>
          <w:tcPr>
            <w:tcW w:w="1417" w:type="dxa"/>
            <w:shd w:val="clear" w:color="auto" w:fill="C6EFCE"/>
            <w:noWrap/>
          </w:tcPr>
          <w:p w14:paraId="1D529E1B"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4. kv</w:t>
            </w:r>
          </w:p>
        </w:tc>
        <w:tc>
          <w:tcPr>
            <w:tcW w:w="709" w:type="dxa"/>
            <w:shd w:val="clear" w:color="auto" w:fill="C6EFCE"/>
            <w:noWrap/>
          </w:tcPr>
          <w:p w14:paraId="058844E8" w14:textId="77777777" w:rsidR="00764877" w:rsidRPr="00E02B5D" w:rsidRDefault="00764877" w:rsidP="00D16F13">
            <w:pPr>
              <w:spacing w:before="120" w:after="0" w:line="240" w:lineRule="auto"/>
              <w:rPr>
                <w:rFonts w:asciiTheme="minorHAnsi" w:hAnsiTheme="minorHAnsi"/>
                <w:noProof/>
                <w:color w:val="006100"/>
                <w:sz w:val="18"/>
              </w:rPr>
            </w:pPr>
            <w:r>
              <w:rPr>
                <w:rFonts w:asciiTheme="minorHAnsi" w:hAnsiTheme="minorHAnsi"/>
                <w:noProof/>
                <w:color w:val="006100"/>
                <w:sz w:val="18"/>
              </w:rPr>
              <w:t>2025</w:t>
            </w:r>
          </w:p>
        </w:tc>
        <w:tc>
          <w:tcPr>
            <w:tcW w:w="4536" w:type="dxa"/>
            <w:shd w:val="clear" w:color="auto" w:fill="C6EFCE"/>
            <w:noWrap/>
          </w:tcPr>
          <w:p w14:paraId="57C83C9D" w14:textId="77777777" w:rsidR="00764877" w:rsidRPr="00E02B5D" w:rsidRDefault="00764877" w:rsidP="00D16F13">
            <w:pPr>
              <w:spacing w:after="0" w:line="240" w:lineRule="auto"/>
              <w:jc w:val="both"/>
              <w:textAlignment w:val="baseline"/>
              <w:rPr>
                <w:rFonts w:asciiTheme="minorHAnsi" w:eastAsiaTheme="minorEastAsia" w:hAnsiTheme="minorHAnsi" w:cstheme="minorBidi"/>
                <w:noProof/>
                <w:color w:val="006100"/>
                <w:sz w:val="18"/>
                <w:szCs w:val="18"/>
              </w:rPr>
            </w:pPr>
            <w:r>
              <w:rPr>
                <w:rFonts w:asciiTheme="minorHAnsi" w:hAnsiTheme="minorHAnsi"/>
                <w:noProof/>
                <w:color w:val="006100"/>
                <w:sz w:val="18"/>
              </w:rPr>
              <w:t>a) 3 kuu kuni 4-aastaste imikute õppekava ja haridusprogrammi reformi lõpuleviimine (katseline rakendamine 90 lastehoiukeskuses).  </w:t>
            </w:r>
          </w:p>
          <w:p w14:paraId="37CA460D" w14:textId="60454764" w:rsidR="00764877" w:rsidRPr="00E02B5D" w:rsidRDefault="00764877" w:rsidP="00D16F13">
            <w:pPr>
              <w:spacing w:after="0" w:line="240" w:lineRule="auto"/>
              <w:jc w:val="both"/>
              <w:textAlignment w:val="baseline"/>
              <w:rPr>
                <w:rFonts w:asciiTheme="minorHAnsi" w:eastAsiaTheme="minorEastAsia" w:hAnsiTheme="minorHAnsi" w:cstheme="minorBidi"/>
                <w:noProof/>
                <w:color w:val="006100"/>
                <w:sz w:val="18"/>
                <w:szCs w:val="18"/>
              </w:rPr>
            </w:pPr>
            <w:r>
              <w:rPr>
                <w:rFonts w:asciiTheme="minorHAnsi" w:hAnsiTheme="minorHAnsi"/>
                <w:noProof/>
                <w:color w:val="006100"/>
                <w:sz w:val="18"/>
              </w:rPr>
              <w:t>b) Lastekeskuste õppematerjalide ja kognitiivse arengu hindamise vahendite 2 700 tegevuskomplekti investeeringute lõpuleviimine.  </w:t>
            </w:r>
          </w:p>
          <w:p w14:paraId="65EE3397" w14:textId="77777777" w:rsidR="00764877" w:rsidRPr="00E02B5D" w:rsidRDefault="00764877" w:rsidP="00F30E40">
            <w:pPr>
              <w:spacing w:after="0" w:line="240" w:lineRule="auto"/>
              <w:jc w:val="both"/>
              <w:textAlignment w:val="baseline"/>
              <w:rPr>
                <w:rFonts w:asciiTheme="minorHAnsi" w:hAnsiTheme="minorHAnsi"/>
                <w:noProof/>
                <w:color w:val="006100"/>
                <w:sz w:val="18"/>
              </w:rPr>
            </w:pPr>
            <w:r>
              <w:rPr>
                <w:rFonts w:asciiTheme="minorHAnsi" w:hAnsiTheme="minorHAnsi"/>
                <w:noProof/>
                <w:color w:val="006100"/>
                <w:sz w:val="18"/>
              </w:rPr>
              <w:t>c) 135 teadus-, tehnoloogia-, inseneeria- ja matemaatikakeskuse loomine 12–15aastastele lastele loometegevuseks. </w:t>
            </w:r>
          </w:p>
        </w:tc>
      </w:tr>
      <w:tr w:rsidR="00666DFA" w:rsidRPr="003B132A" w14:paraId="62FDF896" w14:textId="77777777" w:rsidTr="00C15C41">
        <w:trPr>
          <w:trHeight w:val="313"/>
          <w:jc w:val="center"/>
        </w:trPr>
        <w:tc>
          <w:tcPr>
            <w:tcW w:w="846" w:type="dxa"/>
            <w:shd w:val="clear" w:color="auto" w:fill="C6EFCE"/>
            <w:noWrap/>
          </w:tcPr>
          <w:p w14:paraId="30F8601B" w14:textId="77777777" w:rsidR="00666DFA" w:rsidRPr="006A7BEF" w:rsidRDefault="00666DFA" w:rsidP="00666DFA">
            <w:pPr>
              <w:spacing w:before="120" w:after="0" w:line="240" w:lineRule="auto"/>
              <w:rPr>
                <w:rFonts w:asciiTheme="minorHAnsi" w:hAnsiTheme="minorHAnsi"/>
                <w:noProof/>
                <w:color w:val="006100"/>
                <w:sz w:val="18"/>
              </w:rPr>
            </w:pPr>
            <w:r>
              <w:rPr>
                <w:rFonts w:asciiTheme="minorHAnsi" w:hAnsiTheme="minorHAnsi"/>
                <w:noProof/>
                <w:color w:val="006100"/>
                <w:sz w:val="18"/>
              </w:rPr>
              <w:t>181</w:t>
            </w:r>
          </w:p>
        </w:tc>
        <w:tc>
          <w:tcPr>
            <w:tcW w:w="1417" w:type="dxa"/>
            <w:shd w:val="clear" w:color="auto" w:fill="C6EFCE"/>
            <w:noWrap/>
          </w:tcPr>
          <w:p w14:paraId="438BBD8E" w14:textId="77777777" w:rsidR="00666DFA" w:rsidRPr="006A7BEF" w:rsidRDefault="009D6551" w:rsidP="00666DFA">
            <w:pPr>
              <w:spacing w:before="120" w:after="0" w:line="240" w:lineRule="auto"/>
              <w:rPr>
                <w:rFonts w:asciiTheme="minorHAnsi" w:hAnsiTheme="minorHAnsi"/>
                <w:noProof/>
                <w:color w:val="006100"/>
                <w:sz w:val="18"/>
              </w:rPr>
            </w:pPr>
            <w:r>
              <w:rPr>
                <w:rFonts w:asciiTheme="minorHAnsi" w:hAnsiTheme="minorHAnsi"/>
                <w:noProof/>
                <w:color w:val="006100"/>
                <w:sz w:val="18"/>
              </w:rPr>
              <w:t>11–3.4. Parem juurdepääs tõhusale ja kaasavale sotsiaalpoliitikale – 16402_Sotsiaaleluruumid ja taskukohased eluasemed</w:t>
            </w:r>
          </w:p>
        </w:tc>
        <w:tc>
          <w:tcPr>
            <w:tcW w:w="993" w:type="dxa"/>
            <w:shd w:val="clear" w:color="auto" w:fill="C6EFCE"/>
            <w:noWrap/>
          </w:tcPr>
          <w:p w14:paraId="62F3D0F1" w14:textId="77777777" w:rsidR="00666DFA" w:rsidRPr="006A7BEF" w:rsidRDefault="015F9008" w:rsidP="008AECE0">
            <w:pPr>
              <w:spacing w:before="120" w:after="0" w:line="240" w:lineRule="auto"/>
              <w:rPr>
                <w:rFonts w:asciiTheme="minorHAnsi" w:hAnsiTheme="minorHAnsi"/>
                <w:noProof/>
                <w:color w:val="006100"/>
                <w:sz w:val="18"/>
              </w:rPr>
            </w:pPr>
            <w:r>
              <w:rPr>
                <w:rFonts w:asciiTheme="minorHAnsi" w:hAnsiTheme="minorHAnsi"/>
                <w:noProof/>
                <w:color w:val="006100"/>
                <w:sz w:val="18"/>
              </w:rPr>
              <w:t>Eesmärk</w:t>
            </w:r>
          </w:p>
        </w:tc>
        <w:tc>
          <w:tcPr>
            <w:tcW w:w="1285" w:type="dxa"/>
            <w:shd w:val="clear" w:color="auto" w:fill="C6EFCE"/>
            <w:noWrap/>
          </w:tcPr>
          <w:p w14:paraId="3EA39E05" w14:textId="77777777" w:rsidR="00666DFA" w:rsidRPr="006A7BEF" w:rsidRDefault="015F9008" w:rsidP="008AECE0">
            <w:pPr>
              <w:spacing w:before="120" w:after="0" w:line="240" w:lineRule="auto"/>
              <w:rPr>
                <w:rFonts w:asciiTheme="minorHAnsi" w:hAnsiTheme="minorHAnsi"/>
                <w:noProof/>
                <w:color w:val="006100"/>
                <w:sz w:val="18"/>
              </w:rPr>
            </w:pPr>
            <w:r>
              <w:rPr>
                <w:rFonts w:asciiTheme="minorHAnsi" w:hAnsiTheme="minorHAnsi"/>
                <w:noProof/>
                <w:color w:val="006100"/>
                <w:sz w:val="18"/>
              </w:rPr>
              <w:t xml:space="preserve">Riiklik eluasemestrateegia </w:t>
            </w:r>
          </w:p>
        </w:tc>
        <w:tc>
          <w:tcPr>
            <w:tcW w:w="1418" w:type="dxa"/>
            <w:shd w:val="clear" w:color="auto" w:fill="C6EFCE"/>
            <w:noWrap/>
          </w:tcPr>
          <w:p w14:paraId="25F1F1F2" w14:textId="77777777" w:rsidR="00666DFA" w:rsidRPr="006A7BEF" w:rsidRDefault="4AE2066C" w:rsidP="008AECE0">
            <w:pPr>
              <w:spacing w:before="120" w:after="0" w:line="240" w:lineRule="auto"/>
              <w:rPr>
                <w:rFonts w:asciiTheme="minorHAnsi" w:hAnsiTheme="minorHAnsi"/>
                <w:noProof/>
                <w:color w:val="006100"/>
                <w:sz w:val="18"/>
              </w:rPr>
            </w:pPr>
            <w:r>
              <w:rPr>
                <w:rFonts w:asciiTheme="minorHAnsi" w:hAnsiTheme="minorHAnsi"/>
                <w:noProof/>
                <w:color w:val="006100"/>
                <w:sz w:val="18"/>
              </w:rPr>
              <w:t>Eluasemestrateegia heakskiitmine ministrite kabineti poolt</w:t>
            </w:r>
          </w:p>
        </w:tc>
        <w:tc>
          <w:tcPr>
            <w:tcW w:w="1134" w:type="dxa"/>
            <w:shd w:val="clear" w:color="auto" w:fill="C6EFCE"/>
            <w:noWrap/>
          </w:tcPr>
          <w:p w14:paraId="4DDB995F" w14:textId="77777777" w:rsidR="00666DFA" w:rsidRPr="006A7BEF" w:rsidRDefault="00666DFA" w:rsidP="00666DFA">
            <w:pPr>
              <w:spacing w:before="120" w:after="0" w:line="240" w:lineRule="auto"/>
              <w:rPr>
                <w:rFonts w:asciiTheme="minorHAnsi" w:hAnsiTheme="minorHAnsi"/>
                <w:noProof/>
                <w:color w:val="006100"/>
                <w:sz w:val="18"/>
                <w:lang w:val="en-GB"/>
              </w:rPr>
            </w:pPr>
          </w:p>
        </w:tc>
        <w:tc>
          <w:tcPr>
            <w:tcW w:w="982" w:type="dxa"/>
            <w:shd w:val="clear" w:color="auto" w:fill="C6EFCE"/>
            <w:noWrap/>
          </w:tcPr>
          <w:p w14:paraId="7C979DC9" w14:textId="77777777" w:rsidR="00666DFA" w:rsidRPr="006A7BEF" w:rsidRDefault="00666DFA" w:rsidP="00666DFA">
            <w:pPr>
              <w:spacing w:before="120" w:after="0" w:line="240" w:lineRule="auto"/>
              <w:rPr>
                <w:rFonts w:asciiTheme="minorHAnsi" w:hAnsiTheme="minorHAnsi"/>
                <w:noProof/>
                <w:color w:val="006100"/>
                <w:sz w:val="18"/>
                <w:lang w:val="en-GB"/>
              </w:rPr>
            </w:pPr>
          </w:p>
        </w:tc>
        <w:tc>
          <w:tcPr>
            <w:tcW w:w="1286" w:type="dxa"/>
            <w:shd w:val="clear" w:color="auto" w:fill="C6EFCE"/>
            <w:noWrap/>
          </w:tcPr>
          <w:p w14:paraId="5F8D24C6" w14:textId="77777777" w:rsidR="00666DFA" w:rsidRPr="006A7BEF" w:rsidRDefault="00666DFA" w:rsidP="00666DFA">
            <w:pPr>
              <w:spacing w:before="120" w:after="0" w:line="240" w:lineRule="auto"/>
              <w:rPr>
                <w:rFonts w:asciiTheme="minorHAnsi" w:hAnsiTheme="minorHAnsi"/>
                <w:noProof/>
                <w:color w:val="006100"/>
                <w:sz w:val="18"/>
                <w:lang w:val="en-GB"/>
              </w:rPr>
            </w:pPr>
          </w:p>
        </w:tc>
        <w:tc>
          <w:tcPr>
            <w:tcW w:w="1417" w:type="dxa"/>
            <w:shd w:val="clear" w:color="auto" w:fill="C6EFCE"/>
            <w:noWrap/>
          </w:tcPr>
          <w:p w14:paraId="44C8AA67" w14:textId="77777777" w:rsidR="00666DFA" w:rsidRPr="006A7BEF" w:rsidRDefault="015F9008" w:rsidP="008AECE0">
            <w:pPr>
              <w:spacing w:before="120" w:after="0" w:line="240" w:lineRule="auto"/>
              <w:rPr>
                <w:rFonts w:asciiTheme="minorHAnsi" w:hAnsiTheme="minorHAnsi"/>
                <w:noProof/>
                <w:color w:val="006100"/>
                <w:sz w:val="18"/>
              </w:rPr>
            </w:pPr>
            <w:r>
              <w:rPr>
                <w:rFonts w:asciiTheme="minorHAnsi" w:hAnsiTheme="minorHAnsi"/>
                <w:noProof/>
                <w:color w:val="006100"/>
                <w:sz w:val="18"/>
              </w:rPr>
              <w:t>1. kv</w:t>
            </w:r>
          </w:p>
        </w:tc>
        <w:tc>
          <w:tcPr>
            <w:tcW w:w="709" w:type="dxa"/>
            <w:shd w:val="clear" w:color="auto" w:fill="C6EFCE"/>
            <w:noWrap/>
          </w:tcPr>
          <w:p w14:paraId="613E0F87" w14:textId="77777777" w:rsidR="00666DFA" w:rsidRPr="006A7BEF" w:rsidRDefault="015F9008" w:rsidP="008AECE0">
            <w:pPr>
              <w:spacing w:before="120" w:after="0" w:line="240" w:lineRule="auto"/>
              <w:rPr>
                <w:rFonts w:asciiTheme="minorHAnsi" w:hAnsiTheme="minorHAnsi"/>
                <w:noProof/>
                <w:color w:val="006100"/>
                <w:sz w:val="18"/>
              </w:rPr>
            </w:pPr>
            <w:r>
              <w:rPr>
                <w:rFonts w:asciiTheme="minorHAnsi" w:hAnsiTheme="minorHAnsi"/>
                <w:noProof/>
                <w:color w:val="006100"/>
                <w:sz w:val="18"/>
              </w:rPr>
              <w:t>2026</w:t>
            </w:r>
          </w:p>
        </w:tc>
        <w:tc>
          <w:tcPr>
            <w:tcW w:w="4536" w:type="dxa"/>
            <w:shd w:val="clear" w:color="auto" w:fill="C6EFCE"/>
            <w:noWrap/>
          </w:tcPr>
          <w:p w14:paraId="24E68D47" w14:textId="77777777" w:rsidR="00666DFA" w:rsidRPr="006A7BEF" w:rsidRDefault="015F9008" w:rsidP="008AECE0">
            <w:pPr>
              <w:spacing w:before="120" w:after="0" w:line="240" w:lineRule="auto"/>
              <w:rPr>
                <w:rFonts w:asciiTheme="minorHAnsi" w:hAnsiTheme="minorHAnsi"/>
                <w:noProof/>
                <w:color w:val="006100"/>
                <w:sz w:val="18"/>
              </w:rPr>
            </w:pPr>
            <w:r>
              <w:rPr>
                <w:rFonts w:asciiTheme="minorHAnsi" w:hAnsiTheme="minorHAnsi"/>
                <w:noProof/>
                <w:color w:val="006100"/>
                <w:sz w:val="18"/>
              </w:rPr>
              <w:t>Tervikliku riikliku elamumajandusstrateegia vastuvõtmine, mis hõlmab järgmist:</w:t>
            </w:r>
          </w:p>
          <w:p w14:paraId="3BC6B176" w14:textId="77777777" w:rsidR="009D7BA4" w:rsidRPr="006A7BEF" w:rsidRDefault="009D7BA4" w:rsidP="009D7BA4">
            <w:pPr>
              <w:pStyle w:val="ListParagraph"/>
              <w:numPr>
                <w:ilvl w:val="0"/>
                <w:numId w:val="92"/>
              </w:numPr>
              <w:spacing w:before="120" w:after="0" w:line="240" w:lineRule="auto"/>
              <w:ind w:left="414" w:hanging="357"/>
              <w:rPr>
                <w:rFonts w:asciiTheme="minorHAnsi" w:hAnsiTheme="minorHAnsi"/>
                <w:noProof/>
                <w:color w:val="006100"/>
                <w:sz w:val="18"/>
              </w:rPr>
            </w:pPr>
            <w:r>
              <w:rPr>
                <w:rFonts w:asciiTheme="minorHAnsi" w:hAnsiTheme="minorHAnsi"/>
                <w:noProof/>
                <w:color w:val="006100"/>
                <w:sz w:val="18"/>
              </w:rPr>
              <w:t>Eluasemeturu toimimise analüüs.</w:t>
            </w:r>
          </w:p>
          <w:p w14:paraId="5092DF72" w14:textId="77777777" w:rsidR="00666DFA" w:rsidRPr="006A7BEF" w:rsidRDefault="015F9008" w:rsidP="00DE1EE5">
            <w:pPr>
              <w:pStyle w:val="ListParagraph"/>
              <w:numPr>
                <w:ilvl w:val="0"/>
                <w:numId w:val="92"/>
              </w:numPr>
              <w:spacing w:before="120" w:after="0" w:line="240" w:lineRule="auto"/>
              <w:ind w:left="414" w:hanging="357"/>
              <w:rPr>
                <w:rFonts w:asciiTheme="minorHAnsi" w:hAnsiTheme="minorHAnsi"/>
                <w:noProof/>
                <w:color w:val="006100"/>
                <w:sz w:val="18"/>
              </w:rPr>
            </w:pPr>
            <w:r>
              <w:rPr>
                <w:rFonts w:asciiTheme="minorHAnsi" w:hAnsiTheme="minorHAnsi"/>
                <w:noProof/>
                <w:color w:val="006100"/>
                <w:sz w:val="18"/>
              </w:rPr>
              <w:t>Elamufondi kaardistamine piirkondlikul tasandil, sealhulgas eraomandid, mis ei ole hõivatud, ja riigi omandis olevad kinnisvarad, mis on või võivad muutuda kättesaadavaks sotsiaaleluruumide jaoks, koos eluasemehindade muutuste ja neid määravate tegurite analüüsiga, mida toetavad statistilised andmed ja näitajad;</w:t>
            </w:r>
          </w:p>
          <w:p w14:paraId="2D93019D" w14:textId="77777777" w:rsidR="00666DFA" w:rsidRPr="006A7BEF" w:rsidRDefault="76503A66" w:rsidP="00DE1EE5">
            <w:pPr>
              <w:pStyle w:val="ListParagraph"/>
              <w:numPr>
                <w:ilvl w:val="0"/>
                <w:numId w:val="92"/>
              </w:numPr>
              <w:spacing w:before="120" w:after="0" w:line="240" w:lineRule="auto"/>
              <w:ind w:left="414" w:hanging="357"/>
              <w:rPr>
                <w:rFonts w:asciiTheme="minorHAnsi" w:hAnsiTheme="minorHAnsi"/>
                <w:noProof/>
                <w:color w:val="006100"/>
                <w:sz w:val="18"/>
              </w:rPr>
            </w:pPr>
            <w:r>
              <w:rPr>
                <w:rFonts w:asciiTheme="minorHAnsi" w:hAnsiTheme="minorHAnsi"/>
                <w:noProof/>
                <w:color w:val="006100"/>
                <w:sz w:val="18"/>
              </w:rPr>
              <w:t xml:space="preserve">Eluasemevajaduste analüüs elanikkonnarühmade kaupa (st elanikkonnarühmad, kellel on erinevad omadused, nagu vanus, kasutatav sissetulek, perekonna koosseis, kohaliku ja piirkondliku tasandi, maa- või linnapiirkondade, väike- või suurlinnade tasandil); </w:t>
            </w:r>
          </w:p>
          <w:p w14:paraId="7BB1BEC5" w14:textId="77777777" w:rsidR="001F1FB4" w:rsidRPr="006A7BEF" w:rsidRDefault="015F9008" w:rsidP="00DE1EE5">
            <w:pPr>
              <w:pStyle w:val="ListParagraph"/>
              <w:numPr>
                <w:ilvl w:val="0"/>
                <w:numId w:val="92"/>
              </w:numPr>
              <w:spacing w:before="120" w:after="0" w:line="240" w:lineRule="auto"/>
              <w:ind w:left="414" w:hanging="357"/>
              <w:rPr>
                <w:rFonts w:asciiTheme="minorHAnsi" w:hAnsiTheme="minorHAnsi"/>
                <w:noProof/>
                <w:color w:val="006100"/>
                <w:sz w:val="18"/>
              </w:rPr>
            </w:pPr>
            <w:r>
              <w:rPr>
                <w:rFonts w:asciiTheme="minorHAnsi" w:hAnsiTheme="minorHAnsi"/>
                <w:noProof/>
                <w:color w:val="006100"/>
                <w:sz w:val="18"/>
              </w:rPr>
              <w:t xml:space="preserve">Eri poliitikameetmete üksikasjad, sealhulgas iga vastutava asutuse, eelarve ja rahastamisallika, prioriseerimise ja eeldatavate toetusesaajate kohta; </w:t>
            </w:r>
          </w:p>
          <w:p w14:paraId="6CF08A7E" w14:textId="77777777" w:rsidR="00666DFA" w:rsidRPr="006A7BEF" w:rsidRDefault="015F9008" w:rsidP="00DE1EE5">
            <w:pPr>
              <w:pStyle w:val="ListParagraph"/>
              <w:numPr>
                <w:ilvl w:val="0"/>
                <w:numId w:val="92"/>
              </w:numPr>
              <w:spacing w:before="120" w:after="0" w:line="240" w:lineRule="auto"/>
              <w:ind w:left="414" w:hanging="357"/>
              <w:rPr>
                <w:rFonts w:asciiTheme="minorHAnsi" w:hAnsiTheme="minorHAnsi"/>
                <w:noProof/>
                <w:color w:val="006100"/>
                <w:sz w:val="18"/>
              </w:rPr>
            </w:pPr>
            <w:r>
              <w:rPr>
                <w:rFonts w:asciiTheme="minorHAnsi" w:hAnsiTheme="minorHAnsi"/>
                <w:noProof/>
                <w:color w:val="006100"/>
                <w:sz w:val="18"/>
              </w:rPr>
              <w:t>Strateegia rakendamise ja tulevase ajakohastamise eest vastutava juhtimisstruktuuri kirjeldus ning rakendamise ajakava kirjeldus.</w:t>
            </w:r>
          </w:p>
        </w:tc>
      </w:tr>
      <w:tr w:rsidR="007B759D" w:rsidRPr="003B132A" w14:paraId="567C0EC7" w14:textId="77777777" w:rsidTr="00C15C41">
        <w:trPr>
          <w:trHeight w:val="313"/>
          <w:jc w:val="center"/>
        </w:trPr>
        <w:tc>
          <w:tcPr>
            <w:tcW w:w="846" w:type="dxa"/>
            <w:shd w:val="clear" w:color="auto" w:fill="C6EFCE"/>
            <w:noWrap/>
          </w:tcPr>
          <w:p w14:paraId="4436733A" w14:textId="77777777" w:rsidR="007B759D" w:rsidRPr="00275DFC" w:rsidRDefault="007B759D" w:rsidP="007B759D">
            <w:pPr>
              <w:spacing w:before="120" w:after="0" w:line="240" w:lineRule="auto"/>
              <w:rPr>
                <w:noProof/>
                <w:color w:val="006100"/>
                <w:sz w:val="18"/>
              </w:rPr>
            </w:pPr>
            <w:r>
              <w:rPr>
                <w:noProof/>
                <w:color w:val="006100"/>
                <w:sz w:val="18"/>
              </w:rPr>
              <w:t>181a</w:t>
            </w:r>
          </w:p>
        </w:tc>
        <w:tc>
          <w:tcPr>
            <w:tcW w:w="1417" w:type="dxa"/>
            <w:shd w:val="clear" w:color="auto" w:fill="C6EFCE"/>
            <w:noWrap/>
          </w:tcPr>
          <w:p w14:paraId="77EF3EA6" w14:textId="77777777" w:rsidR="007B759D" w:rsidRPr="00275DFC" w:rsidRDefault="007B759D" w:rsidP="007B759D">
            <w:pPr>
              <w:spacing w:before="120" w:after="0" w:line="240" w:lineRule="auto"/>
              <w:rPr>
                <w:noProof/>
                <w:color w:val="006100"/>
                <w:sz w:val="18"/>
              </w:rPr>
            </w:pPr>
            <w:r>
              <w:rPr>
                <w:noProof/>
                <w:color w:val="006100"/>
                <w:sz w:val="18"/>
              </w:rPr>
              <w:t xml:space="preserve">11–3.4. Parem juurdepääs tõhusale ja kaasavale sotsiaalpoliitikale – 16402_Sotsiaaleluruumid ja taskukohased eluasemed </w:t>
            </w:r>
          </w:p>
        </w:tc>
        <w:tc>
          <w:tcPr>
            <w:tcW w:w="993" w:type="dxa"/>
            <w:shd w:val="clear" w:color="auto" w:fill="C6EFCE"/>
            <w:noWrap/>
          </w:tcPr>
          <w:p w14:paraId="30436A8E" w14:textId="77777777" w:rsidR="007B759D" w:rsidRPr="00275DFC" w:rsidRDefault="007B759D" w:rsidP="007B759D">
            <w:pPr>
              <w:spacing w:before="120" w:after="0" w:line="240" w:lineRule="auto"/>
              <w:rPr>
                <w:noProof/>
                <w:color w:val="006100"/>
                <w:sz w:val="18"/>
              </w:rPr>
            </w:pPr>
            <w:r>
              <w:rPr>
                <w:noProof/>
                <w:color w:val="006100"/>
                <w:sz w:val="18"/>
              </w:rPr>
              <w:t>Eesmärk</w:t>
            </w:r>
          </w:p>
        </w:tc>
        <w:tc>
          <w:tcPr>
            <w:tcW w:w="1285" w:type="dxa"/>
            <w:shd w:val="clear" w:color="auto" w:fill="C6EFCE"/>
            <w:noWrap/>
          </w:tcPr>
          <w:p w14:paraId="255B93FE" w14:textId="77777777" w:rsidR="007B759D" w:rsidRPr="00275DFC" w:rsidRDefault="007B759D" w:rsidP="007B759D">
            <w:pPr>
              <w:spacing w:before="120" w:after="0" w:line="240" w:lineRule="auto"/>
              <w:rPr>
                <w:noProof/>
                <w:color w:val="006100"/>
                <w:sz w:val="18"/>
              </w:rPr>
            </w:pPr>
            <w:r>
              <w:rPr>
                <w:noProof/>
                <w:color w:val="006100"/>
                <w:sz w:val="18"/>
              </w:rPr>
              <w:t>Seaduse 5006/2022 muutmine</w:t>
            </w:r>
          </w:p>
        </w:tc>
        <w:tc>
          <w:tcPr>
            <w:tcW w:w="1418" w:type="dxa"/>
            <w:shd w:val="clear" w:color="auto" w:fill="C6EFCE"/>
            <w:noWrap/>
          </w:tcPr>
          <w:p w14:paraId="454938E9" w14:textId="77777777" w:rsidR="007B759D" w:rsidRPr="00275DFC" w:rsidRDefault="007B759D" w:rsidP="007B759D">
            <w:pPr>
              <w:spacing w:before="120" w:after="0" w:line="240" w:lineRule="auto"/>
              <w:rPr>
                <w:noProof/>
                <w:color w:val="006100"/>
                <w:sz w:val="18"/>
              </w:rPr>
            </w:pPr>
            <w:r>
              <w:rPr>
                <w:noProof/>
                <w:color w:val="006100"/>
                <w:sz w:val="18"/>
              </w:rPr>
              <w:t xml:space="preserve">Eluasemeseadust 5006/2022 muutva õigusakti jõustumine </w:t>
            </w:r>
          </w:p>
        </w:tc>
        <w:tc>
          <w:tcPr>
            <w:tcW w:w="1134" w:type="dxa"/>
            <w:shd w:val="clear" w:color="auto" w:fill="C6EFCE"/>
            <w:noWrap/>
          </w:tcPr>
          <w:p w14:paraId="251920FB" w14:textId="77777777" w:rsidR="007B759D" w:rsidRPr="00275DFC" w:rsidRDefault="007B759D" w:rsidP="007B759D">
            <w:pPr>
              <w:spacing w:before="120" w:after="0" w:line="240" w:lineRule="auto"/>
              <w:rPr>
                <w:noProof/>
                <w:color w:val="006100"/>
                <w:sz w:val="18"/>
                <w:lang w:val="en-GB"/>
              </w:rPr>
            </w:pPr>
          </w:p>
        </w:tc>
        <w:tc>
          <w:tcPr>
            <w:tcW w:w="982" w:type="dxa"/>
            <w:shd w:val="clear" w:color="auto" w:fill="C6EFCE"/>
            <w:noWrap/>
          </w:tcPr>
          <w:p w14:paraId="50130AF5" w14:textId="77777777" w:rsidR="007B759D" w:rsidRPr="00275DFC" w:rsidRDefault="007B759D" w:rsidP="007B759D">
            <w:pPr>
              <w:spacing w:before="120" w:after="0" w:line="240" w:lineRule="auto"/>
              <w:rPr>
                <w:noProof/>
                <w:color w:val="006100"/>
                <w:sz w:val="18"/>
                <w:lang w:val="en-GB"/>
              </w:rPr>
            </w:pPr>
          </w:p>
        </w:tc>
        <w:tc>
          <w:tcPr>
            <w:tcW w:w="1286" w:type="dxa"/>
            <w:shd w:val="clear" w:color="auto" w:fill="C6EFCE"/>
            <w:noWrap/>
          </w:tcPr>
          <w:p w14:paraId="059847AD" w14:textId="77777777" w:rsidR="007B759D" w:rsidRPr="00275DFC" w:rsidRDefault="007B759D" w:rsidP="007B759D">
            <w:pPr>
              <w:spacing w:before="120" w:after="0" w:line="240" w:lineRule="auto"/>
              <w:rPr>
                <w:noProof/>
                <w:color w:val="006100"/>
                <w:sz w:val="18"/>
                <w:lang w:val="en-GB"/>
              </w:rPr>
            </w:pPr>
          </w:p>
        </w:tc>
        <w:tc>
          <w:tcPr>
            <w:tcW w:w="1417" w:type="dxa"/>
            <w:shd w:val="clear" w:color="auto" w:fill="C6EFCE"/>
            <w:noWrap/>
          </w:tcPr>
          <w:p w14:paraId="3E027630" w14:textId="77777777" w:rsidR="007B759D" w:rsidRPr="00275DFC" w:rsidRDefault="007B759D" w:rsidP="007B759D">
            <w:pPr>
              <w:spacing w:before="120" w:after="0" w:line="240" w:lineRule="auto"/>
              <w:rPr>
                <w:noProof/>
                <w:color w:val="006100"/>
                <w:sz w:val="18"/>
              </w:rPr>
            </w:pPr>
            <w:r>
              <w:rPr>
                <w:noProof/>
                <w:color w:val="006100"/>
                <w:sz w:val="18"/>
              </w:rPr>
              <w:t>1. kv</w:t>
            </w:r>
          </w:p>
        </w:tc>
        <w:tc>
          <w:tcPr>
            <w:tcW w:w="709" w:type="dxa"/>
            <w:shd w:val="clear" w:color="auto" w:fill="C6EFCE"/>
            <w:noWrap/>
          </w:tcPr>
          <w:p w14:paraId="7F7CEE12" w14:textId="77777777" w:rsidR="007B759D" w:rsidRPr="00275DFC" w:rsidRDefault="007B759D" w:rsidP="007B759D">
            <w:pPr>
              <w:spacing w:before="120" w:after="0" w:line="240" w:lineRule="auto"/>
              <w:rPr>
                <w:noProof/>
                <w:color w:val="006100"/>
                <w:sz w:val="18"/>
              </w:rPr>
            </w:pPr>
            <w:r>
              <w:rPr>
                <w:noProof/>
                <w:color w:val="006100"/>
                <w:sz w:val="18"/>
              </w:rPr>
              <w:t>2025</w:t>
            </w:r>
          </w:p>
        </w:tc>
        <w:tc>
          <w:tcPr>
            <w:tcW w:w="4536" w:type="dxa"/>
            <w:shd w:val="clear" w:color="auto" w:fill="C6EFCE"/>
            <w:noWrap/>
          </w:tcPr>
          <w:p w14:paraId="76C6122F" w14:textId="77777777" w:rsidR="00201221" w:rsidRPr="00275DFC" w:rsidRDefault="00201221" w:rsidP="00201221">
            <w:pPr>
              <w:rPr>
                <w:noProof/>
                <w:color w:val="006100"/>
                <w:sz w:val="18"/>
              </w:rPr>
            </w:pPr>
            <w:r>
              <w:rPr>
                <w:noProof/>
                <w:color w:val="006100"/>
                <w:sz w:val="18"/>
              </w:rPr>
              <w:t>Jõustub õigusakt, millega muudetakse seadust 5006/2022, et anda erasektori arendajatele, kes investeerivad riigi omandis oleva kinnisvara uude ehitamisse või renoveerimisse, võimalus saada osa kinnisvarast omandisse, muutes osa kinnisvarast sotsiaaleluruumideks ja taskukohasteks eluasemeteks.</w:t>
            </w:r>
          </w:p>
          <w:p w14:paraId="27B499C6" w14:textId="77777777" w:rsidR="007B759D" w:rsidRPr="00275DFC" w:rsidRDefault="00201221" w:rsidP="00201221">
            <w:pPr>
              <w:spacing w:before="120" w:after="0" w:line="240" w:lineRule="auto"/>
              <w:rPr>
                <w:noProof/>
                <w:color w:val="006100"/>
                <w:sz w:val="18"/>
              </w:rPr>
            </w:pPr>
            <w:r>
              <w:rPr>
                <w:noProof/>
                <w:color w:val="006100"/>
                <w:sz w:val="18"/>
              </w:rPr>
              <w:t>Seaduses määratakse kindlaks sotsiaalse ühtekuuluvuse ja perekonnaasjade ministeeriumi roll riigivara vastastikuse vahetusprogrammi (Kinoniki antiparochi) haldamise keskasutusena.</w:t>
            </w:r>
          </w:p>
        </w:tc>
      </w:tr>
    </w:tbl>
    <w:p w14:paraId="704FDDEE" w14:textId="77777777" w:rsidR="00764877" w:rsidRPr="00AD4052" w:rsidRDefault="00764877" w:rsidP="00645BC7">
      <w:pPr>
        <w:spacing w:before="120" w:after="120" w:line="240" w:lineRule="auto"/>
        <w:jc w:val="both"/>
        <w:rPr>
          <w:rFonts w:ascii="Times New Roman" w:hAnsi="Times New Roman" w:cs="Times New Roman"/>
          <w:noProof/>
          <w:sz w:val="24"/>
          <w:szCs w:val="24"/>
        </w:rPr>
      </w:pPr>
    </w:p>
    <w:p w14:paraId="4301D40B" w14:textId="77777777" w:rsidR="00764877" w:rsidRPr="00E02B5D" w:rsidRDefault="00764877" w:rsidP="00645BC7">
      <w:pPr>
        <w:keepNext/>
        <w:keepLines/>
        <w:spacing w:before="120" w:after="0" w:line="240" w:lineRule="auto"/>
        <w:jc w:val="both"/>
        <w:outlineLvl w:val="4"/>
        <w:rPr>
          <w:rFonts w:ascii="Cambria" w:eastAsia="Times New Roman" w:hAnsi="Cambria"/>
          <w:noProof/>
          <w:color w:val="365F91"/>
          <w:sz w:val="24"/>
        </w:rPr>
      </w:pPr>
      <w:r>
        <w:rPr>
          <w:rFonts w:ascii="Cambria" w:hAnsi="Cambria"/>
          <w:noProof/>
          <w:color w:val="365F91"/>
          <w:sz w:val="24"/>
        </w:rPr>
        <w:t>Grupp 16: Parandada juurdepääsu tõhusale ja kaasavale sotsiaalpoliitikale – Ränne ja varjupaik</w:t>
      </w:r>
    </w:p>
    <w:p w14:paraId="38308915" w14:textId="77777777" w:rsidR="00764877" w:rsidRPr="00E02B5D" w:rsidRDefault="00764877" w:rsidP="00DE1EE5">
      <w:pPr>
        <w:numPr>
          <w:ilvl w:val="0"/>
          <w:numId w:val="38"/>
        </w:numPr>
        <w:spacing w:before="120" w:after="0" w:line="240" w:lineRule="auto"/>
        <w:ind w:left="0"/>
        <w:jc w:val="both"/>
        <w:rPr>
          <w:rFonts w:ascii="Times New Roman" w:hAnsi="Times New Roman" w:cs="Times New Roman"/>
          <w:noProof/>
        </w:rPr>
      </w:pPr>
      <w:r>
        <w:rPr>
          <w:rFonts w:ascii="Times New Roman" w:hAnsi="Times New Roman"/>
          <w:noProof/>
          <w:sz w:val="24"/>
        </w:rPr>
        <w:t>Rände- ja varjupaigasüsteemi digiteerimine (ID: 16763)</w:t>
      </w:r>
    </w:p>
    <w:p w14:paraId="3907B15D" w14:textId="77777777" w:rsidR="00764877" w:rsidRPr="00E02B5D" w:rsidRDefault="00764877" w:rsidP="00DE1EE5">
      <w:pPr>
        <w:numPr>
          <w:ilvl w:val="0"/>
          <w:numId w:val="38"/>
        </w:numPr>
        <w:spacing w:before="120" w:after="0" w:line="240" w:lineRule="auto"/>
        <w:ind w:left="0"/>
        <w:jc w:val="both"/>
        <w:rPr>
          <w:rFonts w:ascii="Times New Roman" w:hAnsi="Times New Roman" w:cs="Times New Roman"/>
          <w:noProof/>
          <w:sz w:val="24"/>
        </w:rPr>
      </w:pPr>
      <w:r>
        <w:rPr>
          <w:rFonts w:ascii="Times New Roman" w:hAnsi="Times New Roman"/>
          <w:noProof/>
          <w:sz w:val="24"/>
        </w:rPr>
        <w:t>Sotsiaalabisüsteemi digiüleminek (ID: 16925)</w:t>
      </w:r>
    </w:p>
    <w:p w14:paraId="772C023E" w14:textId="77777777" w:rsidR="00764877" w:rsidRPr="00E02B5D" w:rsidRDefault="00764877" w:rsidP="00DE1EE5">
      <w:pPr>
        <w:numPr>
          <w:ilvl w:val="0"/>
          <w:numId w:val="38"/>
        </w:numPr>
        <w:spacing w:before="120" w:after="0" w:line="240" w:lineRule="auto"/>
        <w:ind w:left="0"/>
        <w:jc w:val="both"/>
        <w:rPr>
          <w:rFonts w:ascii="Times New Roman" w:hAnsi="Times New Roman" w:cs="Times New Roman"/>
          <w:noProof/>
          <w:sz w:val="24"/>
        </w:rPr>
      </w:pPr>
      <w:r>
        <w:rPr>
          <w:rFonts w:ascii="Times New Roman" w:hAnsi="Times New Roman"/>
          <w:noProof/>
          <w:sz w:val="24"/>
        </w:rPr>
        <w:t>Teadlikkus mitmekesisusest (ID: 16685)</w:t>
      </w:r>
    </w:p>
    <w:p w14:paraId="6E5EECF9" w14:textId="77777777" w:rsidR="00764877" w:rsidRPr="00E02B5D" w:rsidRDefault="00764877" w:rsidP="00DE1EE5">
      <w:pPr>
        <w:numPr>
          <w:ilvl w:val="0"/>
          <w:numId w:val="38"/>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Sotsiaalne integratsioon (ID: 16922)</w:t>
      </w:r>
    </w:p>
    <w:p w14:paraId="4AB5EE63" w14:textId="77777777" w:rsidR="00764877" w:rsidRPr="00E02B5D" w:rsidRDefault="00764877" w:rsidP="00DE1EE5">
      <w:pPr>
        <w:numPr>
          <w:ilvl w:val="0"/>
          <w:numId w:val="38"/>
        </w:numPr>
        <w:spacing w:before="120" w:after="120" w:line="240" w:lineRule="auto"/>
        <w:ind w:left="0"/>
        <w:jc w:val="both"/>
        <w:rPr>
          <w:rFonts w:ascii="Times New Roman" w:hAnsi="Times New Roman" w:cs="Times New Roman"/>
          <w:noProof/>
          <w:sz w:val="24"/>
        </w:rPr>
      </w:pPr>
      <w:r>
        <w:rPr>
          <w:rFonts w:ascii="Times New Roman" w:hAnsi="Times New Roman"/>
          <w:noProof/>
          <w:sz w:val="24"/>
        </w:rPr>
        <w:t>Edendada pagulaste integreerimist tööturule (ID: 16688)</w:t>
      </w:r>
    </w:p>
    <w:p w14:paraId="40873564" w14:textId="77777777" w:rsidR="00C95E90" w:rsidRPr="00E02B5D" w:rsidRDefault="00C95E90" w:rsidP="00C95E90">
      <w:pPr>
        <w:spacing w:before="120" w:after="120" w:line="240" w:lineRule="auto"/>
        <w:jc w:val="both"/>
        <w:rPr>
          <w:rFonts w:ascii="Times New Roman" w:hAnsi="Times New Roman" w:cs="Times New Roman"/>
          <w:noProof/>
          <w:sz w:val="24"/>
          <w:lang w:val="en-GB"/>
        </w:rPr>
      </w:pPr>
    </w:p>
    <w:tbl>
      <w:tblPr>
        <w:tblW w:w="16297" w:type="dxa"/>
        <w:jc w:val="center"/>
        <w:tblLayout w:type="fixed"/>
        <w:tblLook w:val="04A0" w:firstRow="1" w:lastRow="0" w:firstColumn="1" w:lastColumn="0" w:noHBand="0" w:noVBand="1"/>
      </w:tblPr>
      <w:tblGrid>
        <w:gridCol w:w="1116"/>
        <w:gridCol w:w="2456"/>
        <w:gridCol w:w="992"/>
        <w:gridCol w:w="1765"/>
        <w:gridCol w:w="2020"/>
        <w:gridCol w:w="1992"/>
        <w:gridCol w:w="1035"/>
        <w:gridCol w:w="952"/>
        <w:gridCol w:w="850"/>
        <w:gridCol w:w="709"/>
        <w:gridCol w:w="2410"/>
      </w:tblGrid>
      <w:tr w:rsidR="007B4D63" w:rsidRPr="003B132A" w14:paraId="27EF3995" w14:textId="77777777" w:rsidTr="00C23759">
        <w:trPr>
          <w:trHeight w:val="927"/>
          <w:tblHeade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E18069C" w14:textId="02A270C8"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C23759">
              <w:rPr>
                <w:rFonts w:ascii="Times New Roman" w:hAnsi="Times New Roman"/>
                <w:b/>
                <w:noProof/>
                <w:sz w:val="18"/>
              </w:rPr>
              <w:t>-</w:t>
            </w:r>
            <w:r>
              <w:rPr>
                <w:rFonts w:ascii="Times New Roman" w:hAnsi="Times New Roman"/>
                <w:b/>
                <w:noProof/>
                <w:sz w:val="18"/>
              </w:rPr>
              <w:t>number</w:t>
            </w:r>
          </w:p>
        </w:tc>
        <w:tc>
          <w:tcPr>
            <w:tcW w:w="24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C25AE0"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2512CD"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65" w:type="dxa"/>
            <w:vMerge w:val="restart"/>
            <w:tcBorders>
              <w:top w:val="single" w:sz="4" w:space="0" w:color="auto"/>
              <w:left w:val="nil"/>
              <w:bottom w:val="single" w:sz="4" w:space="0" w:color="auto"/>
              <w:right w:val="single" w:sz="4" w:space="0" w:color="auto"/>
            </w:tcBorders>
            <w:shd w:val="clear" w:color="auto" w:fill="BDD7EE"/>
            <w:vAlign w:val="center"/>
            <w:hideMark/>
          </w:tcPr>
          <w:p w14:paraId="024F0AA2"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579942"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979" w:type="dxa"/>
            <w:gridSpan w:val="3"/>
            <w:tcBorders>
              <w:top w:val="single" w:sz="4" w:space="0" w:color="auto"/>
              <w:left w:val="nil"/>
              <w:bottom w:val="single" w:sz="4" w:space="0" w:color="auto"/>
              <w:right w:val="single" w:sz="4" w:space="0" w:color="auto"/>
            </w:tcBorders>
            <w:shd w:val="clear" w:color="auto" w:fill="BDD7EE"/>
            <w:vAlign w:val="center"/>
            <w:hideMark/>
          </w:tcPr>
          <w:p w14:paraId="149F397F"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3B6D7050"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7A8939"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160467AD" w14:textId="77777777" w:rsidTr="00C23759">
        <w:trPr>
          <w:trHeight w:val="654"/>
          <w:tblHeader/>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1F80D5EF" w14:textId="77777777" w:rsidR="00764877" w:rsidRPr="00AD4052" w:rsidRDefault="00764877" w:rsidP="00D16F13">
            <w:pPr>
              <w:spacing w:before="120" w:after="0" w:line="240" w:lineRule="auto"/>
              <w:rPr>
                <w:rFonts w:ascii="Times New Roman" w:eastAsia="Times New Roman" w:hAnsi="Times New Roman" w:cs="Times New Roman"/>
                <w:b/>
                <w:noProof/>
                <w:sz w:val="18"/>
                <w:szCs w:val="18"/>
                <w:lang w:eastAsia="en-GB"/>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2C9BEC45" w14:textId="77777777" w:rsidR="00764877" w:rsidRPr="00AD4052" w:rsidRDefault="00764877" w:rsidP="00D16F13">
            <w:pPr>
              <w:spacing w:before="120" w:after="0" w:line="240" w:lineRule="auto"/>
              <w:rPr>
                <w:rFonts w:ascii="Times New Roman" w:eastAsia="Times New Roman" w:hAnsi="Times New Roman" w:cs="Times New Roman"/>
                <w:b/>
                <w:noProof/>
                <w:sz w:val="18"/>
                <w:szCs w:val="18"/>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C3E09D" w14:textId="77777777" w:rsidR="00764877" w:rsidRPr="00AD4052" w:rsidRDefault="00764877" w:rsidP="00D16F13">
            <w:pPr>
              <w:spacing w:before="120" w:after="0" w:line="240" w:lineRule="auto"/>
              <w:rPr>
                <w:rFonts w:ascii="Times New Roman" w:eastAsia="Times New Roman" w:hAnsi="Times New Roman" w:cs="Times New Roman"/>
                <w:b/>
                <w:noProof/>
                <w:sz w:val="18"/>
                <w:szCs w:val="18"/>
                <w:lang w:eastAsia="en-GB"/>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14:paraId="198CE72A" w14:textId="77777777" w:rsidR="00764877" w:rsidRPr="00AD4052" w:rsidRDefault="00764877" w:rsidP="00D16F13">
            <w:pPr>
              <w:spacing w:before="120" w:after="0" w:line="240" w:lineRule="auto"/>
              <w:rPr>
                <w:rFonts w:ascii="Times New Roman" w:eastAsia="Times New Roman" w:hAnsi="Times New Roman" w:cs="Times New Roman"/>
                <w:b/>
                <w:noProof/>
                <w:sz w:val="18"/>
                <w:szCs w:val="18"/>
                <w:lang w:eastAsia="en-GB"/>
              </w:rPr>
            </w:pPr>
          </w:p>
        </w:tc>
        <w:tc>
          <w:tcPr>
            <w:tcW w:w="2020" w:type="dxa"/>
            <w:vMerge/>
            <w:tcBorders>
              <w:left w:val="single" w:sz="4" w:space="0" w:color="auto"/>
              <w:bottom w:val="single" w:sz="4" w:space="0" w:color="auto"/>
            </w:tcBorders>
            <w:vAlign w:val="center"/>
            <w:hideMark/>
          </w:tcPr>
          <w:p w14:paraId="4D8D011C" w14:textId="77777777" w:rsidR="00764877" w:rsidRPr="00AD4052" w:rsidRDefault="00764877" w:rsidP="00D16F13">
            <w:pPr>
              <w:spacing w:before="120" w:after="0" w:line="240" w:lineRule="auto"/>
              <w:rPr>
                <w:rFonts w:ascii="Times New Roman" w:eastAsia="Times New Roman" w:hAnsi="Times New Roman" w:cs="Times New Roman"/>
                <w:b/>
                <w:noProof/>
                <w:sz w:val="18"/>
                <w:szCs w:val="18"/>
                <w:lang w:eastAsia="en-GB"/>
              </w:rPr>
            </w:pPr>
          </w:p>
        </w:tc>
        <w:tc>
          <w:tcPr>
            <w:tcW w:w="1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5707A9F"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035" w:type="dxa"/>
            <w:tcBorders>
              <w:top w:val="nil"/>
              <w:left w:val="nil"/>
              <w:bottom w:val="single" w:sz="4" w:space="0" w:color="auto"/>
              <w:right w:val="single" w:sz="4" w:space="0" w:color="auto"/>
            </w:tcBorders>
            <w:shd w:val="clear" w:color="auto" w:fill="BDD7EE"/>
            <w:vAlign w:val="center"/>
            <w:hideMark/>
          </w:tcPr>
          <w:p w14:paraId="371CEB5F"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52" w:type="dxa"/>
            <w:tcBorders>
              <w:top w:val="nil"/>
              <w:left w:val="nil"/>
              <w:bottom w:val="single" w:sz="4" w:space="0" w:color="auto"/>
              <w:right w:val="single" w:sz="4" w:space="0" w:color="auto"/>
            </w:tcBorders>
            <w:shd w:val="clear" w:color="auto" w:fill="BDD7EE"/>
            <w:vAlign w:val="center"/>
            <w:hideMark/>
          </w:tcPr>
          <w:p w14:paraId="6B7E6B88"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50" w:type="dxa"/>
            <w:tcBorders>
              <w:top w:val="nil"/>
              <w:left w:val="nil"/>
              <w:bottom w:val="single" w:sz="4" w:space="0" w:color="auto"/>
              <w:right w:val="single" w:sz="4" w:space="0" w:color="auto"/>
            </w:tcBorders>
            <w:shd w:val="clear" w:color="auto" w:fill="BDD7EE"/>
            <w:vAlign w:val="center"/>
            <w:hideMark/>
          </w:tcPr>
          <w:p w14:paraId="6BF0404E"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9" w:type="dxa"/>
            <w:tcBorders>
              <w:top w:val="nil"/>
              <w:left w:val="nil"/>
              <w:bottom w:val="single" w:sz="4" w:space="0" w:color="auto"/>
              <w:right w:val="single" w:sz="4" w:space="0" w:color="auto"/>
            </w:tcBorders>
            <w:shd w:val="clear" w:color="auto" w:fill="BDD7EE"/>
            <w:vAlign w:val="center"/>
            <w:hideMark/>
          </w:tcPr>
          <w:p w14:paraId="7ADFF2EF" w14:textId="77777777" w:rsidR="00764877" w:rsidRPr="00E02B5D" w:rsidRDefault="00764877" w:rsidP="00D16F13">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2410" w:type="dxa"/>
            <w:vMerge/>
            <w:tcBorders>
              <w:top w:val="single" w:sz="4" w:space="0" w:color="auto"/>
              <w:bottom w:val="single" w:sz="4" w:space="0" w:color="auto"/>
              <w:right w:val="single" w:sz="4" w:space="0" w:color="auto"/>
            </w:tcBorders>
            <w:vAlign w:val="center"/>
            <w:hideMark/>
          </w:tcPr>
          <w:p w14:paraId="7C77ABBD" w14:textId="77777777" w:rsidR="00764877" w:rsidRPr="00E02B5D" w:rsidRDefault="00764877" w:rsidP="00D16F13">
            <w:pPr>
              <w:spacing w:before="120" w:after="0" w:line="240" w:lineRule="auto"/>
              <w:rPr>
                <w:rFonts w:ascii="Times New Roman" w:eastAsia="Times New Roman" w:hAnsi="Times New Roman" w:cs="Times New Roman"/>
                <w:b/>
                <w:noProof/>
                <w:sz w:val="18"/>
                <w:szCs w:val="18"/>
                <w:lang w:val="en-GB" w:eastAsia="en-GB"/>
              </w:rPr>
            </w:pPr>
          </w:p>
        </w:tc>
      </w:tr>
      <w:tr w:rsidR="00C23759" w:rsidRPr="003B132A" w14:paraId="392210F3"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20A0E9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182</w:t>
            </w:r>
          </w:p>
        </w:tc>
        <w:tc>
          <w:tcPr>
            <w:tcW w:w="2456" w:type="dxa"/>
            <w:tcBorders>
              <w:top w:val="single" w:sz="4" w:space="0" w:color="auto"/>
              <w:left w:val="nil"/>
              <w:bottom w:val="single" w:sz="4" w:space="0" w:color="auto"/>
              <w:right w:val="single" w:sz="4" w:space="0" w:color="auto"/>
            </w:tcBorders>
            <w:shd w:val="clear" w:color="auto" w:fill="C6EFCE"/>
            <w:noWrap/>
          </w:tcPr>
          <w:p w14:paraId="16DFBB23"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16925_Sotsiaaltoetussüsteemi digitaalne ümberkujundamine</w:t>
            </w:r>
          </w:p>
        </w:tc>
        <w:tc>
          <w:tcPr>
            <w:tcW w:w="992" w:type="dxa"/>
            <w:tcBorders>
              <w:top w:val="single" w:sz="4" w:space="0" w:color="auto"/>
              <w:left w:val="nil"/>
              <w:bottom w:val="single" w:sz="4" w:space="0" w:color="auto"/>
              <w:right w:val="single" w:sz="4" w:space="0" w:color="auto"/>
            </w:tcBorders>
            <w:shd w:val="clear" w:color="auto" w:fill="C6EFCE"/>
            <w:noWrap/>
          </w:tcPr>
          <w:p w14:paraId="201AEB3C"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Siht</w:t>
            </w:r>
          </w:p>
        </w:tc>
        <w:tc>
          <w:tcPr>
            <w:tcW w:w="1765" w:type="dxa"/>
            <w:tcBorders>
              <w:top w:val="single" w:sz="4" w:space="0" w:color="auto"/>
              <w:left w:val="nil"/>
              <w:bottom w:val="single" w:sz="4" w:space="0" w:color="auto"/>
              <w:right w:val="single" w:sz="4" w:space="0" w:color="auto"/>
            </w:tcBorders>
            <w:shd w:val="clear" w:color="auto" w:fill="C6EFCE"/>
            <w:noWrap/>
          </w:tcPr>
          <w:p w14:paraId="43BF1525" w14:textId="77777777" w:rsidR="00764877" w:rsidRPr="00E02B5D" w:rsidRDefault="00764877" w:rsidP="00D16F13">
            <w:pPr>
              <w:spacing w:before="120" w:after="0" w:line="240" w:lineRule="auto"/>
              <w:rPr>
                <w:rFonts w:eastAsia="Times New Roman"/>
                <w:noProof/>
                <w:color w:val="006100"/>
                <w:sz w:val="18"/>
                <w:szCs w:val="18"/>
              </w:rPr>
            </w:pPr>
            <w:r>
              <w:rPr>
                <w:noProof/>
                <w:color w:val="006100"/>
                <w:sz w:val="18"/>
              </w:rPr>
              <w:t>Puudega isiku kaarte haldava asutuse tegevuse lõpuleviimine</w:t>
            </w:r>
          </w:p>
        </w:tc>
        <w:tc>
          <w:tcPr>
            <w:tcW w:w="2020" w:type="dxa"/>
            <w:tcBorders>
              <w:top w:val="single" w:sz="4" w:space="0" w:color="auto"/>
              <w:left w:val="nil"/>
              <w:bottom w:val="single" w:sz="4" w:space="0" w:color="auto"/>
              <w:right w:val="single" w:sz="4" w:space="0" w:color="auto"/>
            </w:tcBorders>
            <w:shd w:val="clear" w:color="auto" w:fill="C6EFCE"/>
            <w:noWrap/>
          </w:tcPr>
          <w:p w14:paraId="149AF6B3" w14:textId="77777777" w:rsidR="00764877" w:rsidRPr="00AD4052" w:rsidRDefault="00764877" w:rsidP="00D16F13">
            <w:pPr>
              <w:spacing w:before="120" w:after="0" w:line="240" w:lineRule="auto"/>
              <w:rPr>
                <w:rFonts w:eastAsia="Times New Roman" w:cs="Calibri"/>
                <w:noProof/>
                <w:color w:val="006100"/>
                <w:sz w:val="18"/>
                <w:szCs w:val="18"/>
                <w:lang w:val="it-IT" w:eastAsia="en-GB"/>
              </w:rPr>
            </w:pPr>
          </w:p>
        </w:tc>
        <w:tc>
          <w:tcPr>
            <w:tcW w:w="1992" w:type="dxa"/>
            <w:tcBorders>
              <w:top w:val="single" w:sz="4" w:space="0" w:color="auto"/>
              <w:left w:val="nil"/>
              <w:bottom w:val="single" w:sz="4" w:space="0" w:color="auto"/>
              <w:right w:val="single" w:sz="4" w:space="0" w:color="auto"/>
            </w:tcBorders>
            <w:shd w:val="clear" w:color="auto" w:fill="C6EFCE"/>
            <w:noWrap/>
          </w:tcPr>
          <w:p w14:paraId="17F6E4BB"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Toetusesaajatele antud puudetunnistuste arv</w:t>
            </w:r>
          </w:p>
        </w:tc>
        <w:tc>
          <w:tcPr>
            <w:tcW w:w="1035" w:type="dxa"/>
            <w:tcBorders>
              <w:top w:val="nil"/>
              <w:left w:val="nil"/>
              <w:bottom w:val="single" w:sz="4" w:space="0" w:color="auto"/>
              <w:right w:val="single" w:sz="4" w:space="0" w:color="auto"/>
            </w:tcBorders>
            <w:shd w:val="clear" w:color="auto" w:fill="C6EFCE"/>
            <w:noWrap/>
          </w:tcPr>
          <w:p w14:paraId="75B19A2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0</w:t>
            </w:r>
          </w:p>
        </w:tc>
        <w:tc>
          <w:tcPr>
            <w:tcW w:w="952" w:type="dxa"/>
            <w:tcBorders>
              <w:top w:val="nil"/>
              <w:left w:val="nil"/>
              <w:bottom w:val="single" w:sz="4" w:space="0" w:color="auto"/>
              <w:right w:val="single" w:sz="4" w:space="0" w:color="auto"/>
            </w:tcBorders>
            <w:shd w:val="clear" w:color="auto" w:fill="C6EFCE"/>
            <w:noWrap/>
          </w:tcPr>
          <w:p w14:paraId="397370D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80 000</w:t>
            </w:r>
          </w:p>
        </w:tc>
        <w:tc>
          <w:tcPr>
            <w:tcW w:w="850" w:type="dxa"/>
            <w:tcBorders>
              <w:top w:val="nil"/>
              <w:left w:val="nil"/>
              <w:bottom w:val="single" w:sz="4" w:space="0" w:color="auto"/>
              <w:right w:val="single" w:sz="4" w:space="0" w:color="auto"/>
            </w:tcBorders>
            <w:shd w:val="clear" w:color="auto" w:fill="C6EFCE"/>
            <w:noWrap/>
          </w:tcPr>
          <w:p w14:paraId="1CBC6ABB"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03574920" w14:textId="77777777" w:rsidR="00764877" w:rsidRPr="00E02B5D" w:rsidRDefault="00764877">
            <w:pPr>
              <w:spacing w:before="120" w:after="0" w:line="240" w:lineRule="auto"/>
              <w:rPr>
                <w:rFonts w:eastAsia="Times New Roman" w:cs="Calibri"/>
                <w:noProof/>
                <w:color w:val="006100"/>
                <w:sz w:val="18"/>
                <w:szCs w:val="18"/>
              </w:rPr>
            </w:pPr>
            <w:r>
              <w:rPr>
                <w:noProof/>
                <w:color w:val="006100"/>
                <w:sz w:val="18"/>
              </w:rPr>
              <w:t>2025</w:t>
            </w:r>
          </w:p>
        </w:tc>
        <w:tc>
          <w:tcPr>
            <w:tcW w:w="2410" w:type="dxa"/>
            <w:tcBorders>
              <w:top w:val="single" w:sz="4" w:space="0" w:color="auto"/>
              <w:left w:val="nil"/>
              <w:bottom w:val="single" w:sz="4" w:space="0" w:color="auto"/>
              <w:right w:val="single" w:sz="4" w:space="0" w:color="auto"/>
            </w:tcBorders>
            <w:shd w:val="clear" w:color="auto" w:fill="C6EFCE"/>
            <w:noWrap/>
          </w:tcPr>
          <w:p w14:paraId="469D052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Korraldusasutus on toetusesaajatele välja andnud 80 000 puudega isiku kaarti.</w:t>
            </w:r>
          </w:p>
          <w:p w14:paraId="10DB694F" w14:textId="11F05065" w:rsidR="00764877" w:rsidRPr="00AD4052" w:rsidRDefault="00764877" w:rsidP="00D16F13">
            <w:pPr>
              <w:spacing w:before="120" w:after="0" w:line="240" w:lineRule="auto"/>
              <w:rPr>
                <w:rFonts w:eastAsia="Times New Roman" w:cs="Calibri"/>
                <w:noProof/>
                <w:color w:val="006100"/>
                <w:sz w:val="18"/>
                <w:szCs w:val="18"/>
              </w:rPr>
            </w:pPr>
          </w:p>
          <w:p w14:paraId="4C63C1C2"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Puudega isiku kaart sisaldab konkreetseid õigusi/hüvitisi ja aitab puuetega inimestel igapäevaelus osaleda. </w:t>
            </w:r>
          </w:p>
          <w:p w14:paraId="2A0D02F3" w14:textId="77777777" w:rsidR="00764877" w:rsidRPr="00AD4052" w:rsidRDefault="00764877" w:rsidP="00D16F13">
            <w:pPr>
              <w:spacing w:before="120" w:after="0" w:line="240" w:lineRule="auto"/>
              <w:rPr>
                <w:rFonts w:eastAsia="Times New Roman" w:cs="Calibri"/>
                <w:noProof/>
                <w:color w:val="006100"/>
                <w:sz w:val="18"/>
                <w:szCs w:val="18"/>
                <w:highlight w:val="yellow"/>
                <w:lang w:eastAsia="en-GB"/>
              </w:rPr>
            </w:pPr>
          </w:p>
          <w:p w14:paraId="5036E517"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Lepingu väljundite (puudekaartide väljatöötamine) aktsepteerimine haldaja/tellija poolt ja korraldusasutuse kinnitus 80 000 puudekaardi üleandmise kohta toetusesaajatele</w:t>
            </w:r>
          </w:p>
          <w:p w14:paraId="64FF81C3"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r>
      <w:tr w:rsidR="00C23759" w:rsidRPr="003B132A" w14:paraId="7EBEE75B" w14:textId="77777777" w:rsidTr="00C23759">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6AF0FE7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182a</w:t>
            </w:r>
          </w:p>
        </w:tc>
        <w:tc>
          <w:tcPr>
            <w:tcW w:w="2456" w:type="dxa"/>
            <w:tcBorders>
              <w:top w:val="nil"/>
              <w:left w:val="nil"/>
              <w:bottom w:val="single" w:sz="4" w:space="0" w:color="auto"/>
              <w:right w:val="single" w:sz="4" w:space="0" w:color="auto"/>
            </w:tcBorders>
            <w:shd w:val="clear" w:color="auto" w:fill="C6EFCE"/>
            <w:noWrap/>
          </w:tcPr>
          <w:p w14:paraId="3A5ED9F2"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16925_Sotsiaaltoetussüsteemi digitaalne ümberkujundamine</w:t>
            </w:r>
          </w:p>
        </w:tc>
        <w:tc>
          <w:tcPr>
            <w:tcW w:w="992" w:type="dxa"/>
            <w:tcBorders>
              <w:top w:val="nil"/>
              <w:left w:val="nil"/>
              <w:bottom w:val="single" w:sz="4" w:space="0" w:color="auto"/>
              <w:right w:val="single" w:sz="4" w:space="0" w:color="auto"/>
            </w:tcBorders>
            <w:shd w:val="clear" w:color="auto" w:fill="C6EFCE"/>
            <w:noWrap/>
          </w:tcPr>
          <w:p w14:paraId="63DBF41A"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Eesmärk</w:t>
            </w:r>
          </w:p>
        </w:tc>
        <w:tc>
          <w:tcPr>
            <w:tcW w:w="1765" w:type="dxa"/>
            <w:tcBorders>
              <w:top w:val="nil"/>
              <w:left w:val="nil"/>
              <w:bottom w:val="single" w:sz="4" w:space="0" w:color="auto"/>
              <w:right w:val="single" w:sz="4" w:space="0" w:color="auto"/>
            </w:tcBorders>
            <w:shd w:val="clear" w:color="auto" w:fill="C6EFCE"/>
            <w:noWrap/>
          </w:tcPr>
          <w:p w14:paraId="0830657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Ühtne digitaalse juurdepääsu portaal, digitaalne koolitus, avaliku kinnisvara täielik inventuur</w:t>
            </w:r>
          </w:p>
        </w:tc>
        <w:tc>
          <w:tcPr>
            <w:tcW w:w="2020" w:type="dxa"/>
            <w:tcBorders>
              <w:top w:val="nil"/>
              <w:left w:val="nil"/>
              <w:bottom w:val="single" w:sz="4" w:space="0" w:color="auto"/>
              <w:right w:val="single" w:sz="4" w:space="0" w:color="auto"/>
            </w:tcBorders>
            <w:shd w:val="clear" w:color="auto" w:fill="C6EFCE"/>
            <w:noWrap/>
          </w:tcPr>
          <w:p w14:paraId="43B11571"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Sotsiaal- ja perekonnaministeeriumi aruanne projektide lõpuleviimise kohta</w:t>
            </w:r>
          </w:p>
        </w:tc>
        <w:tc>
          <w:tcPr>
            <w:tcW w:w="1992" w:type="dxa"/>
            <w:tcBorders>
              <w:top w:val="nil"/>
              <w:left w:val="nil"/>
              <w:bottom w:val="single" w:sz="4" w:space="0" w:color="auto"/>
              <w:right w:val="single" w:sz="4" w:space="0" w:color="auto"/>
            </w:tcBorders>
            <w:shd w:val="clear" w:color="auto" w:fill="C6EFCE"/>
            <w:noWrap/>
          </w:tcPr>
          <w:p w14:paraId="7B906504"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035" w:type="dxa"/>
            <w:tcBorders>
              <w:top w:val="nil"/>
              <w:left w:val="nil"/>
              <w:bottom w:val="single" w:sz="4" w:space="0" w:color="auto"/>
              <w:right w:val="single" w:sz="4" w:space="0" w:color="auto"/>
            </w:tcBorders>
            <w:shd w:val="clear" w:color="auto" w:fill="C6EFCE"/>
            <w:noWrap/>
          </w:tcPr>
          <w:p w14:paraId="6D8049E7"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952" w:type="dxa"/>
            <w:tcBorders>
              <w:top w:val="nil"/>
              <w:left w:val="nil"/>
              <w:bottom w:val="single" w:sz="4" w:space="0" w:color="auto"/>
              <w:right w:val="single" w:sz="4" w:space="0" w:color="auto"/>
            </w:tcBorders>
            <w:shd w:val="clear" w:color="auto" w:fill="C6EFCE"/>
            <w:noWrap/>
          </w:tcPr>
          <w:p w14:paraId="6DA02212"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14:paraId="3347EFD2"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69C818B0"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2025</w:t>
            </w:r>
          </w:p>
        </w:tc>
        <w:tc>
          <w:tcPr>
            <w:tcW w:w="2410" w:type="dxa"/>
            <w:tcBorders>
              <w:top w:val="nil"/>
              <w:left w:val="nil"/>
              <w:bottom w:val="single" w:sz="4" w:space="0" w:color="auto"/>
              <w:right w:val="single" w:sz="4" w:space="0" w:color="auto"/>
            </w:tcBorders>
            <w:shd w:val="clear" w:color="auto" w:fill="C6EFCE"/>
            <w:noWrap/>
          </w:tcPr>
          <w:p w14:paraId="3C680A21" w14:textId="77777777" w:rsidR="00764877" w:rsidRPr="00E02B5D" w:rsidRDefault="00764877" w:rsidP="00D16F13">
            <w:pPr>
              <w:spacing w:after="0" w:line="240" w:lineRule="auto"/>
              <w:jc w:val="both"/>
              <w:textAlignment w:val="baseline"/>
              <w:rPr>
                <w:rFonts w:eastAsia="Times New Roman" w:cs="Calibri"/>
                <w:noProof/>
                <w:color w:val="006100"/>
                <w:sz w:val="18"/>
                <w:szCs w:val="18"/>
              </w:rPr>
            </w:pPr>
            <w:r>
              <w:rPr>
                <w:noProof/>
                <w:color w:val="006100"/>
                <w:sz w:val="18"/>
              </w:rPr>
              <w:t>Järgmiste meetmete lõpuleviimine: </w:t>
            </w:r>
          </w:p>
          <w:p w14:paraId="7E5966EE" w14:textId="77777777" w:rsidR="00764877" w:rsidRPr="00E02B5D" w:rsidRDefault="00764877" w:rsidP="00D16F13">
            <w:pPr>
              <w:spacing w:after="0" w:line="240" w:lineRule="auto"/>
              <w:jc w:val="both"/>
              <w:textAlignment w:val="baseline"/>
              <w:rPr>
                <w:rFonts w:eastAsia="Times New Roman" w:cs="Calibri"/>
                <w:noProof/>
                <w:color w:val="006100"/>
                <w:sz w:val="18"/>
                <w:szCs w:val="18"/>
              </w:rPr>
            </w:pPr>
            <w:r>
              <w:rPr>
                <w:noProof/>
                <w:color w:val="006100"/>
                <w:sz w:val="18"/>
              </w:rPr>
              <w:t>a) sotsiaalkaitse ühtse digitaalse juurdepääsu portaali loomine, mis integreerib olemasolevad rahalised sotsiaalabihüvitised elektrooniliste taotlusvormide kaudu ühtsesse digitaalsesse portaali;  </w:t>
            </w:r>
          </w:p>
          <w:p w14:paraId="46CEBB96" w14:textId="77777777" w:rsidR="00764877" w:rsidRPr="00E02B5D" w:rsidRDefault="00764877" w:rsidP="00D16F13">
            <w:pPr>
              <w:spacing w:after="0" w:line="240" w:lineRule="auto"/>
              <w:jc w:val="both"/>
              <w:textAlignment w:val="baseline"/>
              <w:rPr>
                <w:rFonts w:eastAsia="Times New Roman" w:cs="Calibri"/>
                <w:noProof/>
                <w:color w:val="006100"/>
                <w:sz w:val="18"/>
                <w:szCs w:val="18"/>
              </w:rPr>
            </w:pPr>
            <w:r>
              <w:rPr>
                <w:noProof/>
                <w:color w:val="006100"/>
                <w:sz w:val="18"/>
              </w:rPr>
              <w:t>b) Luua puudega inimeste toetusi käsitlev riiklik ühtne kontaktpunkt, mis võimaldab hüvitise saajatele veebipõhist juurdepääsu isikuandmetele ja hüvitistele ning väljastab tõendeid;  </w:t>
            </w:r>
          </w:p>
          <w:p w14:paraId="03FF3E8A" w14:textId="77777777" w:rsidR="00764877" w:rsidRPr="00E02B5D" w:rsidRDefault="00764877" w:rsidP="00D16F13">
            <w:pPr>
              <w:spacing w:after="0" w:line="240" w:lineRule="auto"/>
              <w:jc w:val="both"/>
              <w:textAlignment w:val="baseline"/>
              <w:rPr>
                <w:rFonts w:eastAsia="Times New Roman" w:cs="Calibri"/>
                <w:noProof/>
                <w:color w:val="006100"/>
                <w:sz w:val="18"/>
                <w:szCs w:val="18"/>
              </w:rPr>
            </w:pPr>
            <w:r>
              <w:rPr>
                <w:noProof/>
                <w:color w:val="006100"/>
                <w:sz w:val="18"/>
              </w:rPr>
              <w:t xml:space="preserve">sotsiaalteenuste 720 töötaja digikoolituse pakkumine; </w:t>
            </w:r>
          </w:p>
          <w:p w14:paraId="720EEDD3" w14:textId="77777777" w:rsidR="00764877" w:rsidRPr="00E02B5D" w:rsidRDefault="00764877" w:rsidP="00D16F13">
            <w:pPr>
              <w:spacing w:after="0" w:line="240" w:lineRule="auto"/>
              <w:jc w:val="both"/>
              <w:textAlignment w:val="baseline"/>
              <w:rPr>
                <w:rFonts w:eastAsia="Times New Roman" w:cs="Calibri"/>
                <w:noProof/>
                <w:color w:val="006100"/>
                <w:sz w:val="18"/>
                <w:szCs w:val="18"/>
              </w:rPr>
            </w:pPr>
            <w:r>
              <w:rPr>
                <w:noProof/>
                <w:color w:val="006100"/>
                <w:sz w:val="18"/>
              </w:rPr>
              <w:t>d) Sotsiaalkaitseteenustega seotud riikliku kinnisvara täieliku inventuuri koostamine. </w:t>
            </w:r>
          </w:p>
          <w:p w14:paraId="41C6B29C"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r>
      <w:tr w:rsidR="00C23759" w:rsidRPr="003B132A" w14:paraId="61DA1960" w14:textId="77777777" w:rsidTr="00C23759">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7CBE8258"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183</w:t>
            </w:r>
          </w:p>
        </w:tc>
        <w:tc>
          <w:tcPr>
            <w:tcW w:w="2456" w:type="dxa"/>
            <w:tcBorders>
              <w:top w:val="nil"/>
              <w:left w:val="nil"/>
              <w:bottom w:val="single" w:sz="4" w:space="0" w:color="auto"/>
              <w:right w:val="single" w:sz="4" w:space="0" w:color="auto"/>
            </w:tcBorders>
            <w:shd w:val="clear" w:color="auto" w:fill="C6EFCE"/>
            <w:noWrap/>
          </w:tcPr>
          <w:p w14:paraId="339B6693"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16922_Sotsiaalne integratsioon</w:t>
            </w:r>
          </w:p>
        </w:tc>
        <w:tc>
          <w:tcPr>
            <w:tcW w:w="992" w:type="dxa"/>
            <w:tcBorders>
              <w:top w:val="nil"/>
              <w:left w:val="nil"/>
              <w:bottom w:val="single" w:sz="4" w:space="0" w:color="auto"/>
              <w:right w:val="single" w:sz="4" w:space="0" w:color="auto"/>
            </w:tcBorders>
            <w:shd w:val="clear" w:color="auto" w:fill="C6EFCE"/>
            <w:noWrap/>
          </w:tcPr>
          <w:p w14:paraId="6BBAF1F0"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Siht</w:t>
            </w:r>
          </w:p>
        </w:tc>
        <w:tc>
          <w:tcPr>
            <w:tcW w:w="1765" w:type="dxa"/>
            <w:tcBorders>
              <w:top w:val="nil"/>
              <w:left w:val="nil"/>
              <w:bottom w:val="single" w:sz="4" w:space="0" w:color="auto"/>
              <w:right w:val="single" w:sz="4" w:space="0" w:color="auto"/>
            </w:tcBorders>
            <w:shd w:val="clear" w:color="auto" w:fill="C6EFCE"/>
            <w:noWrap/>
          </w:tcPr>
          <w:p w14:paraId="7DE06A89"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Sotsiaalse integratsiooniga seotud garanteeritud miinimumsissetuleku abisaajad kodutud </w:t>
            </w:r>
          </w:p>
          <w:p w14:paraId="25640EC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täitmine</w:t>
            </w:r>
          </w:p>
        </w:tc>
        <w:tc>
          <w:tcPr>
            <w:tcW w:w="2020" w:type="dxa"/>
            <w:tcBorders>
              <w:top w:val="nil"/>
              <w:left w:val="nil"/>
              <w:bottom w:val="single" w:sz="4" w:space="0" w:color="auto"/>
              <w:right w:val="single" w:sz="4" w:space="0" w:color="auto"/>
            </w:tcBorders>
            <w:shd w:val="clear" w:color="auto" w:fill="C6EFCE"/>
            <w:noWrap/>
          </w:tcPr>
          <w:p w14:paraId="0A975EEE" w14:textId="77777777" w:rsidR="00764877" w:rsidRPr="00E02B5D" w:rsidRDefault="00764877" w:rsidP="00D16F13">
            <w:pPr>
              <w:spacing w:before="120" w:after="0" w:line="240" w:lineRule="auto"/>
              <w:rPr>
                <w:rFonts w:eastAsia="Times New Roman" w:cs="Calibri"/>
                <w:noProof/>
                <w:color w:val="006100"/>
                <w:sz w:val="18"/>
                <w:szCs w:val="18"/>
                <w:lang w:val="en-GB" w:eastAsia="en-GB"/>
              </w:rPr>
            </w:pPr>
          </w:p>
        </w:tc>
        <w:tc>
          <w:tcPr>
            <w:tcW w:w="1992" w:type="dxa"/>
            <w:tcBorders>
              <w:top w:val="nil"/>
              <w:left w:val="nil"/>
              <w:bottom w:val="single" w:sz="4" w:space="0" w:color="auto"/>
              <w:right w:val="single" w:sz="4" w:space="0" w:color="auto"/>
            </w:tcBorders>
            <w:shd w:val="clear" w:color="auto" w:fill="C6EFCE"/>
            <w:noWrap/>
          </w:tcPr>
          <w:p w14:paraId="6C218F40"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Tagatud miinimumsissetuleku saajate ja sertifitseeritud osalusega kodutute arv</w:t>
            </w:r>
          </w:p>
        </w:tc>
        <w:tc>
          <w:tcPr>
            <w:tcW w:w="1035" w:type="dxa"/>
            <w:tcBorders>
              <w:top w:val="nil"/>
              <w:left w:val="nil"/>
              <w:bottom w:val="single" w:sz="4" w:space="0" w:color="auto"/>
              <w:right w:val="single" w:sz="4" w:space="0" w:color="auto"/>
            </w:tcBorders>
            <w:shd w:val="clear" w:color="auto" w:fill="C6EFCE"/>
            <w:noWrap/>
          </w:tcPr>
          <w:p w14:paraId="5E816C54"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0</w:t>
            </w:r>
          </w:p>
        </w:tc>
        <w:tc>
          <w:tcPr>
            <w:tcW w:w="952" w:type="dxa"/>
            <w:tcBorders>
              <w:top w:val="nil"/>
              <w:left w:val="nil"/>
              <w:bottom w:val="single" w:sz="4" w:space="0" w:color="auto"/>
              <w:right w:val="single" w:sz="4" w:space="0" w:color="auto"/>
            </w:tcBorders>
            <w:shd w:val="clear" w:color="auto" w:fill="C6EFCE"/>
            <w:noWrap/>
          </w:tcPr>
          <w:p w14:paraId="2625C9E1"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7 000</w:t>
            </w:r>
          </w:p>
        </w:tc>
        <w:tc>
          <w:tcPr>
            <w:tcW w:w="850" w:type="dxa"/>
            <w:tcBorders>
              <w:top w:val="nil"/>
              <w:left w:val="nil"/>
              <w:bottom w:val="single" w:sz="4" w:space="0" w:color="auto"/>
              <w:right w:val="single" w:sz="4" w:space="0" w:color="auto"/>
            </w:tcBorders>
            <w:shd w:val="clear" w:color="auto" w:fill="C6EFCE"/>
            <w:noWrap/>
          </w:tcPr>
          <w:p w14:paraId="12BE7DC7"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30EC083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2025</w:t>
            </w:r>
          </w:p>
        </w:tc>
        <w:tc>
          <w:tcPr>
            <w:tcW w:w="2410" w:type="dxa"/>
            <w:tcBorders>
              <w:top w:val="nil"/>
              <w:left w:val="nil"/>
              <w:bottom w:val="single" w:sz="4" w:space="0" w:color="auto"/>
              <w:right w:val="single" w:sz="4" w:space="0" w:color="auto"/>
            </w:tcBorders>
            <w:shd w:val="clear" w:color="auto" w:fill="C6EFCE"/>
            <w:noWrap/>
          </w:tcPr>
          <w:p w14:paraId="6A052144"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7 000 tagatud miinimumsissetuleku saajate ja kodutute koolitus- ja tööhõive toetusprogrammi edukas lõpuleviimine ning omandatud oskuste sertifitseerimine riikliku organisatsiooni poolt </w:t>
            </w:r>
          </w:p>
        </w:tc>
      </w:tr>
      <w:tr w:rsidR="00C23759" w:rsidRPr="00E02B5D" w14:paraId="6F2A59AC" w14:textId="77777777" w:rsidTr="00C23759">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070C5264"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184</w:t>
            </w:r>
          </w:p>
        </w:tc>
        <w:tc>
          <w:tcPr>
            <w:tcW w:w="2456" w:type="dxa"/>
            <w:tcBorders>
              <w:top w:val="nil"/>
              <w:left w:val="nil"/>
              <w:bottom w:val="single" w:sz="4" w:space="0" w:color="auto"/>
              <w:right w:val="single" w:sz="4" w:space="0" w:color="auto"/>
            </w:tcBorders>
            <w:shd w:val="clear" w:color="auto" w:fill="C6EFCE"/>
            <w:noWrap/>
          </w:tcPr>
          <w:p w14:paraId="7EC189FC" w14:textId="0045B085"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16685</w:t>
            </w:r>
            <w:r w:rsidR="00C23759">
              <w:rPr>
                <w:noProof/>
                <w:color w:val="006100"/>
                <w:sz w:val="18"/>
              </w:rPr>
              <w:t>_</w:t>
            </w:r>
            <w:r>
              <w:rPr>
                <w:noProof/>
                <w:color w:val="006100"/>
                <w:sz w:val="18"/>
              </w:rPr>
              <w:t>Mitmekesisuse teadvustamine</w:t>
            </w:r>
          </w:p>
        </w:tc>
        <w:tc>
          <w:tcPr>
            <w:tcW w:w="992" w:type="dxa"/>
            <w:tcBorders>
              <w:top w:val="nil"/>
              <w:left w:val="nil"/>
              <w:bottom w:val="single" w:sz="4" w:space="0" w:color="auto"/>
              <w:right w:val="single" w:sz="4" w:space="0" w:color="auto"/>
            </w:tcBorders>
            <w:shd w:val="clear" w:color="auto" w:fill="C6EFCE"/>
            <w:noWrap/>
          </w:tcPr>
          <w:p w14:paraId="61D78992"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Siht</w:t>
            </w:r>
          </w:p>
        </w:tc>
        <w:tc>
          <w:tcPr>
            <w:tcW w:w="1765" w:type="dxa"/>
            <w:tcBorders>
              <w:top w:val="nil"/>
              <w:left w:val="nil"/>
              <w:bottom w:val="single" w:sz="4" w:space="0" w:color="auto"/>
              <w:right w:val="single" w:sz="4" w:space="0" w:color="auto"/>
            </w:tcBorders>
            <w:shd w:val="clear" w:color="auto" w:fill="C6EFCE"/>
            <w:noWrap/>
          </w:tcPr>
          <w:p w14:paraId="24C59E27"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Mitmekesisuse teadvustamise valdkonna juhtide koolituse läbimine eesliinil</w:t>
            </w:r>
          </w:p>
        </w:tc>
        <w:tc>
          <w:tcPr>
            <w:tcW w:w="2020" w:type="dxa"/>
            <w:tcBorders>
              <w:top w:val="nil"/>
              <w:left w:val="nil"/>
              <w:bottom w:val="single" w:sz="4" w:space="0" w:color="auto"/>
              <w:right w:val="single" w:sz="4" w:space="0" w:color="auto"/>
            </w:tcBorders>
            <w:shd w:val="clear" w:color="auto" w:fill="C6EFCE"/>
            <w:noWrap/>
          </w:tcPr>
          <w:p w14:paraId="4C50F829"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992" w:type="dxa"/>
            <w:tcBorders>
              <w:top w:val="nil"/>
              <w:left w:val="nil"/>
              <w:bottom w:val="single" w:sz="4" w:space="0" w:color="auto"/>
              <w:right w:val="single" w:sz="4" w:space="0" w:color="auto"/>
            </w:tcBorders>
            <w:shd w:val="clear" w:color="auto" w:fill="C6EFCE"/>
            <w:noWrap/>
          </w:tcPr>
          <w:p w14:paraId="594D2D5C"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Sertifitseeritud koolitusel osalevate juhtide ja front office’i töötajate arv</w:t>
            </w:r>
          </w:p>
        </w:tc>
        <w:tc>
          <w:tcPr>
            <w:tcW w:w="1035" w:type="dxa"/>
            <w:tcBorders>
              <w:top w:val="nil"/>
              <w:left w:val="nil"/>
              <w:bottom w:val="single" w:sz="4" w:space="0" w:color="auto"/>
              <w:right w:val="single" w:sz="4" w:space="0" w:color="auto"/>
            </w:tcBorders>
            <w:shd w:val="clear" w:color="auto" w:fill="C6EFCE"/>
            <w:noWrap/>
          </w:tcPr>
          <w:p w14:paraId="00D214EB"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0</w:t>
            </w:r>
          </w:p>
        </w:tc>
        <w:tc>
          <w:tcPr>
            <w:tcW w:w="952" w:type="dxa"/>
            <w:tcBorders>
              <w:top w:val="nil"/>
              <w:left w:val="nil"/>
              <w:bottom w:val="single" w:sz="4" w:space="0" w:color="auto"/>
              <w:right w:val="single" w:sz="4" w:space="0" w:color="auto"/>
            </w:tcBorders>
            <w:shd w:val="clear" w:color="auto" w:fill="C6EFCE"/>
            <w:noWrap/>
          </w:tcPr>
          <w:p w14:paraId="16791D77"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80 000</w:t>
            </w:r>
          </w:p>
        </w:tc>
        <w:tc>
          <w:tcPr>
            <w:tcW w:w="850" w:type="dxa"/>
            <w:tcBorders>
              <w:top w:val="nil"/>
              <w:left w:val="nil"/>
              <w:bottom w:val="single" w:sz="4" w:space="0" w:color="auto"/>
              <w:right w:val="single" w:sz="4" w:space="0" w:color="auto"/>
            </w:tcBorders>
            <w:shd w:val="clear" w:color="auto" w:fill="C6EFCE"/>
            <w:noWrap/>
          </w:tcPr>
          <w:p w14:paraId="3F6C2A82"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3. kv</w:t>
            </w:r>
          </w:p>
        </w:tc>
        <w:tc>
          <w:tcPr>
            <w:tcW w:w="709" w:type="dxa"/>
            <w:tcBorders>
              <w:top w:val="nil"/>
              <w:left w:val="nil"/>
              <w:bottom w:val="single" w:sz="4" w:space="0" w:color="auto"/>
              <w:right w:val="single" w:sz="4" w:space="0" w:color="auto"/>
            </w:tcBorders>
            <w:shd w:val="clear" w:color="auto" w:fill="C6EFCE"/>
            <w:noWrap/>
          </w:tcPr>
          <w:p w14:paraId="33A79F1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2024</w:t>
            </w:r>
          </w:p>
        </w:tc>
        <w:tc>
          <w:tcPr>
            <w:tcW w:w="2410" w:type="dxa"/>
            <w:tcBorders>
              <w:top w:val="nil"/>
              <w:left w:val="nil"/>
              <w:bottom w:val="single" w:sz="4" w:space="0" w:color="auto"/>
              <w:right w:val="single" w:sz="4" w:space="0" w:color="auto"/>
            </w:tcBorders>
            <w:shd w:val="clear" w:color="auto" w:fill="C6EFCE"/>
            <w:noWrap/>
          </w:tcPr>
          <w:p w14:paraId="40903AFC"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Mitmekesisust käsitleva koolitusprogrammi lõpuleviimine 80 000 juhi ja front office’i töötaja jaoks ning sertifitseerimine. </w:t>
            </w:r>
          </w:p>
          <w:p w14:paraId="78339D6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Koolitusprogrammi eesmärk on suurendada teadlikkust mitmekesisuse eri mõõtmetest ja eelistest. See peab olema asjakohaselt kavandatud ja diferentseeritud vastavalt sihtrühmale (kõrgemad juhid, keskastme juhid, front office’i tegevjuhid ja back office’i tegevjuhid). Osalemine peab toimuma vahemaa tagant (platvormi kaudu) ja asünkroonselt.</w:t>
            </w:r>
          </w:p>
        </w:tc>
      </w:tr>
      <w:tr w:rsidR="00C23759" w:rsidRPr="003B132A" w14:paraId="4DA3D387" w14:textId="77777777" w:rsidTr="00C23759">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46BF12F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184a</w:t>
            </w:r>
          </w:p>
        </w:tc>
        <w:tc>
          <w:tcPr>
            <w:tcW w:w="2456" w:type="dxa"/>
            <w:tcBorders>
              <w:top w:val="nil"/>
              <w:left w:val="nil"/>
              <w:bottom w:val="single" w:sz="4" w:space="0" w:color="auto"/>
              <w:right w:val="single" w:sz="4" w:space="0" w:color="auto"/>
            </w:tcBorders>
            <w:shd w:val="clear" w:color="auto" w:fill="C6EFCE"/>
            <w:noWrap/>
          </w:tcPr>
          <w:p w14:paraId="2B488FB0" w14:textId="37636095"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16685</w:t>
            </w:r>
            <w:r w:rsidR="00C23759">
              <w:rPr>
                <w:noProof/>
                <w:color w:val="006100"/>
                <w:sz w:val="18"/>
              </w:rPr>
              <w:t>_</w:t>
            </w:r>
            <w:r>
              <w:rPr>
                <w:noProof/>
                <w:color w:val="006100"/>
                <w:sz w:val="18"/>
              </w:rPr>
              <w:t>Mitmekesisuse teadvustamine</w:t>
            </w:r>
          </w:p>
        </w:tc>
        <w:tc>
          <w:tcPr>
            <w:tcW w:w="992" w:type="dxa"/>
            <w:tcBorders>
              <w:top w:val="nil"/>
              <w:left w:val="nil"/>
              <w:bottom w:val="single" w:sz="4" w:space="0" w:color="auto"/>
              <w:right w:val="single" w:sz="4" w:space="0" w:color="auto"/>
            </w:tcBorders>
            <w:shd w:val="clear" w:color="auto" w:fill="C6EFCE"/>
            <w:noWrap/>
          </w:tcPr>
          <w:p w14:paraId="19BD1E9E"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Eesmärk</w:t>
            </w:r>
          </w:p>
        </w:tc>
        <w:tc>
          <w:tcPr>
            <w:tcW w:w="1765" w:type="dxa"/>
            <w:tcBorders>
              <w:top w:val="nil"/>
              <w:left w:val="nil"/>
              <w:bottom w:val="single" w:sz="4" w:space="0" w:color="auto"/>
              <w:right w:val="single" w:sz="4" w:space="0" w:color="auto"/>
            </w:tcBorders>
            <w:shd w:val="clear" w:color="auto" w:fill="C6EFCE"/>
            <w:noWrap/>
          </w:tcPr>
          <w:p w14:paraId="074C5869"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Võrdõiguslikkuse ja diskrimineerimise töörühm, võrdõiguslikkuse vaatluskeskus, auhinnasüsteem</w:t>
            </w:r>
          </w:p>
        </w:tc>
        <w:tc>
          <w:tcPr>
            <w:tcW w:w="2020" w:type="dxa"/>
            <w:tcBorders>
              <w:top w:val="nil"/>
              <w:left w:val="nil"/>
              <w:bottom w:val="single" w:sz="4" w:space="0" w:color="auto"/>
              <w:right w:val="single" w:sz="4" w:space="0" w:color="auto"/>
            </w:tcBorders>
            <w:shd w:val="clear" w:color="auto" w:fill="C6EFCE"/>
            <w:noWrap/>
          </w:tcPr>
          <w:p w14:paraId="16E872CA"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Sotsiaalse ühtekuuluvuse ja pereministeeriumi aruanne projektide lõpuleviimise kohta</w:t>
            </w:r>
          </w:p>
        </w:tc>
        <w:tc>
          <w:tcPr>
            <w:tcW w:w="1992" w:type="dxa"/>
            <w:tcBorders>
              <w:top w:val="nil"/>
              <w:left w:val="nil"/>
              <w:bottom w:val="single" w:sz="4" w:space="0" w:color="auto"/>
              <w:right w:val="single" w:sz="4" w:space="0" w:color="auto"/>
            </w:tcBorders>
            <w:shd w:val="clear" w:color="auto" w:fill="C6EFCE"/>
            <w:noWrap/>
          </w:tcPr>
          <w:p w14:paraId="6E885D29"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035" w:type="dxa"/>
            <w:tcBorders>
              <w:top w:val="nil"/>
              <w:left w:val="nil"/>
              <w:bottom w:val="single" w:sz="4" w:space="0" w:color="auto"/>
              <w:right w:val="single" w:sz="4" w:space="0" w:color="auto"/>
            </w:tcBorders>
            <w:shd w:val="clear" w:color="auto" w:fill="C6EFCE"/>
            <w:noWrap/>
          </w:tcPr>
          <w:p w14:paraId="006AED6D"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952" w:type="dxa"/>
            <w:tcBorders>
              <w:top w:val="nil"/>
              <w:left w:val="nil"/>
              <w:bottom w:val="single" w:sz="4" w:space="0" w:color="auto"/>
              <w:right w:val="single" w:sz="4" w:space="0" w:color="auto"/>
            </w:tcBorders>
            <w:shd w:val="clear" w:color="auto" w:fill="C6EFCE"/>
            <w:noWrap/>
          </w:tcPr>
          <w:p w14:paraId="21232812"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14:paraId="5CC4FA3A"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 kv</w:t>
            </w:r>
          </w:p>
        </w:tc>
        <w:tc>
          <w:tcPr>
            <w:tcW w:w="709" w:type="dxa"/>
            <w:tcBorders>
              <w:top w:val="nil"/>
              <w:left w:val="nil"/>
              <w:bottom w:val="single" w:sz="4" w:space="0" w:color="auto"/>
              <w:right w:val="single" w:sz="4" w:space="0" w:color="auto"/>
            </w:tcBorders>
            <w:shd w:val="clear" w:color="auto" w:fill="C6EFCE"/>
            <w:noWrap/>
          </w:tcPr>
          <w:p w14:paraId="0BC0778D"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2025</w:t>
            </w:r>
          </w:p>
        </w:tc>
        <w:tc>
          <w:tcPr>
            <w:tcW w:w="2410" w:type="dxa"/>
            <w:tcBorders>
              <w:top w:val="nil"/>
              <w:left w:val="nil"/>
              <w:bottom w:val="single" w:sz="4" w:space="0" w:color="auto"/>
              <w:right w:val="single" w:sz="4" w:space="0" w:color="auto"/>
            </w:tcBorders>
            <w:shd w:val="clear" w:color="auto" w:fill="C6EFCE"/>
            <w:noWrap/>
          </w:tcPr>
          <w:p w14:paraId="71B70A60"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Töörühma loomine võrdõiguslikkuse ja diskrimineerimise kohta asjakohaste statistiliste andmete kogumiseks.  </w:t>
            </w:r>
          </w:p>
          <w:p w14:paraId="161600E2" w14:textId="77777777" w:rsidR="00764877" w:rsidRPr="00E02B5D" w:rsidRDefault="00764877" w:rsidP="00D16F13">
            <w:pPr>
              <w:spacing w:before="120" w:after="0" w:line="240" w:lineRule="auto"/>
              <w:rPr>
                <w:rFonts w:eastAsia="Times New Roman"/>
                <w:noProof/>
                <w:color w:val="006100"/>
                <w:sz w:val="18"/>
                <w:szCs w:val="18"/>
              </w:rPr>
            </w:pPr>
            <w:r>
              <w:rPr>
                <w:noProof/>
                <w:color w:val="006100"/>
                <w:sz w:val="18"/>
              </w:rPr>
              <w:t xml:space="preserve">Võrdõiguslikkuse vaatluskeskuse rolli suurendamist käsitlevate õigusaktide jõustumine. </w:t>
            </w:r>
          </w:p>
          <w:p w14:paraId="652CA941"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Head mitmekesisust ja kaasatust edendavate ettevõtete/organisatsioonide sertifitseerimis- ja hindamissüsteemi väljatöötamine.</w:t>
            </w:r>
          </w:p>
          <w:p w14:paraId="7D660391"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r>
      <w:tr w:rsidR="00C23759" w:rsidRPr="003B132A" w14:paraId="190DB569" w14:textId="77777777" w:rsidTr="00C23759">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20F6B3A4"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185</w:t>
            </w:r>
          </w:p>
        </w:tc>
        <w:tc>
          <w:tcPr>
            <w:tcW w:w="2456" w:type="dxa"/>
            <w:tcBorders>
              <w:top w:val="nil"/>
              <w:left w:val="nil"/>
              <w:bottom w:val="single" w:sz="4" w:space="0" w:color="auto"/>
              <w:right w:val="single" w:sz="4" w:space="0" w:color="auto"/>
            </w:tcBorders>
            <w:shd w:val="clear" w:color="auto" w:fill="C6EFCE"/>
            <w:noWrap/>
          </w:tcPr>
          <w:p w14:paraId="33566D00"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16763_Rände- ja varjupaigasüsteemi digitaalne ümberkujundamine</w:t>
            </w:r>
          </w:p>
        </w:tc>
        <w:tc>
          <w:tcPr>
            <w:tcW w:w="992" w:type="dxa"/>
            <w:tcBorders>
              <w:top w:val="nil"/>
              <w:left w:val="nil"/>
              <w:bottom w:val="single" w:sz="4" w:space="0" w:color="auto"/>
              <w:right w:val="single" w:sz="4" w:space="0" w:color="auto"/>
            </w:tcBorders>
            <w:shd w:val="clear" w:color="auto" w:fill="C6EFCE"/>
            <w:noWrap/>
          </w:tcPr>
          <w:p w14:paraId="15A06B59"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Eesmärk</w:t>
            </w:r>
          </w:p>
        </w:tc>
        <w:tc>
          <w:tcPr>
            <w:tcW w:w="1765" w:type="dxa"/>
            <w:tcBorders>
              <w:top w:val="nil"/>
              <w:left w:val="nil"/>
              <w:bottom w:val="single" w:sz="4" w:space="0" w:color="auto"/>
              <w:right w:val="single" w:sz="4" w:space="0" w:color="auto"/>
            </w:tcBorders>
            <w:shd w:val="clear" w:color="auto" w:fill="C6EFCE"/>
            <w:noWrap/>
          </w:tcPr>
          <w:p w14:paraId="464300B6" w14:textId="77777777" w:rsidR="00764877" w:rsidRPr="005221A5" w:rsidRDefault="00764877" w:rsidP="00D16F13">
            <w:pPr>
              <w:spacing w:before="120" w:after="0" w:line="240" w:lineRule="auto"/>
              <w:rPr>
                <w:rFonts w:eastAsia="Times New Roman" w:cs="Calibri"/>
                <w:noProof/>
                <w:color w:val="006100"/>
                <w:sz w:val="18"/>
                <w:szCs w:val="18"/>
              </w:rPr>
            </w:pPr>
            <w:r>
              <w:rPr>
                <w:noProof/>
                <w:color w:val="006100"/>
                <w:sz w:val="18"/>
              </w:rPr>
              <w:t>Rändealase varjupaigasüsteemi digitaliseerimise lõpuleviimine</w:t>
            </w:r>
          </w:p>
        </w:tc>
        <w:tc>
          <w:tcPr>
            <w:tcW w:w="2020" w:type="dxa"/>
            <w:tcBorders>
              <w:top w:val="nil"/>
              <w:left w:val="nil"/>
              <w:bottom w:val="single" w:sz="4" w:space="0" w:color="auto"/>
              <w:right w:val="single" w:sz="4" w:space="0" w:color="auto"/>
            </w:tcBorders>
            <w:shd w:val="clear" w:color="auto" w:fill="C6EFCE"/>
            <w:noWrap/>
          </w:tcPr>
          <w:p w14:paraId="137F159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Juhi/avaliku sektori hankija kinnitus väljundi vastuvõtmise kohta</w:t>
            </w:r>
          </w:p>
        </w:tc>
        <w:tc>
          <w:tcPr>
            <w:tcW w:w="1992" w:type="dxa"/>
            <w:tcBorders>
              <w:top w:val="nil"/>
              <w:left w:val="nil"/>
              <w:bottom w:val="single" w:sz="4" w:space="0" w:color="auto"/>
              <w:right w:val="single" w:sz="4" w:space="0" w:color="auto"/>
            </w:tcBorders>
            <w:shd w:val="clear" w:color="auto" w:fill="C6EFCE"/>
            <w:noWrap/>
          </w:tcPr>
          <w:p w14:paraId="0D6D1D87"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035" w:type="dxa"/>
            <w:tcBorders>
              <w:top w:val="nil"/>
              <w:left w:val="nil"/>
              <w:bottom w:val="single" w:sz="4" w:space="0" w:color="auto"/>
              <w:right w:val="single" w:sz="4" w:space="0" w:color="auto"/>
            </w:tcBorders>
            <w:shd w:val="clear" w:color="auto" w:fill="C6EFCE"/>
            <w:noWrap/>
          </w:tcPr>
          <w:p w14:paraId="2E127054"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952" w:type="dxa"/>
            <w:tcBorders>
              <w:top w:val="nil"/>
              <w:left w:val="nil"/>
              <w:bottom w:val="single" w:sz="4" w:space="0" w:color="auto"/>
              <w:right w:val="single" w:sz="4" w:space="0" w:color="auto"/>
            </w:tcBorders>
            <w:shd w:val="clear" w:color="auto" w:fill="C6EFCE"/>
            <w:noWrap/>
          </w:tcPr>
          <w:p w14:paraId="146C0768"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14:paraId="0F64DFCD"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tcPr>
          <w:p w14:paraId="2BEA65BC"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2024</w:t>
            </w:r>
          </w:p>
        </w:tc>
        <w:tc>
          <w:tcPr>
            <w:tcW w:w="2410" w:type="dxa"/>
            <w:tcBorders>
              <w:top w:val="nil"/>
              <w:left w:val="nil"/>
              <w:bottom w:val="single" w:sz="4" w:space="0" w:color="auto"/>
              <w:right w:val="single" w:sz="4" w:space="0" w:color="auto"/>
            </w:tcBorders>
            <w:shd w:val="clear" w:color="auto" w:fill="C6EFCE"/>
            <w:noWrap/>
          </w:tcPr>
          <w:p w14:paraId="5A4DA1DB"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Migratsiooni- ja varjupaigasüsteemi digitaliseerimise lõpuleviimine, milleks projektijuht/hankija kiidab heaks a) rände-, varjupaiga- ja detsentraliseeritud haldusasutuste kesktalituse seadusliku rände digiteerimis- ja dokumendihaldussüsteem ja b) integreeritud digitaalse rände teenuste osutamine</w:t>
            </w:r>
          </w:p>
          <w:p w14:paraId="6F47301D"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integreeritud tulekahju avastamise ja varajase hoiatamise süsteemi loomine Lesbosel Vastria metsaalal, kus asub pagulaslaager. Süsteem peab kasutama valguse avastamise ja hälbe (LIDAR) tehnoloogiat. </w:t>
            </w:r>
          </w:p>
        </w:tc>
      </w:tr>
      <w:tr w:rsidR="00C23759" w:rsidRPr="003B132A" w14:paraId="0BCBFF2B"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3DF52DC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186</w:t>
            </w:r>
          </w:p>
        </w:tc>
        <w:tc>
          <w:tcPr>
            <w:tcW w:w="2456" w:type="dxa"/>
            <w:tcBorders>
              <w:top w:val="single" w:sz="4" w:space="0" w:color="auto"/>
              <w:left w:val="nil"/>
              <w:bottom w:val="single" w:sz="4" w:space="0" w:color="auto"/>
              <w:right w:val="single" w:sz="4" w:space="0" w:color="auto"/>
            </w:tcBorders>
            <w:shd w:val="clear" w:color="auto" w:fill="C6EFCE"/>
            <w:noWrap/>
          </w:tcPr>
          <w:p w14:paraId="01E9DA5A"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16922_Sotsiaalne integratsioon</w:t>
            </w:r>
          </w:p>
        </w:tc>
        <w:tc>
          <w:tcPr>
            <w:tcW w:w="992" w:type="dxa"/>
            <w:tcBorders>
              <w:top w:val="single" w:sz="4" w:space="0" w:color="auto"/>
              <w:left w:val="nil"/>
              <w:bottom w:val="single" w:sz="4" w:space="0" w:color="auto"/>
              <w:right w:val="single" w:sz="4" w:space="0" w:color="auto"/>
            </w:tcBorders>
            <w:shd w:val="clear" w:color="auto" w:fill="C6EFCE"/>
            <w:noWrap/>
          </w:tcPr>
          <w:p w14:paraId="036A64D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Siht</w:t>
            </w:r>
          </w:p>
        </w:tc>
        <w:tc>
          <w:tcPr>
            <w:tcW w:w="1765" w:type="dxa"/>
            <w:tcBorders>
              <w:top w:val="single" w:sz="4" w:space="0" w:color="auto"/>
              <w:left w:val="nil"/>
              <w:bottom w:val="single" w:sz="4" w:space="0" w:color="auto"/>
              <w:right w:val="single" w:sz="4" w:space="0" w:color="auto"/>
            </w:tcBorders>
            <w:shd w:val="clear" w:color="auto" w:fill="C6EFCE"/>
            <w:noWrap/>
          </w:tcPr>
          <w:p w14:paraId="23AC7F01"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Sotsiaalkorterite renoveerimise lõpuleviimine </w:t>
            </w:r>
          </w:p>
        </w:tc>
        <w:tc>
          <w:tcPr>
            <w:tcW w:w="2020" w:type="dxa"/>
            <w:tcBorders>
              <w:top w:val="single" w:sz="4" w:space="0" w:color="auto"/>
              <w:left w:val="nil"/>
              <w:bottom w:val="single" w:sz="4" w:space="0" w:color="auto"/>
              <w:right w:val="single" w:sz="4" w:space="0" w:color="auto"/>
            </w:tcBorders>
            <w:shd w:val="clear" w:color="auto" w:fill="C6EFCE"/>
            <w:noWrap/>
          </w:tcPr>
          <w:p w14:paraId="2B91187B" w14:textId="77777777" w:rsidR="00764877" w:rsidRPr="00E02B5D" w:rsidRDefault="00764877" w:rsidP="00D16F13">
            <w:pPr>
              <w:spacing w:before="120" w:after="0" w:line="240" w:lineRule="auto"/>
              <w:rPr>
                <w:rFonts w:eastAsia="Times New Roman" w:cs="Calibri"/>
                <w:noProof/>
                <w:color w:val="006100"/>
                <w:sz w:val="18"/>
                <w:szCs w:val="18"/>
                <w:lang w:val="en-GB" w:eastAsia="en-GB"/>
              </w:rPr>
            </w:pPr>
          </w:p>
        </w:tc>
        <w:tc>
          <w:tcPr>
            <w:tcW w:w="1992" w:type="dxa"/>
            <w:tcBorders>
              <w:top w:val="single" w:sz="4" w:space="0" w:color="auto"/>
              <w:left w:val="nil"/>
              <w:bottom w:val="single" w:sz="4" w:space="0" w:color="auto"/>
              <w:right w:val="single" w:sz="4" w:space="0" w:color="auto"/>
            </w:tcBorders>
            <w:shd w:val="clear" w:color="auto" w:fill="C6EFCE"/>
            <w:noWrap/>
          </w:tcPr>
          <w:p w14:paraId="7864EA14"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Renoveeritud ja toetusesaajatele jagamiseks valmis korterite arv</w:t>
            </w:r>
          </w:p>
        </w:tc>
        <w:tc>
          <w:tcPr>
            <w:tcW w:w="1035" w:type="dxa"/>
            <w:tcBorders>
              <w:top w:val="single" w:sz="4" w:space="0" w:color="auto"/>
              <w:left w:val="nil"/>
              <w:bottom w:val="single" w:sz="4" w:space="0" w:color="auto"/>
              <w:right w:val="single" w:sz="4" w:space="0" w:color="auto"/>
            </w:tcBorders>
            <w:shd w:val="clear" w:color="auto" w:fill="C6EFCE"/>
            <w:noWrap/>
          </w:tcPr>
          <w:p w14:paraId="5274FD1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0</w:t>
            </w:r>
          </w:p>
        </w:tc>
        <w:tc>
          <w:tcPr>
            <w:tcW w:w="952" w:type="dxa"/>
            <w:tcBorders>
              <w:top w:val="single" w:sz="4" w:space="0" w:color="auto"/>
              <w:left w:val="nil"/>
              <w:bottom w:val="single" w:sz="4" w:space="0" w:color="auto"/>
              <w:right w:val="single" w:sz="4" w:space="0" w:color="auto"/>
            </w:tcBorders>
            <w:shd w:val="clear" w:color="auto" w:fill="C6EFCE"/>
            <w:noWrap/>
          </w:tcPr>
          <w:p w14:paraId="6D1E01F1"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100 </w:t>
            </w:r>
          </w:p>
          <w:p w14:paraId="333D694C" w14:textId="77777777" w:rsidR="00764877" w:rsidRPr="00E02B5D" w:rsidRDefault="00764877" w:rsidP="00D16F13">
            <w:pPr>
              <w:spacing w:before="120" w:after="0" w:line="240" w:lineRule="auto"/>
              <w:rPr>
                <w:rFonts w:eastAsia="Times New Roman" w:cs="Calibri"/>
                <w:noProof/>
                <w:color w:val="006100"/>
                <w:sz w:val="18"/>
                <w:szCs w:val="18"/>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55FD4E11" w14:textId="77777777" w:rsidR="00764877" w:rsidRPr="00AA541B" w:rsidRDefault="00764877" w:rsidP="00D16F13">
            <w:pPr>
              <w:spacing w:before="120" w:after="0" w:line="240" w:lineRule="auto"/>
              <w:rPr>
                <w:noProof/>
                <w:color w:val="006100"/>
                <w:sz w:val="18"/>
              </w:rPr>
            </w:pPr>
            <w:r>
              <w:rPr>
                <w:noProof/>
                <w:color w:val="006100"/>
                <w:sz w:val="18"/>
              </w:rPr>
              <w:t>2. kv</w:t>
            </w:r>
          </w:p>
        </w:tc>
        <w:tc>
          <w:tcPr>
            <w:tcW w:w="709" w:type="dxa"/>
            <w:tcBorders>
              <w:top w:val="single" w:sz="4" w:space="0" w:color="auto"/>
              <w:left w:val="nil"/>
              <w:bottom w:val="single" w:sz="4" w:space="0" w:color="auto"/>
              <w:right w:val="single" w:sz="4" w:space="0" w:color="auto"/>
            </w:tcBorders>
            <w:shd w:val="clear" w:color="auto" w:fill="C6EFCE"/>
            <w:noWrap/>
          </w:tcPr>
          <w:p w14:paraId="71A8CAA0" w14:textId="77777777" w:rsidR="00764877" w:rsidRPr="00AA541B" w:rsidRDefault="00764877" w:rsidP="00D16F13">
            <w:pPr>
              <w:spacing w:before="120" w:after="0" w:line="240" w:lineRule="auto"/>
              <w:rPr>
                <w:noProof/>
                <w:color w:val="006100"/>
                <w:sz w:val="18"/>
              </w:rPr>
            </w:pPr>
            <w:r>
              <w:rPr>
                <w:noProof/>
                <w:color w:val="006100"/>
                <w:sz w:val="18"/>
              </w:rPr>
              <w:t>2025</w:t>
            </w:r>
          </w:p>
        </w:tc>
        <w:tc>
          <w:tcPr>
            <w:tcW w:w="2410" w:type="dxa"/>
            <w:tcBorders>
              <w:top w:val="single" w:sz="4" w:space="0" w:color="auto"/>
              <w:left w:val="nil"/>
              <w:bottom w:val="single" w:sz="4" w:space="0" w:color="auto"/>
              <w:right w:val="single" w:sz="4" w:space="0" w:color="auto"/>
            </w:tcBorders>
            <w:shd w:val="clear" w:color="auto" w:fill="C6EFCE"/>
            <w:noWrap/>
          </w:tcPr>
          <w:p w14:paraId="73723DE7"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 xml:space="preserve">250 abisaaja jaoks 100 korteri (70 Ateena linnas ja 30 Thessaloniki linnas) renoveerimiskava lõpuleviimine. </w:t>
            </w:r>
          </w:p>
          <w:p w14:paraId="00BDC8C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Meetme eesmärk on pakkuda eluasemetoetust kõige haavatavamatele rühmadele, keda ohustab kodutus või kes seisavad silmitsi kodutusega.</w:t>
            </w:r>
          </w:p>
        </w:tc>
      </w:tr>
      <w:tr w:rsidR="00C23759" w:rsidRPr="003B132A" w14:paraId="523A9EA2"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C08C0A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186a</w:t>
            </w:r>
          </w:p>
        </w:tc>
        <w:tc>
          <w:tcPr>
            <w:tcW w:w="2456" w:type="dxa"/>
            <w:tcBorders>
              <w:top w:val="single" w:sz="4" w:space="0" w:color="auto"/>
              <w:left w:val="nil"/>
              <w:bottom w:val="single" w:sz="4" w:space="0" w:color="auto"/>
              <w:right w:val="single" w:sz="4" w:space="0" w:color="auto"/>
            </w:tcBorders>
            <w:shd w:val="clear" w:color="auto" w:fill="C6EFCE"/>
            <w:noWrap/>
          </w:tcPr>
          <w:p w14:paraId="66D4B10E"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11-3.4. Parandada juurdepääsu tõhusale ja kaasavale sotsiaalpoliitikale – 16922_Sotsiaalne integratsioon</w:t>
            </w:r>
          </w:p>
        </w:tc>
        <w:tc>
          <w:tcPr>
            <w:tcW w:w="992" w:type="dxa"/>
            <w:tcBorders>
              <w:top w:val="single" w:sz="4" w:space="0" w:color="auto"/>
              <w:left w:val="nil"/>
              <w:bottom w:val="single" w:sz="4" w:space="0" w:color="auto"/>
              <w:right w:val="single" w:sz="4" w:space="0" w:color="auto"/>
            </w:tcBorders>
            <w:shd w:val="clear" w:color="auto" w:fill="C6EFCE"/>
            <w:noWrap/>
          </w:tcPr>
          <w:p w14:paraId="0899667B"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Eesmärk</w:t>
            </w:r>
          </w:p>
        </w:tc>
        <w:tc>
          <w:tcPr>
            <w:tcW w:w="1765" w:type="dxa"/>
            <w:tcBorders>
              <w:top w:val="single" w:sz="4" w:space="0" w:color="auto"/>
              <w:left w:val="nil"/>
              <w:bottom w:val="single" w:sz="4" w:space="0" w:color="auto"/>
              <w:right w:val="single" w:sz="4" w:space="0" w:color="auto"/>
            </w:tcBorders>
            <w:shd w:val="clear" w:color="auto" w:fill="C6EFCE"/>
            <w:noWrap/>
          </w:tcPr>
          <w:p w14:paraId="7FFD2631"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Haavatavate rühmade sotsiaalne integreerimine, digikoolitus</w:t>
            </w:r>
          </w:p>
        </w:tc>
        <w:tc>
          <w:tcPr>
            <w:tcW w:w="2020" w:type="dxa"/>
            <w:tcBorders>
              <w:top w:val="single" w:sz="4" w:space="0" w:color="auto"/>
              <w:left w:val="nil"/>
              <w:bottom w:val="single" w:sz="4" w:space="0" w:color="auto"/>
              <w:right w:val="single" w:sz="4" w:space="0" w:color="auto"/>
            </w:tcBorders>
            <w:shd w:val="clear" w:color="auto" w:fill="C6EFCE"/>
            <w:noWrap/>
          </w:tcPr>
          <w:p w14:paraId="2DAF17C5"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Sotsiaalse ühtekuuluvuse ja perekonnaministeeriumi aruanne kinnitab projektide a ja b lõpuleviimist</w:t>
            </w:r>
          </w:p>
        </w:tc>
        <w:tc>
          <w:tcPr>
            <w:tcW w:w="1992" w:type="dxa"/>
            <w:tcBorders>
              <w:top w:val="single" w:sz="4" w:space="0" w:color="auto"/>
              <w:left w:val="nil"/>
              <w:bottom w:val="single" w:sz="4" w:space="0" w:color="auto"/>
              <w:right w:val="single" w:sz="4" w:space="0" w:color="auto"/>
            </w:tcBorders>
            <w:shd w:val="clear" w:color="auto" w:fill="C6EFCE"/>
            <w:noWrap/>
          </w:tcPr>
          <w:p w14:paraId="312F9EAF"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1035" w:type="dxa"/>
            <w:tcBorders>
              <w:top w:val="single" w:sz="4" w:space="0" w:color="auto"/>
              <w:left w:val="nil"/>
              <w:bottom w:val="single" w:sz="4" w:space="0" w:color="auto"/>
              <w:right w:val="single" w:sz="4" w:space="0" w:color="auto"/>
            </w:tcBorders>
            <w:shd w:val="clear" w:color="auto" w:fill="C6EFCE"/>
            <w:noWrap/>
          </w:tcPr>
          <w:p w14:paraId="0AE7694F"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952" w:type="dxa"/>
            <w:tcBorders>
              <w:top w:val="single" w:sz="4" w:space="0" w:color="auto"/>
              <w:left w:val="nil"/>
              <w:bottom w:val="single" w:sz="4" w:space="0" w:color="auto"/>
              <w:right w:val="single" w:sz="4" w:space="0" w:color="auto"/>
            </w:tcBorders>
            <w:shd w:val="clear" w:color="auto" w:fill="C6EFCE"/>
            <w:noWrap/>
          </w:tcPr>
          <w:p w14:paraId="6ABFA4FC"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5529349B"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28D40F14" w14:textId="77777777" w:rsidR="00764877" w:rsidRPr="00E02B5D" w:rsidRDefault="00764877" w:rsidP="00D16F13">
            <w:pPr>
              <w:spacing w:before="120" w:after="0" w:line="240" w:lineRule="auto"/>
              <w:rPr>
                <w:rFonts w:asciiTheme="minorHAnsi" w:eastAsia="Times New Roman" w:hAnsiTheme="minorHAnsi" w:cstheme="minorHAnsi"/>
                <w:noProof/>
                <w:color w:val="006100"/>
                <w:sz w:val="18"/>
                <w:szCs w:val="18"/>
              </w:rPr>
            </w:pPr>
            <w:r>
              <w:rPr>
                <w:rFonts w:asciiTheme="minorHAnsi" w:hAnsiTheme="minorHAnsi"/>
                <w:noProof/>
                <w:color w:val="006100"/>
                <w:sz w:val="18"/>
              </w:rPr>
              <w:t>2025</w:t>
            </w:r>
          </w:p>
        </w:tc>
        <w:tc>
          <w:tcPr>
            <w:tcW w:w="2410" w:type="dxa"/>
            <w:tcBorders>
              <w:top w:val="single" w:sz="4" w:space="0" w:color="auto"/>
              <w:left w:val="nil"/>
              <w:bottom w:val="single" w:sz="4" w:space="0" w:color="auto"/>
              <w:right w:val="single" w:sz="4" w:space="0" w:color="auto"/>
            </w:tcBorders>
            <w:shd w:val="clear" w:color="auto" w:fill="C6EFCE"/>
            <w:noWrap/>
          </w:tcPr>
          <w:p w14:paraId="6A5333E7" w14:textId="77777777" w:rsidR="00764877" w:rsidRPr="00E02B5D" w:rsidRDefault="00764877" w:rsidP="00C95E90">
            <w:pPr>
              <w:spacing w:before="120" w:after="0" w:line="240" w:lineRule="auto"/>
              <w:rPr>
                <w:rFonts w:eastAsia="Times New Roman" w:cs="Calibri"/>
                <w:noProof/>
                <w:color w:val="006100"/>
                <w:sz w:val="18"/>
                <w:szCs w:val="18"/>
              </w:rPr>
            </w:pPr>
            <w:r>
              <w:rPr>
                <w:noProof/>
                <w:color w:val="006100"/>
                <w:sz w:val="18"/>
              </w:rPr>
              <w:t>Järgmiste sekkumiste lõpuleviimine:</w:t>
            </w:r>
          </w:p>
          <w:p w14:paraId="14FB0341" w14:textId="77777777" w:rsidR="00764877" w:rsidRPr="00E02B5D" w:rsidRDefault="00764877" w:rsidP="00C95E90">
            <w:pPr>
              <w:spacing w:before="120" w:after="0" w:line="240" w:lineRule="auto"/>
              <w:rPr>
                <w:rFonts w:eastAsia="Times New Roman" w:cs="Calibri"/>
                <w:noProof/>
                <w:color w:val="006100"/>
                <w:sz w:val="18"/>
                <w:szCs w:val="18"/>
              </w:rPr>
            </w:pPr>
            <w:r>
              <w:rPr>
                <w:noProof/>
                <w:color w:val="006100"/>
                <w:sz w:val="18"/>
              </w:rPr>
              <w:t>koolitusprogramm ja lühiajaline praktikaprogramm 159 inimesele roma elanikkonnas, mille eesmärk on nende (taas)integreerumine tööturule.  </w:t>
            </w:r>
          </w:p>
          <w:p w14:paraId="7CB8A263" w14:textId="77777777" w:rsidR="00764877" w:rsidRPr="00E02B5D" w:rsidRDefault="00764877" w:rsidP="00C95E90">
            <w:pPr>
              <w:spacing w:before="120" w:after="0" w:line="240" w:lineRule="auto"/>
              <w:rPr>
                <w:rFonts w:asciiTheme="minorHAnsi" w:eastAsia="Times New Roman" w:hAnsiTheme="minorHAnsi" w:cstheme="minorBidi"/>
                <w:noProof/>
                <w:color w:val="006100"/>
                <w:sz w:val="18"/>
                <w:szCs w:val="18"/>
              </w:rPr>
            </w:pPr>
            <w:r>
              <w:rPr>
                <w:noProof/>
                <w:color w:val="006100"/>
                <w:sz w:val="18"/>
              </w:rPr>
              <w:t>b) Digikoolitus 3 000 vanemale ja 2 400 puudega inimesele.</w:t>
            </w:r>
            <w:r>
              <w:rPr>
                <w:rFonts w:asciiTheme="minorHAnsi" w:hAnsiTheme="minorHAnsi"/>
                <w:noProof/>
                <w:color w:val="881798"/>
                <w:sz w:val="18"/>
              </w:rPr>
              <w:t xml:space="preserve"> </w:t>
            </w:r>
          </w:p>
        </w:tc>
      </w:tr>
      <w:tr w:rsidR="00C23759" w:rsidRPr="003B132A" w14:paraId="26CD5582"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DE491A2"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187</w:t>
            </w:r>
          </w:p>
        </w:tc>
        <w:tc>
          <w:tcPr>
            <w:tcW w:w="2456" w:type="dxa"/>
            <w:tcBorders>
              <w:top w:val="single" w:sz="4" w:space="0" w:color="auto"/>
              <w:left w:val="nil"/>
              <w:bottom w:val="single" w:sz="4" w:space="0" w:color="auto"/>
              <w:right w:val="single" w:sz="4" w:space="0" w:color="auto"/>
            </w:tcBorders>
            <w:shd w:val="clear" w:color="auto" w:fill="C6EFCE"/>
            <w:noWrap/>
          </w:tcPr>
          <w:p w14:paraId="34B3B318" w14:textId="77777777" w:rsidR="00764877" w:rsidRPr="00E02B5D" w:rsidRDefault="00764877" w:rsidP="00D16F13">
            <w:pPr>
              <w:spacing w:before="120" w:after="120" w:line="240" w:lineRule="auto"/>
              <w:rPr>
                <w:rFonts w:eastAsia="Times New Roman" w:cs="Calibri"/>
                <w:noProof/>
                <w:color w:val="006100"/>
                <w:sz w:val="18"/>
                <w:szCs w:val="18"/>
              </w:rPr>
            </w:pPr>
            <w:r>
              <w:rPr>
                <w:noProof/>
                <w:color w:val="006100"/>
                <w:sz w:val="18"/>
              </w:rPr>
              <w:t>11-3.4. Parandada juurdepääsu tõhusale ja kaasavale sotsiaalpoliitikale – 16688: Edendada pagulaste integreerimist tööturule </w:t>
            </w:r>
          </w:p>
          <w:p w14:paraId="6CEA5EE2" w14:textId="77777777" w:rsidR="00764877" w:rsidRPr="00AD4052" w:rsidRDefault="00764877" w:rsidP="00D16F13">
            <w:pPr>
              <w:spacing w:before="120"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7646E2A8"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Siht</w:t>
            </w:r>
          </w:p>
        </w:tc>
        <w:tc>
          <w:tcPr>
            <w:tcW w:w="1765" w:type="dxa"/>
            <w:tcBorders>
              <w:top w:val="single" w:sz="4" w:space="0" w:color="auto"/>
              <w:left w:val="nil"/>
              <w:bottom w:val="single" w:sz="4" w:space="0" w:color="auto"/>
              <w:right w:val="single" w:sz="4" w:space="0" w:color="auto"/>
            </w:tcBorders>
            <w:shd w:val="clear" w:color="auto" w:fill="C6EFCE"/>
            <w:noWrap/>
          </w:tcPr>
          <w:p w14:paraId="1872503A"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Pagulaste tööturule integreerimine</w:t>
            </w:r>
          </w:p>
        </w:tc>
        <w:tc>
          <w:tcPr>
            <w:tcW w:w="2020" w:type="dxa"/>
            <w:tcBorders>
              <w:top w:val="single" w:sz="4" w:space="0" w:color="auto"/>
              <w:left w:val="nil"/>
              <w:bottom w:val="single" w:sz="4" w:space="0" w:color="auto"/>
              <w:right w:val="single" w:sz="4" w:space="0" w:color="auto"/>
            </w:tcBorders>
            <w:shd w:val="clear" w:color="auto" w:fill="C6EFCE"/>
            <w:noWrap/>
          </w:tcPr>
          <w:p w14:paraId="747C8B06" w14:textId="77777777" w:rsidR="00764877" w:rsidRPr="00E02B5D" w:rsidRDefault="00764877" w:rsidP="00D16F13">
            <w:pPr>
              <w:spacing w:before="120" w:after="0" w:line="240" w:lineRule="auto"/>
              <w:rPr>
                <w:rFonts w:eastAsia="Times New Roman" w:cs="Calibri"/>
                <w:noProof/>
                <w:color w:val="006100"/>
                <w:sz w:val="18"/>
                <w:szCs w:val="18"/>
                <w:lang w:val="en-GB" w:eastAsia="en-GB"/>
              </w:rPr>
            </w:pPr>
          </w:p>
        </w:tc>
        <w:tc>
          <w:tcPr>
            <w:tcW w:w="1992" w:type="dxa"/>
            <w:tcBorders>
              <w:top w:val="single" w:sz="4" w:space="0" w:color="auto"/>
              <w:left w:val="nil"/>
              <w:bottom w:val="single" w:sz="4" w:space="0" w:color="auto"/>
              <w:right w:val="single" w:sz="4" w:space="0" w:color="auto"/>
            </w:tcBorders>
            <w:shd w:val="clear" w:color="auto" w:fill="C6EFCE"/>
            <w:noWrap/>
          </w:tcPr>
          <w:p w14:paraId="68EE49BB" w14:textId="77777777" w:rsidR="00764877" w:rsidRPr="00E02B5D" w:rsidRDefault="00764877" w:rsidP="00D42C9F">
            <w:pPr>
              <w:spacing w:before="120" w:after="0" w:line="240" w:lineRule="auto"/>
              <w:rPr>
                <w:rFonts w:eastAsia="Times New Roman" w:cs="Calibri"/>
                <w:noProof/>
                <w:color w:val="006100"/>
                <w:sz w:val="18"/>
                <w:szCs w:val="18"/>
              </w:rPr>
            </w:pPr>
            <w:r>
              <w:rPr>
                <w:noProof/>
                <w:color w:val="006100"/>
                <w:sz w:val="18"/>
              </w:rPr>
              <w:t xml:space="preserve">Praktikaprogrammi läbinud pagulaste ja määratletud pagulaste, sealhulgas tunnustatud pagulaste (rahvusvahelise kaitse saajad) arv, kes elavad kas rände- ja varjupaigaministeeriumi majutusasutustes või linnapiirkonnas, ajutise kaitse saajad ja seega ka ukrainlased, seaduslikud elanikud (seaduslikud rändajad) ja varjupaigataotlejad, kes on läbinud praktikaprogrammi </w:t>
            </w:r>
          </w:p>
        </w:tc>
        <w:tc>
          <w:tcPr>
            <w:tcW w:w="1035" w:type="dxa"/>
            <w:tcBorders>
              <w:top w:val="single" w:sz="4" w:space="0" w:color="auto"/>
              <w:left w:val="nil"/>
              <w:bottom w:val="single" w:sz="4" w:space="0" w:color="auto"/>
              <w:right w:val="single" w:sz="4" w:space="0" w:color="auto"/>
            </w:tcBorders>
            <w:shd w:val="clear" w:color="auto" w:fill="C6EFCE"/>
            <w:noWrap/>
          </w:tcPr>
          <w:p w14:paraId="188F8226"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0</w:t>
            </w:r>
          </w:p>
        </w:tc>
        <w:tc>
          <w:tcPr>
            <w:tcW w:w="952" w:type="dxa"/>
            <w:tcBorders>
              <w:top w:val="single" w:sz="4" w:space="0" w:color="auto"/>
              <w:left w:val="nil"/>
              <w:bottom w:val="single" w:sz="4" w:space="0" w:color="auto"/>
              <w:right w:val="single" w:sz="4" w:space="0" w:color="auto"/>
            </w:tcBorders>
            <w:shd w:val="clear" w:color="auto" w:fill="C6EFCE"/>
            <w:noWrap/>
          </w:tcPr>
          <w:p w14:paraId="54809EE8" w14:textId="6AEEEB39"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8 000</w:t>
            </w:r>
          </w:p>
        </w:tc>
        <w:tc>
          <w:tcPr>
            <w:tcW w:w="850" w:type="dxa"/>
            <w:tcBorders>
              <w:top w:val="single" w:sz="4" w:space="0" w:color="auto"/>
              <w:left w:val="nil"/>
              <w:bottom w:val="single" w:sz="4" w:space="0" w:color="auto"/>
              <w:right w:val="single" w:sz="4" w:space="0" w:color="auto"/>
            </w:tcBorders>
            <w:shd w:val="clear" w:color="auto" w:fill="C6EFCE"/>
            <w:noWrap/>
          </w:tcPr>
          <w:p w14:paraId="655CFF79"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3BC1B2F4"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2025</w:t>
            </w:r>
          </w:p>
        </w:tc>
        <w:tc>
          <w:tcPr>
            <w:tcW w:w="2410" w:type="dxa"/>
            <w:tcBorders>
              <w:top w:val="single" w:sz="4" w:space="0" w:color="auto"/>
              <w:left w:val="nil"/>
              <w:bottom w:val="single" w:sz="4" w:space="0" w:color="auto"/>
              <w:right w:val="single" w:sz="4" w:space="0" w:color="auto"/>
            </w:tcBorders>
            <w:shd w:val="clear" w:color="auto" w:fill="C6EFCE"/>
            <w:noWrap/>
          </w:tcPr>
          <w:p w14:paraId="10FB06FF"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Praktikaprogrammide lõpuleviimine ettevõtetes, mis on mõeldud vähemalt 8 000 pagulasele ja kindlaksmääratud pagulasele, sealhulgas tunnustatud pagulastele (rahvusvahelise kaitse saajad), kes elavad kas rände- ja varjupaigaministeeriumi majutusasutustes või linnapiirkonnas, ajutise kaitse saajatele ja seega ka ukrainlastele, seaduslikele elanikele (seaduslikele rändajatele) ja varjupaigataotlejatele eelintegratsiooni kontekstis.</w:t>
            </w:r>
          </w:p>
          <w:p w14:paraId="09481BA3"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Rahvusvahelise Migratsiooniorganisatsiooni (IOM) ning rände- ja varjupaigaministeeriumi aruanne, milles kinnitatakse eespool nimetatud pagulaste arvu käsitleva projekti edukat lõpuleviimist.</w:t>
            </w:r>
          </w:p>
          <w:p w14:paraId="2E58FC21" w14:textId="77777777" w:rsidR="00764877" w:rsidRPr="00E02B5D" w:rsidRDefault="00764877" w:rsidP="00D16F13">
            <w:pPr>
              <w:spacing w:before="120" w:after="0" w:line="240" w:lineRule="auto"/>
              <w:rPr>
                <w:rFonts w:eastAsia="Times New Roman" w:cs="Calibri"/>
                <w:noProof/>
                <w:color w:val="006100"/>
                <w:sz w:val="18"/>
                <w:szCs w:val="18"/>
              </w:rPr>
            </w:pPr>
            <w:r>
              <w:rPr>
                <w:noProof/>
                <w:color w:val="006100"/>
                <w:sz w:val="18"/>
              </w:rPr>
              <w:t>Praktika aitab pagulastel saada töökogemust ja hõlbustab nende edasist integreerumist tööturule.</w:t>
            </w:r>
          </w:p>
        </w:tc>
      </w:tr>
    </w:tbl>
    <w:p w14:paraId="6D7945FC" w14:textId="77777777" w:rsidR="00764877" w:rsidRPr="00AD4052" w:rsidRDefault="00764877" w:rsidP="00645BC7">
      <w:pPr>
        <w:tabs>
          <w:tab w:val="left" w:pos="3423"/>
        </w:tabs>
        <w:spacing w:before="120" w:after="120" w:line="240" w:lineRule="auto"/>
        <w:jc w:val="both"/>
        <w:rPr>
          <w:rFonts w:ascii="Times New Roman" w:hAnsi="Times New Roman" w:cs="Times New Roman"/>
          <w:noProof/>
          <w:sz w:val="24"/>
        </w:rPr>
        <w:sectPr w:rsidR="00764877" w:rsidRPr="00AD4052" w:rsidSect="00271D33">
          <w:headerReference w:type="even" r:id="rId236"/>
          <w:headerReference w:type="default" r:id="rId237"/>
          <w:footerReference w:type="even" r:id="rId238"/>
          <w:footerReference w:type="default" r:id="rId239"/>
          <w:headerReference w:type="first" r:id="rId240"/>
          <w:footerReference w:type="first" r:id="rId241"/>
          <w:pgSz w:w="16839" w:h="11907" w:orient="landscape"/>
          <w:pgMar w:top="720" w:right="720" w:bottom="720" w:left="720" w:header="709" w:footer="75" w:gutter="0"/>
          <w:cols w:space="720"/>
          <w:docGrid w:linePitch="360"/>
        </w:sectPr>
      </w:pPr>
    </w:p>
    <w:p w14:paraId="607ED7E5" w14:textId="77777777" w:rsidR="00356CBA" w:rsidRPr="00AD4052" w:rsidRDefault="00356CBA" w:rsidP="00D16F13">
      <w:pPr>
        <w:spacing w:before="120" w:after="120" w:line="240" w:lineRule="auto"/>
        <w:ind w:left="709"/>
        <w:jc w:val="both"/>
        <w:rPr>
          <w:rFonts w:ascii="Times New Roman" w:hAnsi="Times New Roman" w:cs="Times New Roman"/>
          <w:noProof/>
          <w:sz w:val="24"/>
        </w:rPr>
      </w:pPr>
    </w:p>
    <w:p w14:paraId="7D2D5610" w14:textId="77777777" w:rsidR="004E363A" w:rsidRPr="00E02B5D" w:rsidRDefault="70FB2CF9" w:rsidP="008AECE0">
      <w:pPr>
        <w:spacing w:before="120" w:after="120" w:line="240" w:lineRule="auto"/>
        <w:jc w:val="both"/>
        <w:rPr>
          <w:rFonts w:ascii="Times New Roman" w:hAnsi="Times New Roman" w:cs="Times New Roman"/>
          <w:b/>
          <w:bCs/>
          <w:i/>
          <w:iCs/>
          <w:noProof/>
          <w:color w:val="4F81BD"/>
          <w:sz w:val="24"/>
          <w:szCs w:val="24"/>
        </w:rPr>
      </w:pPr>
      <w:r>
        <w:rPr>
          <w:rFonts w:ascii="Times New Roman" w:hAnsi="Times New Roman"/>
          <w:b/>
          <w:noProof/>
          <w:sz w:val="24"/>
          <w:u w:val="single"/>
        </w:rPr>
        <w:t xml:space="preserve">K.3. </w:t>
      </w:r>
      <w:r>
        <w:rPr>
          <w:noProof/>
        </w:rPr>
        <w:tab/>
      </w:r>
      <w:r>
        <w:rPr>
          <w:rFonts w:ascii="Times New Roman" w:hAnsi="Times New Roman"/>
          <w:b/>
          <w:noProof/>
          <w:sz w:val="24"/>
          <w:u w:val="single"/>
        </w:rPr>
        <w:t xml:space="preserve">Laenuga seotud reformide ja investeeringute kirjeldus </w:t>
      </w:r>
    </w:p>
    <w:p w14:paraId="70935D10" w14:textId="5E3308B8" w:rsidR="006509FD" w:rsidRPr="00E02B5D" w:rsidRDefault="006509FD" w:rsidP="006509FD">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Taskukohase hinnaga eluasemeprogramm „My Home II“ (meetme</w:t>
      </w:r>
      <w:r w:rsidR="00C23759">
        <w:rPr>
          <w:rFonts w:ascii="Times New Roman" w:hAnsi="Times New Roman"/>
          <w:noProof/>
          <w:sz w:val="24"/>
        </w:rPr>
        <w:t xml:space="preserve"> </w:t>
      </w:r>
      <w:r>
        <w:rPr>
          <w:rFonts w:ascii="Times New Roman" w:hAnsi="Times New Roman"/>
          <w:noProof/>
          <w:sz w:val="24"/>
        </w:rPr>
        <w:t>ID 16400)</w:t>
      </w:r>
    </w:p>
    <w:p w14:paraId="606624AC" w14:textId="011F2347" w:rsidR="006509FD" w:rsidRPr="00691380" w:rsidRDefault="006509FD" w:rsidP="006509FD">
      <w:pPr>
        <w:spacing w:line="240" w:lineRule="auto"/>
        <w:jc w:val="both"/>
        <w:rPr>
          <w:rFonts w:ascii="Times New Roman" w:hAnsi="Times New Roman" w:cs="Times New Roman"/>
          <w:noProof/>
          <w:sz w:val="24"/>
          <w:szCs w:val="24"/>
        </w:rPr>
      </w:pPr>
      <w:r>
        <w:rPr>
          <w:rFonts w:ascii="Times New Roman" w:hAnsi="Times New Roman"/>
          <w:noProof/>
          <w:sz w:val="24"/>
        </w:rPr>
        <w:t>See meede koosneb avaliku sektori investeeringust rahastusse „My Home II“, et stimuleerida erainvesteeringuid ja parandada juurdepääsu rahastamisele Kreeka eluasemesektoris. Rahastu toimimiseks antakse laene otse erasektorile. Taaste- ja vastupidavusrahastu investeeringu alusel on rahastu „My Home II“ eesmärk esialgu eraldada vähemalt 1000 miljonit eurot.</w:t>
      </w:r>
    </w:p>
    <w:p w14:paraId="4999D00C" w14:textId="5DC40801" w:rsidR="006509FD" w:rsidRDefault="006509FD" w:rsidP="006509FD">
      <w:pPr>
        <w:spacing w:line="240" w:lineRule="auto"/>
        <w:jc w:val="both"/>
        <w:rPr>
          <w:rFonts w:ascii="Times New Roman" w:hAnsi="Times New Roman" w:cs="Times New Roman"/>
          <w:noProof/>
          <w:sz w:val="24"/>
          <w:szCs w:val="24"/>
        </w:rPr>
      </w:pPr>
      <w:r>
        <w:rPr>
          <w:rFonts w:ascii="Times New Roman" w:hAnsi="Times New Roman"/>
          <w:noProof/>
          <w:sz w:val="24"/>
        </w:rPr>
        <w:t xml:space="preserve">Rahastut „My Home II“ haldab rakenduspartnerina Kreeka Arengupank. Rahastu hõlmab järgmist tooterida: </w:t>
      </w:r>
    </w:p>
    <w:p w14:paraId="2CCF35FA" w14:textId="1232E50F" w:rsidR="006509FD" w:rsidRPr="00957598" w:rsidRDefault="006509FD" w:rsidP="006509FD">
      <w:pPr>
        <w:pStyle w:val="LegalNumPar2"/>
        <w:numPr>
          <w:ilvl w:val="1"/>
          <w:numId w:val="95"/>
        </w:numPr>
        <w:jc w:val="both"/>
        <w:rPr>
          <w:rFonts w:ascii="Times New Roman" w:hAnsi="Times New Roman" w:cs="Times New Roman"/>
          <w:noProof/>
          <w:sz w:val="24"/>
          <w:szCs w:val="24"/>
        </w:rPr>
      </w:pPr>
      <w:r>
        <w:rPr>
          <w:rFonts w:ascii="Times New Roman" w:hAnsi="Times New Roman"/>
          <w:noProof/>
          <w:sz w:val="24"/>
        </w:rPr>
        <w:t>Kreeka Arengupank valib rahastamisvahendis osalevad kommertspangad finantsvahendajateks avatud, läbipaistval ja mittediskrimineerival viisil avatud konkursi kaudu. Kommertspangad kaasrahastavad rahastu raames antud laene. Neid laene antakse üksikisikutele peamise elukoha omandamiseks. Laenustruktuuriga nähakse ette 50 % intressivaba rahastamine rahastamisvahendist „My Home II“ ja 50 % rahastamine osalevatelt pankadelt turuintressimääraga.</w:t>
      </w:r>
    </w:p>
    <w:p w14:paraId="5F2F3C82" w14:textId="4ACCEE0B" w:rsidR="006509FD" w:rsidRPr="001B3812" w:rsidRDefault="006509FD" w:rsidP="006509FD">
      <w:pPr>
        <w:spacing w:line="240" w:lineRule="auto"/>
        <w:jc w:val="both"/>
        <w:rPr>
          <w:rFonts w:ascii="Times New Roman" w:hAnsi="Times New Roman" w:cs="Times New Roman"/>
          <w:noProof/>
          <w:sz w:val="24"/>
          <w:szCs w:val="24"/>
        </w:rPr>
      </w:pPr>
      <w:r>
        <w:rPr>
          <w:rFonts w:ascii="Times New Roman" w:hAnsi="Times New Roman"/>
          <w:noProof/>
          <w:sz w:val="24"/>
        </w:rPr>
        <w:t>Rahastusse „My Home II“ investeerimise rakendamiseks allkirjastavad Kreeka ja Kreeka Arengupank rakenduskokkuleppe. Rakenduskokkulepe sisaldab järgmist sisu:</w:t>
      </w:r>
    </w:p>
    <w:p w14:paraId="3231227E" w14:textId="340752AE" w:rsidR="006509FD" w:rsidRPr="009C40D4" w:rsidRDefault="006509FD" w:rsidP="009C40D4">
      <w:pPr>
        <w:pStyle w:val="LegalNumPar"/>
        <w:numPr>
          <w:ilvl w:val="0"/>
          <w:numId w:val="97"/>
        </w:numPr>
        <w:jc w:val="both"/>
        <w:rPr>
          <w:rFonts w:ascii="Times New Roman" w:eastAsia="Times New Roman" w:hAnsi="Times New Roman" w:cs="Times New Roman"/>
          <w:noProof/>
          <w:sz w:val="24"/>
          <w:szCs w:val="24"/>
        </w:rPr>
      </w:pPr>
      <w:r>
        <w:rPr>
          <w:rFonts w:ascii="Times New Roman" w:hAnsi="Times New Roman"/>
          <w:noProof/>
          <w:sz w:val="24"/>
        </w:rPr>
        <w:t>Rahastu „My Home II“ otsustusprotsessi kirjeldus. Rahastu lõpliku investeerimisotsuse teeb investeerimiskomitee või muu asjakohane samaväärne juhtorgan ning see kiidetakse heaks valitsusest sõltumatute liikmete häälteenamusega.</w:t>
      </w:r>
    </w:p>
    <w:p w14:paraId="2204F865" w14:textId="25BEC80C" w:rsidR="006509FD" w:rsidRPr="00737A78" w:rsidRDefault="006509FD" w:rsidP="006509FD">
      <w:pPr>
        <w:pStyle w:val="LegalNumPar"/>
        <w:jc w:val="both"/>
        <w:rPr>
          <w:rFonts w:ascii="Times New Roman" w:hAnsi="Times New Roman" w:cs="Times New Roman"/>
          <w:noProof/>
          <w:sz w:val="24"/>
          <w:szCs w:val="24"/>
        </w:rPr>
      </w:pPr>
      <w:r>
        <w:rPr>
          <w:rFonts w:ascii="Times New Roman" w:hAnsi="Times New Roman"/>
          <w:noProof/>
          <w:sz w:val="24"/>
        </w:rPr>
        <w:t>Finantstoodete põhinõuded, mis hõlmavad järgmist:</w:t>
      </w:r>
    </w:p>
    <w:p w14:paraId="33B9EC25" w14:textId="77777777" w:rsidR="006509FD" w:rsidRPr="00737A78" w:rsidRDefault="006509FD" w:rsidP="006509FD">
      <w:pPr>
        <w:pStyle w:val="LegalNumPar2"/>
        <w:jc w:val="both"/>
        <w:rPr>
          <w:rFonts w:ascii="Times New Roman" w:hAnsi="Times New Roman" w:cs="Times New Roman"/>
          <w:noProof/>
          <w:sz w:val="24"/>
          <w:szCs w:val="24"/>
        </w:rPr>
      </w:pPr>
      <w:r>
        <w:rPr>
          <w:rFonts w:ascii="Times New Roman" w:hAnsi="Times New Roman"/>
          <w:noProof/>
          <w:sz w:val="24"/>
        </w:rPr>
        <w:t>Finantstoodete ja rahastamiskõlblike lõplike abisaajate kirjeldus.</w:t>
      </w:r>
    </w:p>
    <w:p w14:paraId="7EA51CC8" w14:textId="77777777" w:rsidR="006509FD" w:rsidRPr="0077290D" w:rsidRDefault="006509FD" w:rsidP="006509FD">
      <w:pPr>
        <w:pStyle w:val="LegalNumPar2"/>
        <w:jc w:val="both"/>
        <w:rPr>
          <w:rFonts w:ascii="Times New Roman" w:hAnsi="Times New Roman" w:cs="Times New Roman"/>
          <w:noProof/>
          <w:sz w:val="24"/>
          <w:szCs w:val="24"/>
        </w:rPr>
      </w:pPr>
      <w:r>
        <w:rPr>
          <w:rFonts w:ascii="Times New Roman" w:hAnsi="Times New Roman"/>
          <w:noProof/>
          <w:sz w:val="24"/>
        </w:rPr>
        <w:t>Nõue, et kõik toetatavad investeeringud peavad olema majanduslikult elujõulised.</w:t>
      </w:r>
    </w:p>
    <w:p w14:paraId="1F4E2097" w14:textId="77777777" w:rsidR="006509FD" w:rsidRPr="00737A78" w:rsidRDefault="006509FD" w:rsidP="006509FD">
      <w:pPr>
        <w:pStyle w:val="LegalNumPar2"/>
        <w:jc w:val="both"/>
        <w:rPr>
          <w:rFonts w:ascii="Times New Roman" w:hAnsi="Times New Roman" w:cs="Times New Roman"/>
          <w:noProof/>
          <w:sz w:val="24"/>
          <w:szCs w:val="24"/>
        </w:rPr>
      </w:pPr>
      <w:r>
        <w:rPr>
          <w:rFonts w:ascii="Times New Roman" w:hAnsi="Times New Roman"/>
          <w:noProof/>
          <w:sz w:val="24"/>
        </w:rPr>
        <w:t>Nõue, et rahastu lõplikud abisaajad ei saa samade kulude katmiseks toetust muudest liidu vahenditest.</w:t>
      </w:r>
    </w:p>
    <w:p w14:paraId="1345051E" w14:textId="29A32DF1" w:rsidR="006509FD" w:rsidRPr="00737A78" w:rsidRDefault="006509FD" w:rsidP="006509FD">
      <w:pPr>
        <w:pStyle w:val="LegalNumPar"/>
        <w:jc w:val="both"/>
        <w:rPr>
          <w:rFonts w:ascii="Times New Roman" w:hAnsi="Times New Roman" w:cs="Times New Roman"/>
          <w:noProof/>
          <w:sz w:val="24"/>
          <w:szCs w:val="24"/>
        </w:rPr>
      </w:pPr>
      <w:r>
        <w:rPr>
          <w:rFonts w:ascii="Times New Roman" w:hAnsi="Times New Roman"/>
          <w:noProof/>
          <w:sz w:val="24"/>
        </w:rPr>
        <w:t>Rakenduslepinguga hõlmatud summa, rakenduspartneri ja finantsvahendajate tasude struktuur ning nõue reinvesteerida kõik tagasimaksed vastavalt rahastu investeerimispoliitikale, välja arvatud juhul, kui neid kasutatakse taaste- ja vastupidavusrahastu laenude tagasimaksete teenindamiseks.</w:t>
      </w:r>
    </w:p>
    <w:p w14:paraId="59E21595" w14:textId="5C226EDD" w:rsidR="00892295" w:rsidRDefault="006509FD" w:rsidP="006509FD">
      <w:pPr>
        <w:pStyle w:val="LegalNumPar"/>
        <w:jc w:val="both"/>
        <w:rPr>
          <w:rFonts w:ascii="Times New Roman" w:hAnsi="Times New Roman" w:cs="Times New Roman"/>
          <w:noProof/>
          <w:sz w:val="24"/>
          <w:szCs w:val="24"/>
        </w:rPr>
      </w:pPr>
      <w:r>
        <w:rPr>
          <w:rFonts w:ascii="Times New Roman" w:hAnsi="Times New Roman"/>
          <w:noProof/>
          <w:sz w:val="24"/>
        </w:rPr>
        <w:t>Seire-, auditeerimis- ja kontrollinõuded, sealhulgas selliste rakenduspartneri menetluste kirjeldus, millega tagatakse pettuste, korruptsiooni ja huvide konfliktide ennetamine, avastamine ja kõrvaldamine.</w:t>
      </w:r>
    </w:p>
    <w:p w14:paraId="3003F279" w14:textId="77777777" w:rsidR="00892295" w:rsidRDefault="00892295">
      <w:pPr>
        <w:rPr>
          <w:rFonts w:ascii="Times New Roman" w:eastAsiaTheme="minorHAnsi" w:hAnsi="Times New Roman" w:cs="Times New Roman"/>
          <w:noProof/>
          <w:sz w:val="24"/>
          <w:szCs w:val="24"/>
        </w:rPr>
      </w:pPr>
      <w:r>
        <w:rPr>
          <w:noProof/>
        </w:rPr>
        <w:br w:type="page"/>
      </w:r>
    </w:p>
    <w:p w14:paraId="5162CC1F" w14:textId="77777777" w:rsidR="006509FD" w:rsidRPr="00487796" w:rsidRDefault="006509FD" w:rsidP="006509FD">
      <w:pPr>
        <w:pStyle w:val="LegalNumPar"/>
        <w:jc w:val="both"/>
        <w:rPr>
          <w:rFonts w:ascii="Times New Roman" w:hAnsi="Times New Roman" w:cs="Times New Roman"/>
          <w:noProof/>
          <w:sz w:val="24"/>
          <w:szCs w:val="24"/>
        </w:rPr>
      </w:pPr>
      <w:r>
        <w:rPr>
          <w:rFonts w:ascii="Times New Roman" w:hAnsi="Times New Roman"/>
          <w:noProof/>
          <w:sz w:val="24"/>
        </w:rPr>
        <w:t xml:space="preserve">Kreeka Arengupank </w:t>
      </w:r>
      <w:r>
        <w:rPr>
          <w:rStyle w:val="normaltextrun"/>
          <w:rFonts w:ascii="Times New Roman" w:hAnsi="Times New Roman"/>
          <w:noProof/>
          <w:sz w:val="24"/>
        </w:rPr>
        <w:t>allkirjastab finantsvahendajatega rahastamislepingud kooskõlas põhinõuetega, mis esitatakse rakenduskokkuleppe lisas. Rahastamislepingute põhinõuded hõlmavad kõiki nõudeid, mille alusel rahastu tegutseb, sealhulgas järgmist: </w:t>
      </w:r>
    </w:p>
    <w:p w14:paraId="563D96AE" w14:textId="77777777" w:rsidR="006509FD" w:rsidRPr="00445574" w:rsidRDefault="006509FD" w:rsidP="006509FD">
      <w:pPr>
        <w:pStyle w:val="LegalNumPar2"/>
        <w:numPr>
          <w:ilvl w:val="1"/>
          <w:numId w:val="95"/>
        </w:numPr>
        <w:jc w:val="both"/>
        <w:rPr>
          <w:rFonts w:ascii="Times New Roman" w:hAnsi="Times New Roman" w:cs="Times New Roman"/>
          <w:noProof/>
          <w:sz w:val="24"/>
          <w:szCs w:val="24"/>
        </w:rPr>
      </w:pPr>
      <w:r>
        <w:rPr>
          <w:rFonts w:ascii="Times New Roman" w:hAnsi="Times New Roman"/>
          <w:noProof/>
          <w:sz w:val="24"/>
        </w:rPr>
        <w:t>Lõpliku otsuse laenude emiteerimise kohta teevad finantsvahendajad valitsusest sõltumatult kooskõlas oma põhimõtete ja menetlustega.</w:t>
      </w:r>
    </w:p>
    <w:p w14:paraId="13CA6DC0" w14:textId="77777777" w:rsidR="006509FD" w:rsidRPr="00445574" w:rsidRDefault="006509FD" w:rsidP="006509FD">
      <w:pPr>
        <w:pStyle w:val="LegalNumPar2"/>
        <w:numPr>
          <w:ilvl w:val="1"/>
          <w:numId w:val="95"/>
        </w:numPr>
        <w:jc w:val="both"/>
        <w:rPr>
          <w:rFonts w:ascii="Times New Roman" w:hAnsi="Times New Roman" w:cs="Times New Roman"/>
          <w:noProof/>
          <w:sz w:val="24"/>
          <w:szCs w:val="24"/>
        </w:rPr>
      </w:pPr>
      <w:r>
        <w:rPr>
          <w:rFonts w:ascii="Times New Roman" w:hAnsi="Times New Roman"/>
          <w:noProof/>
          <w:sz w:val="24"/>
        </w:rPr>
        <w:t xml:space="preserve">Finantsvahendajate kohustus teha oma otsused </w:t>
      </w:r>
      <w:r w:rsidRPr="00C23759">
        <w:rPr>
          <w:rFonts w:ascii="Times New Roman" w:hAnsi="Times New Roman"/>
          <w:i/>
          <w:iCs/>
          <w:noProof/>
          <w:sz w:val="24"/>
        </w:rPr>
        <w:t>mutatis mutandis</w:t>
      </w:r>
      <w:r>
        <w:rPr>
          <w:rFonts w:ascii="Times New Roman" w:hAnsi="Times New Roman"/>
          <w:noProof/>
          <w:sz w:val="24"/>
        </w:rPr>
        <w:t xml:space="preserve"> kooskõlas eespool nimetatud investeerimispoliitika nõuetega. </w:t>
      </w:r>
    </w:p>
    <w:p w14:paraId="57E11EBD" w14:textId="7B0A533E" w:rsidR="006509FD" w:rsidRPr="00445574" w:rsidRDefault="006509FD" w:rsidP="006509FD">
      <w:pPr>
        <w:pStyle w:val="LegalNumPar2"/>
        <w:numPr>
          <w:ilvl w:val="1"/>
          <w:numId w:val="95"/>
        </w:numPr>
        <w:jc w:val="both"/>
        <w:rPr>
          <w:rFonts w:ascii="Times New Roman" w:hAnsi="Times New Roman" w:cs="Times New Roman"/>
          <w:noProof/>
          <w:sz w:val="24"/>
          <w:szCs w:val="24"/>
        </w:rPr>
      </w:pPr>
      <w:r>
        <w:rPr>
          <w:rFonts w:ascii="Times New Roman" w:hAnsi="Times New Roman"/>
          <w:noProof/>
          <w:sz w:val="24"/>
        </w:rPr>
        <w:t>Järelevalve-, auditeerimis- ja kontrollinõuded finantsvahendajatele, sealhulgas:</w:t>
      </w:r>
    </w:p>
    <w:p w14:paraId="72651724" w14:textId="77777777" w:rsidR="006509FD" w:rsidRPr="00445574" w:rsidRDefault="006509FD" w:rsidP="006509FD">
      <w:pPr>
        <w:pStyle w:val="LegalNumPar2"/>
        <w:numPr>
          <w:ilvl w:val="2"/>
          <w:numId w:val="96"/>
        </w:numPr>
        <w:jc w:val="both"/>
        <w:rPr>
          <w:rFonts w:ascii="Times New Roman" w:hAnsi="Times New Roman" w:cs="Times New Roman"/>
          <w:noProof/>
          <w:sz w:val="24"/>
          <w:szCs w:val="24"/>
        </w:rPr>
      </w:pPr>
      <w:r>
        <w:rPr>
          <w:rFonts w:ascii="Times New Roman" w:hAnsi="Times New Roman"/>
          <w:noProof/>
          <w:sz w:val="24"/>
        </w:rPr>
        <w:t>Finantsvahendajate järelevalvesüsteemi kirjeldus, et anda aru kaasatud investeeringute kohta.</w:t>
      </w:r>
    </w:p>
    <w:p w14:paraId="2B35C228" w14:textId="77777777" w:rsidR="006509FD" w:rsidRPr="00445574" w:rsidRDefault="006509FD" w:rsidP="006509FD">
      <w:pPr>
        <w:pStyle w:val="LegalNumPar2"/>
        <w:numPr>
          <w:ilvl w:val="2"/>
          <w:numId w:val="96"/>
        </w:numPr>
        <w:jc w:val="both"/>
        <w:rPr>
          <w:rFonts w:ascii="Times New Roman" w:hAnsi="Times New Roman" w:cs="Times New Roman"/>
          <w:noProof/>
          <w:sz w:val="24"/>
          <w:szCs w:val="24"/>
        </w:rPr>
      </w:pPr>
      <w:r>
        <w:rPr>
          <w:rFonts w:ascii="Times New Roman" w:hAnsi="Times New Roman"/>
          <w:noProof/>
          <w:sz w:val="24"/>
        </w:rPr>
        <w:t xml:space="preserve">Selliste finantsvahendajate menetluste kirjeldus, millega tagatakse pettuste, korruptsiooni ja huvide konfliktide ennetamine, avastamine ja kõrvaldamine. </w:t>
      </w:r>
    </w:p>
    <w:p w14:paraId="48663898" w14:textId="6BE519E9" w:rsidR="006509FD" w:rsidRPr="00445574" w:rsidRDefault="006509FD" w:rsidP="006509FD">
      <w:pPr>
        <w:pStyle w:val="LegalNumPar2"/>
        <w:numPr>
          <w:ilvl w:val="2"/>
          <w:numId w:val="96"/>
        </w:numPr>
        <w:jc w:val="both"/>
        <w:rPr>
          <w:rFonts w:ascii="Times New Roman" w:hAnsi="Times New Roman" w:cs="Times New Roman"/>
          <w:noProof/>
          <w:sz w:val="24"/>
          <w:szCs w:val="24"/>
        </w:rPr>
      </w:pPr>
      <w:r>
        <w:rPr>
          <w:rFonts w:ascii="Times New Roman" w:hAnsi="Times New Roman"/>
          <w:noProof/>
          <w:sz w:val="24"/>
        </w:rPr>
        <w:t>Kohustus kontrollida iga tegevuse rahastamiskõlblikkust vastavalt rakenduskokkuleppes sätestatud nõuetele, enne kui ta kohustub toimingut rahastama.</w:t>
      </w:r>
    </w:p>
    <w:p w14:paraId="149604AD" w14:textId="1F8E09BD" w:rsidR="006509FD" w:rsidRPr="00445574" w:rsidRDefault="006509FD" w:rsidP="006509FD">
      <w:pPr>
        <w:pStyle w:val="LegalNumPar2"/>
        <w:numPr>
          <w:ilvl w:val="2"/>
          <w:numId w:val="96"/>
        </w:numPr>
        <w:jc w:val="both"/>
        <w:rPr>
          <w:rFonts w:ascii="Times New Roman" w:hAnsi="Times New Roman" w:cs="Times New Roman"/>
          <w:noProof/>
          <w:sz w:val="24"/>
          <w:szCs w:val="24"/>
        </w:rPr>
      </w:pPr>
      <w:r>
        <w:rPr>
          <w:rFonts w:ascii="Times New Roman" w:hAnsi="Times New Roman"/>
          <w:noProof/>
          <w:sz w:val="24"/>
        </w:rPr>
        <w:t xml:space="preserve">Kohustus teha riskipõhiseid järelauditeid kooskõlas finantsvahendajate auditikavaga. Nende audititega kontrollitakse järgmist: i) et kontrollisüsteemid on tõhusad, sealhulgas pettuste, korruptsiooni ja huvide konflikti avastamine; ning ii) järgitakse nõuet, et rahastu lõplikud abisaajad ei ole saanud samade kulude katmiseks toetust muudest liidu vahenditest. Auditite käigus kontrollitakse ka tehingute seaduslikkust ja kohaldatavate lepingute tingimuste täitmist. </w:t>
      </w:r>
    </w:p>
    <w:p w14:paraId="1A4849B5" w14:textId="77777777" w:rsidR="006509FD" w:rsidRDefault="006509FD" w:rsidP="006509FD">
      <w:pPr>
        <w:spacing w:before="120" w:after="120" w:line="240" w:lineRule="auto"/>
        <w:jc w:val="both"/>
        <w:rPr>
          <w:rFonts w:ascii="Times New Roman" w:hAnsi="Times New Roman"/>
          <w:b/>
          <w:noProof/>
          <w:sz w:val="24"/>
        </w:rPr>
      </w:pPr>
      <w:r>
        <w:rPr>
          <w:rFonts w:ascii="Times New Roman" w:hAnsi="Times New Roman"/>
          <w:noProof/>
          <w:sz w:val="24"/>
        </w:rPr>
        <w:t>Meetme rakendamine viiakse lõpule 31. augustiks 2026.</w:t>
      </w:r>
    </w:p>
    <w:p w14:paraId="57EA0A07" w14:textId="77777777" w:rsidR="004E363A" w:rsidRPr="00246176" w:rsidRDefault="004E363A" w:rsidP="004E363A">
      <w:pPr>
        <w:spacing w:before="120" w:after="120" w:line="240" w:lineRule="auto"/>
        <w:ind w:firstLine="6"/>
        <w:jc w:val="both"/>
        <w:outlineLvl w:val="3"/>
        <w:rPr>
          <w:rFonts w:ascii="Times New Roman" w:hAnsi="Times New Roman"/>
          <w:b/>
          <w:noProof/>
          <w:sz w:val="24"/>
        </w:rPr>
      </w:pPr>
      <w:r>
        <w:rPr>
          <w:rFonts w:ascii="Times New Roman" w:hAnsi="Times New Roman"/>
          <w:noProof/>
          <w:sz w:val="24"/>
        </w:rPr>
        <w:t xml:space="preserve"> </w:t>
      </w:r>
    </w:p>
    <w:p w14:paraId="488F8310" w14:textId="77777777" w:rsidR="004E363A" w:rsidRDefault="004E363A" w:rsidP="004E363A">
      <w:pPr>
        <w:spacing w:before="120" w:after="120" w:line="240" w:lineRule="auto"/>
        <w:ind w:firstLine="6"/>
        <w:jc w:val="both"/>
        <w:outlineLvl w:val="3"/>
        <w:rPr>
          <w:rFonts w:ascii="Times New Roman" w:hAnsi="Times New Roman"/>
          <w:b/>
          <w:noProof/>
          <w:sz w:val="24"/>
          <w:lang w:val="en-GB"/>
        </w:rPr>
      </w:pPr>
    </w:p>
    <w:p w14:paraId="44A3D275" w14:textId="77777777" w:rsidR="004E363A" w:rsidRPr="00E02B5D" w:rsidRDefault="004E363A" w:rsidP="004E363A">
      <w:pPr>
        <w:spacing w:before="120" w:after="120" w:line="240" w:lineRule="auto"/>
        <w:jc w:val="both"/>
        <w:rPr>
          <w:rFonts w:ascii="Times New Roman" w:hAnsi="Times New Roman" w:cs="Times New Roman"/>
          <w:i/>
          <w:noProof/>
          <w:sz w:val="24"/>
          <w:u w:val="single"/>
          <w:lang w:val="en-GB"/>
        </w:rPr>
      </w:pPr>
    </w:p>
    <w:p w14:paraId="5BCD9D95" w14:textId="77777777" w:rsidR="004E363A" w:rsidRPr="00E02B5D" w:rsidRDefault="004E363A" w:rsidP="004E363A">
      <w:pPr>
        <w:spacing w:after="160" w:line="259" w:lineRule="auto"/>
        <w:ind w:left="709"/>
        <w:contextualSpacing/>
        <w:jc w:val="both"/>
        <w:rPr>
          <w:noProof/>
          <w:lang w:val="en-GB"/>
        </w:rPr>
      </w:pPr>
    </w:p>
    <w:p w14:paraId="42E3E486" w14:textId="77777777" w:rsidR="004E363A" w:rsidRPr="00E02B5D" w:rsidRDefault="004E363A" w:rsidP="004E363A">
      <w:pPr>
        <w:spacing w:after="160" w:line="259" w:lineRule="auto"/>
        <w:ind w:left="709"/>
        <w:contextualSpacing/>
        <w:jc w:val="both"/>
        <w:rPr>
          <w:noProof/>
          <w:lang w:val="en-GB"/>
        </w:rPr>
        <w:sectPr w:rsidR="004E363A" w:rsidRPr="00E02B5D" w:rsidSect="004E363A">
          <w:headerReference w:type="even" r:id="rId242"/>
          <w:headerReference w:type="default" r:id="rId243"/>
          <w:footerReference w:type="even" r:id="rId244"/>
          <w:footerReference w:type="default" r:id="rId245"/>
          <w:headerReference w:type="first" r:id="rId246"/>
          <w:footerReference w:type="first" r:id="rId247"/>
          <w:pgSz w:w="11907" w:h="16839"/>
          <w:pgMar w:top="1134" w:right="1417" w:bottom="1134" w:left="1417" w:header="709" w:footer="326" w:gutter="0"/>
          <w:cols w:space="720"/>
          <w:docGrid w:linePitch="360"/>
        </w:sectPr>
      </w:pPr>
    </w:p>
    <w:p w14:paraId="3BC2AE40" w14:textId="77777777" w:rsidR="004E363A" w:rsidRPr="00E02B5D" w:rsidRDefault="004E363A" w:rsidP="004E363A">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B.4. </w:t>
      </w:r>
      <w:r>
        <w:rPr>
          <w:noProof/>
        </w:rPr>
        <w:tab/>
      </w:r>
      <w:r>
        <w:rPr>
          <w:rFonts w:ascii="Times New Roman" w:hAnsi="Times New Roman"/>
          <w:b/>
          <w:noProof/>
          <w:sz w:val="24"/>
          <w:u w:val="single"/>
        </w:rPr>
        <w:t xml:space="preserve">Laenu eesmärgid, sihid, näitajad ning seire ja rakendamise ajakava </w:t>
      </w:r>
    </w:p>
    <w:p w14:paraId="36A3AD02" w14:textId="77777777" w:rsidR="004E363A" w:rsidRPr="00E02B5D" w:rsidRDefault="00226EBB" w:rsidP="004E363A">
      <w:pPr>
        <w:keepNext/>
        <w:keepLines/>
        <w:spacing w:before="40" w:after="240" w:line="240" w:lineRule="auto"/>
        <w:jc w:val="both"/>
        <w:outlineLvl w:val="4"/>
        <w:rPr>
          <w:rFonts w:ascii="Cambria" w:eastAsia="Times New Roman" w:hAnsi="Cambria"/>
          <w:noProof/>
          <w:color w:val="365F91"/>
          <w:sz w:val="24"/>
        </w:rPr>
      </w:pPr>
      <w:r>
        <w:rPr>
          <w:rFonts w:ascii="Cambria" w:hAnsi="Cambria"/>
          <w:noProof/>
          <w:color w:val="365F91"/>
          <w:sz w:val="24"/>
        </w:rPr>
        <w:t>Taskukohase hinnaga eluasemeprogramm „My Home II“ (16400)</w:t>
      </w: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992"/>
        <w:gridCol w:w="1280"/>
        <w:gridCol w:w="1272"/>
        <w:gridCol w:w="1134"/>
        <w:gridCol w:w="855"/>
        <w:gridCol w:w="846"/>
        <w:gridCol w:w="716"/>
        <w:gridCol w:w="653"/>
        <w:gridCol w:w="5730"/>
      </w:tblGrid>
      <w:tr w:rsidR="004E363A" w:rsidRPr="003B132A" w14:paraId="364DAC77" w14:textId="77777777" w:rsidTr="00A72431">
        <w:trPr>
          <w:trHeight w:val="810"/>
          <w:tblHeader/>
          <w:jc w:val="center"/>
        </w:trPr>
        <w:tc>
          <w:tcPr>
            <w:tcW w:w="704" w:type="dxa"/>
            <w:vMerge w:val="restart"/>
            <w:shd w:val="clear" w:color="auto" w:fill="BDD7EE"/>
            <w:vAlign w:val="center"/>
            <w:hideMark/>
          </w:tcPr>
          <w:p w14:paraId="403104D0" w14:textId="77777777" w:rsidR="004E363A" w:rsidRPr="00E02B5D" w:rsidRDefault="004E363A">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Järjekorranumber</w:t>
            </w:r>
          </w:p>
        </w:tc>
        <w:tc>
          <w:tcPr>
            <w:tcW w:w="1701" w:type="dxa"/>
            <w:vMerge w:val="restart"/>
            <w:shd w:val="clear" w:color="auto" w:fill="BDD7EE"/>
            <w:vAlign w:val="center"/>
            <w:hideMark/>
          </w:tcPr>
          <w:p w14:paraId="3392664C" w14:textId="77777777" w:rsidR="004E363A" w:rsidRPr="00E02B5D" w:rsidRDefault="004E363A">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Seotud meede (reform või investeering)</w:t>
            </w:r>
          </w:p>
        </w:tc>
        <w:tc>
          <w:tcPr>
            <w:tcW w:w="992" w:type="dxa"/>
            <w:vMerge w:val="restart"/>
            <w:shd w:val="clear" w:color="auto" w:fill="BDD7EE"/>
            <w:vAlign w:val="center"/>
            <w:hideMark/>
          </w:tcPr>
          <w:p w14:paraId="126B3712" w14:textId="77777777" w:rsidR="004E363A" w:rsidRPr="00E02B5D" w:rsidRDefault="004E363A">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Eesmärk / siht</w:t>
            </w:r>
          </w:p>
        </w:tc>
        <w:tc>
          <w:tcPr>
            <w:tcW w:w="1280" w:type="dxa"/>
            <w:vMerge w:val="restart"/>
            <w:shd w:val="clear" w:color="auto" w:fill="BDD7EE"/>
            <w:vAlign w:val="center"/>
            <w:hideMark/>
          </w:tcPr>
          <w:p w14:paraId="362C6FA0" w14:textId="77777777" w:rsidR="004E363A" w:rsidRPr="00E02B5D" w:rsidRDefault="004E363A">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Nimi</w:t>
            </w:r>
          </w:p>
        </w:tc>
        <w:tc>
          <w:tcPr>
            <w:tcW w:w="1272" w:type="dxa"/>
            <w:vMerge w:val="restart"/>
            <w:shd w:val="clear" w:color="auto" w:fill="BDD7EE"/>
            <w:vAlign w:val="center"/>
            <w:hideMark/>
          </w:tcPr>
          <w:p w14:paraId="61C32EE8" w14:textId="77777777" w:rsidR="004E363A" w:rsidRPr="00E02B5D" w:rsidRDefault="004E363A">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Kvalitatiivsed näitajad (eesmärkide puhul)</w:t>
            </w:r>
          </w:p>
        </w:tc>
        <w:tc>
          <w:tcPr>
            <w:tcW w:w="2835" w:type="dxa"/>
            <w:gridSpan w:val="3"/>
            <w:shd w:val="clear" w:color="auto" w:fill="BDD7EE"/>
            <w:vAlign w:val="center"/>
            <w:hideMark/>
          </w:tcPr>
          <w:p w14:paraId="17EB55B2" w14:textId="77777777" w:rsidR="004E363A" w:rsidRPr="00E02B5D" w:rsidRDefault="004E363A">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Kvantitatiivsed näitajad (sihtide puhul)</w:t>
            </w:r>
          </w:p>
        </w:tc>
        <w:tc>
          <w:tcPr>
            <w:tcW w:w="1369" w:type="dxa"/>
            <w:gridSpan w:val="2"/>
            <w:shd w:val="clear" w:color="auto" w:fill="BDD7EE"/>
            <w:vAlign w:val="center"/>
            <w:hideMark/>
          </w:tcPr>
          <w:p w14:paraId="3A435838" w14:textId="77777777" w:rsidR="004E363A" w:rsidRPr="00E02B5D" w:rsidRDefault="004E363A">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Lõpuleviimise soovituslik ajakava</w:t>
            </w:r>
          </w:p>
        </w:tc>
        <w:tc>
          <w:tcPr>
            <w:tcW w:w="5730" w:type="dxa"/>
            <w:vMerge w:val="restart"/>
            <w:shd w:val="clear" w:color="auto" w:fill="BDD7EE"/>
            <w:vAlign w:val="center"/>
            <w:hideMark/>
          </w:tcPr>
          <w:p w14:paraId="449C2BEB" w14:textId="77777777" w:rsidR="004E363A" w:rsidRPr="00E02B5D" w:rsidRDefault="004E363A">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Iga eesmärgi ja sihi kirjeldus</w:t>
            </w:r>
          </w:p>
        </w:tc>
      </w:tr>
      <w:tr w:rsidR="004E363A" w:rsidRPr="00E02B5D" w14:paraId="5DEB8C31" w14:textId="77777777" w:rsidTr="00A72431">
        <w:trPr>
          <w:trHeight w:val="581"/>
          <w:tblHeader/>
          <w:jc w:val="center"/>
        </w:trPr>
        <w:tc>
          <w:tcPr>
            <w:tcW w:w="704" w:type="dxa"/>
            <w:vMerge/>
            <w:vAlign w:val="center"/>
            <w:hideMark/>
          </w:tcPr>
          <w:p w14:paraId="5CDE1FC1" w14:textId="77777777" w:rsidR="004E363A" w:rsidRPr="00AD4052" w:rsidRDefault="004E363A">
            <w:pPr>
              <w:spacing w:after="0" w:line="240" w:lineRule="auto"/>
              <w:rPr>
                <w:rFonts w:ascii="Times New Roman" w:eastAsia="Times New Roman" w:hAnsi="Times New Roman" w:cs="Times New Roman"/>
                <w:b/>
                <w:bCs/>
                <w:noProof/>
                <w:sz w:val="24"/>
                <w:szCs w:val="24"/>
                <w:lang w:eastAsia="en-GB"/>
              </w:rPr>
            </w:pPr>
          </w:p>
        </w:tc>
        <w:tc>
          <w:tcPr>
            <w:tcW w:w="1701" w:type="dxa"/>
            <w:vMerge/>
            <w:vAlign w:val="center"/>
            <w:hideMark/>
          </w:tcPr>
          <w:p w14:paraId="507516BD" w14:textId="77777777" w:rsidR="004E363A" w:rsidRPr="00AD4052" w:rsidRDefault="004E363A">
            <w:pPr>
              <w:spacing w:after="0" w:line="240" w:lineRule="auto"/>
              <w:rPr>
                <w:rFonts w:ascii="Times New Roman" w:eastAsia="Times New Roman" w:hAnsi="Times New Roman" w:cs="Times New Roman"/>
                <w:b/>
                <w:bCs/>
                <w:noProof/>
                <w:sz w:val="24"/>
                <w:szCs w:val="24"/>
                <w:lang w:eastAsia="en-GB"/>
              </w:rPr>
            </w:pPr>
          </w:p>
        </w:tc>
        <w:tc>
          <w:tcPr>
            <w:tcW w:w="992" w:type="dxa"/>
            <w:vMerge/>
            <w:vAlign w:val="center"/>
            <w:hideMark/>
          </w:tcPr>
          <w:p w14:paraId="36F63284" w14:textId="77777777" w:rsidR="004E363A" w:rsidRPr="00AD4052" w:rsidRDefault="004E363A">
            <w:pPr>
              <w:spacing w:after="0" w:line="240" w:lineRule="auto"/>
              <w:rPr>
                <w:rFonts w:ascii="Times New Roman" w:eastAsia="Times New Roman" w:hAnsi="Times New Roman" w:cs="Times New Roman"/>
                <w:b/>
                <w:bCs/>
                <w:noProof/>
                <w:sz w:val="24"/>
                <w:szCs w:val="24"/>
                <w:lang w:eastAsia="en-GB"/>
              </w:rPr>
            </w:pPr>
          </w:p>
        </w:tc>
        <w:tc>
          <w:tcPr>
            <w:tcW w:w="1280" w:type="dxa"/>
            <w:vMerge/>
            <w:vAlign w:val="center"/>
            <w:hideMark/>
          </w:tcPr>
          <w:p w14:paraId="1DFCD456" w14:textId="77777777" w:rsidR="004E363A" w:rsidRPr="00AD4052" w:rsidRDefault="004E363A">
            <w:pPr>
              <w:spacing w:after="0" w:line="240" w:lineRule="auto"/>
              <w:rPr>
                <w:rFonts w:ascii="Times New Roman" w:eastAsia="Times New Roman" w:hAnsi="Times New Roman" w:cs="Times New Roman"/>
                <w:b/>
                <w:bCs/>
                <w:noProof/>
                <w:sz w:val="24"/>
                <w:szCs w:val="24"/>
                <w:lang w:eastAsia="en-GB"/>
              </w:rPr>
            </w:pPr>
          </w:p>
        </w:tc>
        <w:tc>
          <w:tcPr>
            <w:tcW w:w="1272" w:type="dxa"/>
            <w:vMerge/>
            <w:vAlign w:val="center"/>
            <w:hideMark/>
          </w:tcPr>
          <w:p w14:paraId="076AADAE" w14:textId="77777777" w:rsidR="004E363A" w:rsidRPr="00AD4052" w:rsidRDefault="004E363A">
            <w:pPr>
              <w:spacing w:after="0" w:line="240" w:lineRule="auto"/>
              <w:rPr>
                <w:rFonts w:ascii="Times New Roman" w:eastAsia="Times New Roman" w:hAnsi="Times New Roman" w:cs="Times New Roman"/>
                <w:b/>
                <w:bCs/>
                <w:noProof/>
                <w:sz w:val="24"/>
                <w:szCs w:val="24"/>
                <w:lang w:eastAsia="en-GB"/>
              </w:rPr>
            </w:pPr>
          </w:p>
        </w:tc>
        <w:tc>
          <w:tcPr>
            <w:tcW w:w="1134" w:type="dxa"/>
            <w:shd w:val="clear" w:color="auto" w:fill="BDD7EE"/>
            <w:vAlign w:val="center"/>
            <w:hideMark/>
          </w:tcPr>
          <w:p w14:paraId="229595CC" w14:textId="77777777" w:rsidR="004E363A" w:rsidRPr="00E02B5D" w:rsidRDefault="004E363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855" w:type="dxa"/>
            <w:shd w:val="clear" w:color="auto" w:fill="BDD7EE"/>
            <w:vAlign w:val="center"/>
            <w:hideMark/>
          </w:tcPr>
          <w:p w14:paraId="5FA085AE" w14:textId="77777777" w:rsidR="004E363A" w:rsidRPr="00E02B5D" w:rsidRDefault="004E363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Lähtetase</w:t>
            </w:r>
          </w:p>
        </w:tc>
        <w:tc>
          <w:tcPr>
            <w:tcW w:w="846" w:type="dxa"/>
            <w:shd w:val="clear" w:color="auto" w:fill="BDD7EE"/>
            <w:vAlign w:val="center"/>
            <w:hideMark/>
          </w:tcPr>
          <w:p w14:paraId="2C35447F" w14:textId="77777777" w:rsidR="004E363A" w:rsidRPr="00E02B5D" w:rsidRDefault="004E363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w:t>
            </w:r>
          </w:p>
        </w:tc>
        <w:tc>
          <w:tcPr>
            <w:tcW w:w="716" w:type="dxa"/>
            <w:shd w:val="clear" w:color="auto" w:fill="BDD7EE"/>
            <w:vAlign w:val="center"/>
            <w:hideMark/>
          </w:tcPr>
          <w:p w14:paraId="12917F47" w14:textId="77777777" w:rsidR="004E363A" w:rsidRPr="00E02B5D" w:rsidRDefault="004E363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653" w:type="dxa"/>
            <w:shd w:val="clear" w:color="auto" w:fill="BDD7EE"/>
            <w:vAlign w:val="center"/>
            <w:hideMark/>
          </w:tcPr>
          <w:p w14:paraId="72CC70AD" w14:textId="77777777" w:rsidR="004E363A" w:rsidRPr="00E02B5D" w:rsidRDefault="004E363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5730" w:type="dxa"/>
            <w:vMerge/>
            <w:vAlign w:val="center"/>
            <w:hideMark/>
          </w:tcPr>
          <w:p w14:paraId="280B8B4B" w14:textId="77777777" w:rsidR="004E363A" w:rsidRPr="00E02B5D" w:rsidRDefault="004E363A">
            <w:pPr>
              <w:spacing w:after="0" w:line="240" w:lineRule="auto"/>
              <w:rPr>
                <w:rFonts w:ascii="Times New Roman" w:eastAsia="Times New Roman" w:hAnsi="Times New Roman" w:cs="Times New Roman"/>
                <w:b/>
                <w:bCs/>
                <w:noProof/>
                <w:sz w:val="24"/>
                <w:szCs w:val="24"/>
                <w:lang w:val="en-GB" w:eastAsia="en-GB"/>
              </w:rPr>
            </w:pPr>
          </w:p>
        </w:tc>
      </w:tr>
      <w:tr w:rsidR="00C66B33" w:rsidRPr="003B132A" w14:paraId="141CA8E2" w14:textId="77777777" w:rsidTr="00A72431">
        <w:trPr>
          <w:trHeight w:val="314"/>
          <w:jc w:val="center"/>
        </w:trPr>
        <w:tc>
          <w:tcPr>
            <w:tcW w:w="704" w:type="dxa"/>
            <w:shd w:val="clear" w:color="auto" w:fill="C6EFCE"/>
            <w:noWrap/>
          </w:tcPr>
          <w:p w14:paraId="40B95CB2" w14:textId="5733907A" w:rsidR="004E363A" w:rsidRPr="00F6731E" w:rsidRDefault="00EA32D4">
            <w:pPr>
              <w:spacing w:after="0" w:line="240" w:lineRule="auto"/>
              <w:rPr>
                <w:noProof/>
                <w:color w:val="006100"/>
                <w:sz w:val="18"/>
              </w:rPr>
            </w:pPr>
            <w:r>
              <w:rPr>
                <w:noProof/>
                <w:color w:val="006100"/>
                <w:sz w:val="18"/>
              </w:rPr>
              <w:t>378</w:t>
            </w:r>
          </w:p>
        </w:tc>
        <w:tc>
          <w:tcPr>
            <w:tcW w:w="1701" w:type="dxa"/>
            <w:shd w:val="clear" w:color="auto" w:fill="C6EFCE"/>
            <w:noWrap/>
          </w:tcPr>
          <w:p w14:paraId="2225E910" w14:textId="77777777" w:rsidR="004E363A" w:rsidRPr="00E02B5D" w:rsidRDefault="00E900A2">
            <w:pPr>
              <w:spacing w:after="0" w:line="240" w:lineRule="auto"/>
              <w:rPr>
                <w:rFonts w:eastAsia="Times New Roman" w:cs="Calibri"/>
                <w:noProof/>
                <w:color w:val="006100"/>
                <w:sz w:val="18"/>
                <w:szCs w:val="18"/>
              </w:rPr>
            </w:pPr>
            <w:r>
              <w:rPr>
                <w:noProof/>
                <w:color w:val="006100"/>
                <w:sz w:val="18"/>
              </w:rPr>
              <w:t>11-3.4. Juurdepääsu parandamine tõhusale ja kaasavale sotsiaalpoliitikale – 16400 – taskukohase eluaseme programm „My Home II“</w:t>
            </w:r>
          </w:p>
        </w:tc>
        <w:tc>
          <w:tcPr>
            <w:tcW w:w="992" w:type="dxa"/>
            <w:shd w:val="clear" w:color="auto" w:fill="C6EFCE"/>
            <w:noWrap/>
          </w:tcPr>
          <w:p w14:paraId="236AE0D5" w14:textId="77777777" w:rsidR="004E363A" w:rsidRPr="00E02B5D" w:rsidRDefault="004E363A">
            <w:pPr>
              <w:spacing w:after="0" w:line="240" w:lineRule="auto"/>
              <w:rPr>
                <w:rFonts w:eastAsia="Times New Roman" w:cs="Calibri"/>
                <w:noProof/>
                <w:color w:val="006100"/>
                <w:sz w:val="18"/>
                <w:szCs w:val="18"/>
              </w:rPr>
            </w:pPr>
            <w:r>
              <w:rPr>
                <w:noProof/>
                <w:color w:val="006100"/>
                <w:sz w:val="18"/>
              </w:rPr>
              <w:t>Eesmärk</w:t>
            </w:r>
          </w:p>
        </w:tc>
        <w:tc>
          <w:tcPr>
            <w:tcW w:w="1280" w:type="dxa"/>
            <w:shd w:val="clear" w:color="auto" w:fill="C6EFCE"/>
            <w:noWrap/>
          </w:tcPr>
          <w:p w14:paraId="564012EF" w14:textId="54F4A577" w:rsidR="004E363A" w:rsidRPr="00E02B5D" w:rsidRDefault="002F6546">
            <w:pPr>
              <w:spacing w:after="0" w:line="240" w:lineRule="auto"/>
              <w:rPr>
                <w:rFonts w:eastAsia="Times New Roman" w:cs="Calibri"/>
                <w:noProof/>
                <w:color w:val="006100"/>
                <w:sz w:val="18"/>
                <w:szCs w:val="18"/>
              </w:rPr>
            </w:pPr>
            <w:r>
              <w:rPr>
                <w:noProof/>
                <w:color w:val="006100"/>
                <w:sz w:val="18"/>
              </w:rPr>
              <w:t>„My Home II“ – Kreeka Arengupanga ja rahandusministeeriumi vaheline rakendusleping</w:t>
            </w:r>
          </w:p>
        </w:tc>
        <w:tc>
          <w:tcPr>
            <w:tcW w:w="1272" w:type="dxa"/>
            <w:shd w:val="clear" w:color="auto" w:fill="C6EFCE"/>
            <w:noWrap/>
          </w:tcPr>
          <w:p w14:paraId="73234691" w14:textId="63323F73" w:rsidR="004E363A" w:rsidRPr="00E02B5D" w:rsidRDefault="004E363A">
            <w:pPr>
              <w:spacing w:after="0" w:line="240" w:lineRule="auto"/>
              <w:rPr>
                <w:rFonts w:eastAsia="Times New Roman" w:cs="Calibri"/>
                <w:noProof/>
                <w:color w:val="006100"/>
                <w:sz w:val="18"/>
                <w:szCs w:val="18"/>
              </w:rPr>
            </w:pPr>
            <w:r>
              <w:rPr>
                <w:noProof/>
                <w:color w:val="006100"/>
                <w:sz w:val="18"/>
              </w:rPr>
              <w:t>Rakenduskokkuleppe jõustumine</w:t>
            </w:r>
          </w:p>
        </w:tc>
        <w:tc>
          <w:tcPr>
            <w:tcW w:w="1134" w:type="dxa"/>
            <w:shd w:val="clear" w:color="auto" w:fill="C6EFCE"/>
            <w:noWrap/>
          </w:tcPr>
          <w:p w14:paraId="2B573086" w14:textId="77777777" w:rsidR="004E363A" w:rsidRPr="00E02B5D" w:rsidRDefault="004E363A">
            <w:pPr>
              <w:spacing w:after="0" w:line="240" w:lineRule="auto"/>
              <w:rPr>
                <w:rFonts w:eastAsia="Times New Roman" w:cs="Calibri"/>
                <w:noProof/>
                <w:color w:val="006100"/>
                <w:sz w:val="18"/>
                <w:szCs w:val="18"/>
                <w:lang w:val="en-GB" w:eastAsia="en-GB"/>
              </w:rPr>
            </w:pPr>
          </w:p>
        </w:tc>
        <w:tc>
          <w:tcPr>
            <w:tcW w:w="855" w:type="dxa"/>
            <w:shd w:val="clear" w:color="auto" w:fill="C6EFCE"/>
            <w:noWrap/>
          </w:tcPr>
          <w:p w14:paraId="4AED444B" w14:textId="77777777" w:rsidR="004E363A" w:rsidRPr="00E02B5D" w:rsidRDefault="004E363A">
            <w:pPr>
              <w:spacing w:after="0" w:line="240" w:lineRule="auto"/>
              <w:rPr>
                <w:rFonts w:eastAsia="Times New Roman" w:cs="Calibri"/>
                <w:noProof/>
                <w:color w:val="006100"/>
                <w:sz w:val="18"/>
                <w:szCs w:val="18"/>
                <w:lang w:val="en-GB" w:eastAsia="en-GB"/>
              </w:rPr>
            </w:pPr>
          </w:p>
        </w:tc>
        <w:tc>
          <w:tcPr>
            <w:tcW w:w="846" w:type="dxa"/>
            <w:shd w:val="clear" w:color="auto" w:fill="C6EFCE"/>
            <w:noWrap/>
          </w:tcPr>
          <w:p w14:paraId="0B61D341" w14:textId="77777777" w:rsidR="004E363A" w:rsidRPr="00E02B5D" w:rsidRDefault="004E363A">
            <w:pPr>
              <w:spacing w:after="0" w:line="240" w:lineRule="auto"/>
              <w:rPr>
                <w:rFonts w:eastAsia="Times New Roman" w:cs="Calibri"/>
                <w:noProof/>
                <w:color w:val="006100"/>
                <w:sz w:val="18"/>
                <w:szCs w:val="18"/>
                <w:lang w:val="en-GB" w:eastAsia="en-GB"/>
              </w:rPr>
            </w:pPr>
          </w:p>
        </w:tc>
        <w:tc>
          <w:tcPr>
            <w:tcW w:w="716" w:type="dxa"/>
            <w:shd w:val="clear" w:color="auto" w:fill="C6EFCE"/>
            <w:noWrap/>
          </w:tcPr>
          <w:p w14:paraId="42F22E91" w14:textId="77777777" w:rsidR="004E363A" w:rsidRPr="00E02B5D" w:rsidRDefault="004E363A">
            <w:pPr>
              <w:spacing w:after="0" w:line="240" w:lineRule="auto"/>
              <w:rPr>
                <w:rFonts w:eastAsia="Times New Roman" w:cs="Calibri"/>
                <w:noProof/>
                <w:color w:val="006100"/>
                <w:sz w:val="18"/>
                <w:szCs w:val="18"/>
              </w:rPr>
            </w:pPr>
            <w:r>
              <w:rPr>
                <w:noProof/>
                <w:color w:val="006100"/>
                <w:sz w:val="18"/>
              </w:rPr>
              <w:t>4. kv</w:t>
            </w:r>
          </w:p>
        </w:tc>
        <w:tc>
          <w:tcPr>
            <w:tcW w:w="653" w:type="dxa"/>
            <w:shd w:val="clear" w:color="auto" w:fill="C6EFCE"/>
            <w:noWrap/>
          </w:tcPr>
          <w:p w14:paraId="5FF1553A" w14:textId="77777777" w:rsidR="004E363A" w:rsidRPr="00E02B5D" w:rsidRDefault="004E363A">
            <w:pPr>
              <w:spacing w:after="0" w:line="240" w:lineRule="auto"/>
              <w:rPr>
                <w:rFonts w:eastAsia="Times New Roman" w:cs="Calibri"/>
                <w:noProof/>
                <w:color w:val="006100"/>
                <w:sz w:val="18"/>
                <w:szCs w:val="18"/>
              </w:rPr>
            </w:pPr>
            <w:r>
              <w:rPr>
                <w:noProof/>
                <w:color w:val="006100"/>
                <w:sz w:val="18"/>
              </w:rPr>
              <w:t>2024</w:t>
            </w:r>
          </w:p>
        </w:tc>
        <w:tc>
          <w:tcPr>
            <w:tcW w:w="5730" w:type="dxa"/>
            <w:shd w:val="clear" w:color="auto" w:fill="C6EFCE"/>
            <w:noWrap/>
          </w:tcPr>
          <w:p w14:paraId="485F8922" w14:textId="7590D727" w:rsidR="004E363A" w:rsidRPr="00E02B5D" w:rsidRDefault="004E363A">
            <w:pPr>
              <w:spacing w:after="0" w:line="240" w:lineRule="auto"/>
              <w:rPr>
                <w:rFonts w:eastAsia="Times New Roman" w:cs="Calibri"/>
                <w:noProof/>
                <w:color w:val="006100"/>
                <w:sz w:val="18"/>
                <w:szCs w:val="18"/>
              </w:rPr>
            </w:pPr>
            <w:r>
              <w:rPr>
                <w:noProof/>
                <w:color w:val="006100"/>
                <w:sz w:val="18"/>
              </w:rPr>
              <w:t>Rakenduskokkuleppe jõustumine.</w:t>
            </w:r>
          </w:p>
        </w:tc>
      </w:tr>
      <w:tr w:rsidR="00B476FF" w:rsidRPr="003B132A" w14:paraId="56B7C5D2" w14:textId="77777777" w:rsidTr="00A72431">
        <w:trPr>
          <w:trHeight w:val="314"/>
          <w:jc w:val="center"/>
        </w:trPr>
        <w:tc>
          <w:tcPr>
            <w:tcW w:w="704" w:type="dxa"/>
            <w:shd w:val="clear" w:color="auto" w:fill="C6EFCE"/>
            <w:noWrap/>
            <w:hideMark/>
          </w:tcPr>
          <w:p w14:paraId="009EB831" w14:textId="5CE7C07B" w:rsidR="00B476FF" w:rsidRPr="00E02B5D" w:rsidRDefault="000A6C4A" w:rsidP="00B476FF">
            <w:pPr>
              <w:spacing w:after="0" w:line="240" w:lineRule="auto"/>
              <w:rPr>
                <w:noProof/>
                <w:color w:val="006100"/>
                <w:sz w:val="18"/>
              </w:rPr>
            </w:pPr>
            <w:r>
              <w:rPr>
                <w:noProof/>
                <w:color w:val="006100"/>
                <w:sz w:val="18"/>
              </w:rPr>
              <w:t>379</w:t>
            </w:r>
          </w:p>
        </w:tc>
        <w:tc>
          <w:tcPr>
            <w:tcW w:w="1701" w:type="dxa"/>
            <w:shd w:val="clear" w:color="auto" w:fill="C6EFCE"/>
            <w:noWrap/>
            <w:hideMark/>
          </w:tcPr>
          <w:p w14:paraId="640CE0CD" w14:textId="77777777" w:rsidR="00B476FF" w:rsidRPr="00E02B5D" w:rsidRDefault="00B476FF" w:rsidP="00B476FF">
            <w:pPr>
              <w:spacing w:after="0" w:line="240" w:lineRule="auto"/>
              <w:rPr>
                <w:rFonts w:eastAsia="Times New Roman" w:cs="Calibri"/>
                <w:noProof/>
                <w:color w:val="006100"/>
                <w:sz w:val="18"/>
                <w:szCs w:val="18"/>
              </w:rPr>
            </w:pPr>
            <w:r>
              <w:rPr>
                <w:noProof/>
                <w:color w:val="006100"/>
                <w:sz w:val="18"/>
              </w:rPr>
              <w:t>11-3.4. Juurdepääsu parandamine tõhusale ja kaasavale sotsiaalpoliitikale – 16400 – taskukohase eluaseme programm „My Home II“</w:t>
            </w:r>
          </w:p>
        </w:tc>
        <w:tc>
          <w:tcPr>
            <w:tcW w:w="992" w:type="dxa"/>
            <w:shd w:val="clear" w:color="auto" w:fill="C6EFCE"/>
            <w:noWrap/>
          </w:tcPr>
          <w:p w14:paraId="5D1910BB" w14:textId="77777777" w:rsidR="00B476FF" w:rsidRPr="00E02B5D" w:rsidRDefault="00B476FF" w:rsidP="00B476FF">
            <w:pPr>
              <w:spacing w:after="0" w:line="240" w:lineRule="auto"/>
              <w:rPr>
                <w:rFonts w:eastAsia="Times New Roman" w:cs="Calibri"/>
                <w:noProof/>
                <w:color w:val="006100"/>
                <w:sz w:val="18"/>
                <w:szCs w:val="18"/>
              </w:rPr>
            </w:pPr>
            <w:r>
              <w:rPr>
                <w:noProof/>
                <w:color w:val="006100"/>
                <w:sz w:val="18"/>
              </w:rPr>
              <w:t>Siht</w:t>
            </w:r>
          </w:p>
        </w:tc>
        <w:tc>
          <w:tcPr>
            <w:tcW w:w="1280" w:type="dxa"/>
            <w:shd w:val="clear" w:color="auto" w:fill="C6EFCE"/>
            <w:noWrap/>
          </w:tcPr>
          <w:p w14:paraId="25A3CFB2" w14:textId="3D8768BC" w:rsidR="00B476FF" w:rsidRPr="00E02B5D" w:rsidRDefault="00B476FF" w:rsidP="00B476FF">
            <w:pPr>
              <w:spacing w:after="0" w:line="240" w:lineRule="auto"/>
              <w:rPr>
                <w:rFonts w:eastAsia="Times New Roman" w:cs="Calibri"/>
                <w:noProof/>
                <w:color w:val="006100"/>
                <w:sz w:val="18"/>
                <w:szCs w:val="18"/>
              </w:rPr>
            </w:pPr>
            <w:r>
              <w:rPr>
                <w:noProof/>
                <w:color w:val="006100"/>
                <w:sz w:val="18"/>
              </w:rPr>
              <w:t>„My Home II“ – lõplike toetusesaajatega allkirjastatud juriidilised lepingud – 50 %</w:t>
            </w:r>
          </w:p>
        </w:tc>
        <w:tc>
          <w:tcPr>
            <w:tcW w:w="1272" w:type="dxa"/>
            <w:shd w:val="clear" w:color="auto" w:fill="C6EFCE"/>
            <w:noWrap/>
          </w:tcPr>
          <w:p w14:paraId="18639983" w14:textId="77777777" w:rsidR="00B476FF" w:rsidRPr="00E02B5D" w:rsidRDefault="00B476FF" w:rsidP="00B476FF">
            <w:pPr>
              <w:spacing w:after="0" w:line="240" w:lineRule="auto"/>
              <w:rPr>
                <w:rFonts w:eastAsia="Times New Roman" w:cs="Calibri"/>
                <w:noProof/>
                <w:color w:val="006100"/>
                <w:sz w:val="18"/>
                <w:szCs w:val="18"/>
                <w:lang w:val="en-GB"/>
              </w:rPr>
            </w:pPr>
          </w:p>
        </w:tc>
        <w:tc>
          <w:tcPr>
            <w:tcW w:w="1134" w:type="dxa"/>
            <w:shd w:val="clear" w:color="auto" w:fill="C6EFCE"/>
            <w:noWrap/>
          </w:tcPr>
          <w:p w14:paraId="4004F2C2" w14:textId="77777777" w:rsidR="00B476FF" w:rsidRPr="00E02B5D" w:rsidRDefault="00B476FF" w:rsidP="00B476FF">
            <w:pPr>
              <w:spacing w:after="0" w:line="240" w:lineRule="auto"/>
              <w:rPr>
                <w:rFonts w:eastAsia="Times New Roman" w:cs="Calibri"/>
                <w:noProof/>
                <w:color w:val="006100"/>
                <w:sz w:val="18"/>
                <w:szCs w:val="18"/>
              </w:rPr>
            </w:pPr>
            <w:r>
              <w:rPr>
                <w:noProof/>
                <w:color w:val="006100"/>
                <w:sz w:val="18"/>
              </w:rPr>
              <w:t>Protsent (%)</w:t>
            </w:r>
          </w:p>
        </w:tc>
        <w:tc>
          <w:tcPr>
            <w:tcW w:w="855" w:type="dxa"/>
            <w:shd w:val="clear" w:color="auto" w:fill="C6EFCE"/>
            <w:noWrap/>
          </w:tcPr>
          <w:p w14:paraId="18E1D0D9" w14:textId="77777777" w:rsidR="00B476FF" w:rsidRPr="00E02B5D" w:rsidRDefault="00B476FF" w:rsidP="00B476FF">
            <w:pPr>
              <w:spacing w:after="0" w:line="240" w:lineRule="auto"/>
              <w:rPr>
                <w:rFonts w:eastAsia="Times New Roman" w:cs="Calibri"/>
                <w:noProof/>
                <w:color w:val="006100"/>
                <w:sz w:val="18"/>
                <w:szCs w:val="18"/>
              </w:rPr>
            </w:pPr>
            <w:r>
              <w:rPr>
                <w:noProof/>
                <w:color w:val="006100"/>
                <w:sz w:val="18"/>
              </w:rPr>
              <w:t>0 %</w:t>
            </w:r>
          </w:p>
        </w:tc>
        <w:tc>
          <w:tcPr>
            <w:tcW w:w="846" w:type="dxa"/>
            <w:shd w:val="clear" w:color="auto" w:fill="C6EFCE"/>
            <w:noWrap/>
          </w:tcPr>
          <w:p w14:paraId="2A15DC8A" w14:textId="77777777" w:rsidR="00B476FF" w:rsidRPr="00E02B5D" w:rsidRDefault="00B476FF" w:rsidP="00B476FF">
            <w:pPr>
              <w:spacing w:after="0" w:line="240" w:lineRule="auto"/>
              <w:rPr>
                <w:rFonts w:eastAsia="Times New Roman" w:cs="Calibri"/>
                <w:noProof/>
                <w:color w:val="006100"/>
                <w:sz w:val="18"/>
                <w:szCs w:val="18"/>
              </w:rPr>
            </w:pPr>
            <w:r>
              <w:rPr>
                <w:noProof/>
                <w:color w:val="006100"/>
                <w:sz w:val="18"/>
              </w:rPr>
              <w:t>50 %</w:t>
            </w:r>
          </w:p>
        </w:tc>
        <w:tc>
          <w:tcPr>
            <w:tcW w:w="716" w:type="dxa"/>
            <w:shd w:val="clear" w:color="auto" w:fill="C6EFCE"/>
            <w:noWrap/>
          </w:tcPr>
          <w:p w14:paraId="23BA6D75" w14:textId="77777777" w:rsidR="00B476FF" w:rsidRPr="00E02B5D" w:rsidRDefault="00B476FF" w:rsidP="00B476FF">
            <w:pPr>
              <w:spacing w:after="0" w:line="240" w:lineRule="auto"/>
              <w:rPr>
                <w:rFonts w:eastAsia="Times New Roman" w:cs="Calibri"/>
                <w:noProof/>
                <w:color w:val="006100"/>
                <w:sz w:val="18"/>
                <w:szCs w:val="18"/>
              </w:rPr>
            </w:pPr>
            <w:r>
              <w:rPr>
                <w:noProof/>
                <w:color w:val="006100"/>
                <w:sz w:val="18"/>
              </w:rPr>
              <w:t>4. kv</w:t>
            </w:r>
          </w:p>
        </w:tc>
        <w:tc>
          <w:tcPr>
            <w:tcW w:w="653" w:type="dxa"/>
            <w:shd w:val="clear" w:color="auto" w:fill="C6EFCE"/>
            <w:noWrap/>
          </w:tcPr>
          <w:p w14:paraId="4205D461" w14:textId="77777777" w:rsidR="00B476FF" w:rsidRPr="00E02B5D" w:rsidRDefault="00B476FF" w:rsidP="00B476FF">
            <w:pPr>
              <w:spacing w:after="0" w:line="240" w:lineRule="auto"/>
              <w:rPr>
                <w:rFonts w:eastAsia="Times New Roman" w:cs="Calibri"/>
                <w:noProof/>
                <w:color w:val="006100"/>
                <w:sz w:val="18"/>
                <w:szCs w:val="18"/>
              </w:rPr>
            </w:pPr>
            <w:r>
              <w:rPr>
                <w:noProof/>
                <w:color w:val="006100"/>
                <w:sz w:val="18"/>
              </w:rPr>
              <w:t>2025</w:t>
            </w:r>
          </w:p>
        </w:tc>
        <w:tc>
          <w:tcPr>
            <w:tcW w:w="5730" w:type="dxa"/>
            <w:shd w:val="clear" w:color="auto" w:fill="C6EFCE"/>
            <w:noWrap/>
          </w:tcPr>
          <w:p w14:paraId="74B173E3" w14:textId="71F60BB8" w:rsidR="00B476FF" w:rsidRPr="00E02B5D" w:rsidRDefault="00204BF3" w:rsidP="00B476FF">
            <w:pPr>
              <w:spacing w:after="0" w:line="240" w:lineRule="auto"/>
              <w:rPr>
                <w:rFonts w:eastAsia="Times New Roman" w:cs="Calibri"/>
                <w:noProof/>
                <w:color w:val="006100"/>
                <w:sz w:val="18"/>
                <w:szCs w:val="18"/>
              </w:rPr>
            </w:pPr>
            <w:r>
              <w:rPr>
                <w:noProof/>
                <w:color w:val="006100"/>
                <w:sz w:val="18"/>
              </w:rPr>
              <w:t>Finantsvahendajad peavad olema sõlminud lõplike abisaajatega juriidilised rahastamislepingud summas, mis on vajalik, et kasutada vähemalt 50 % taaste- ja vastupidavusrahastu investeeringutest rahastusse „My Home II“ (võttes arvesse haldustasusid).</w:t>
            </w:r>
          </w:p>
        </w:tc>
      </w:tr>
      <w:tr w:rsidR="00F27AB4" w:rsidRPr="003B132A" w14:paraId="5EFFD68F" w14:textId="77777777" w:rsidTr="00A72431">
        <w:trPr>
          <w:trHeight w:val="314"/>
          <w:jc w:val="center"/>
        </w:trPr>
        <w:tc>
          <w:tcPr>
            <w:tcW w:w="704" w:type="dxa"/>
            <w:shd w:val="clear" w:color="auto" w:fill="C6EFCE"/>
            <w:noWrap/>
          </w:tcPr>
          <w:p w14:paraId="632CFAF4" w14:textId="5B4EB790" w:rsidR="00F27AB4" w:rsidRPr="00E02B5D" w:rsidRDefault="000A6C4A" w:rsidP="00F27AB4">
            <w:pPr>
              <w:spacing w:after="0" w:line="240" w:lineRule="auto"/>
              <w:rPr>
                <w:noProof/>
                <w:color w:val="006100"/>
                <w:sz w:val="18"/>
              </w:rPr>
            </w:pPr>
            <w:r>
              <w:rPr>
                <w:noProof/>
                <w:color w:val="006100"/>
                <w:sz w:val="18"/>
              </w:rPr>
              <w:t>380</w:t>
            </w:r>
          </w:p>
        </w:tc>
        <w:tc>
          <w:tcPr>
            <w:tcW w:w="1701" w:type="dxa"/>
            <w:shd w:val="clear" w:color="auto" w:fill="C6EFCE"/>
            <w:noWrap/>
          </w:tcPr>
          <w:p w14:paraId="4FA45189" w14:textId="77777777" w:rsidR="00F27AB4" w:rsidRPr="00F6731E" w:rsidRDefault="00F27AB4" w:rsidP="00F27AB4">
            <w:pPr>
              <w:spacing w:after="0" w:line="240" w:lineRule="auto"/>
              <w:rPr>
                <w:noProof/>
                <w:color w:val="006100"/>
                <w:sz w:val="18"/>
              </w:rPr>
            </w:pPr>
            <w:r>
              <w:rPr>
                <w:noProof/>
                <w:color w:val="006100"/>
                <w:sz w:val="18"/>
              </w:rPr>
              <w:t>11-3.4. Juurdepääsu parandamine tõhusale ja kaasavale sotsiaalpoliitikale – 16400 – taskukohase eluaseme programm „My Home II“</w:t>
            </w:r>
          </w:p>
        </w:tc>
        <w:tc>
          <w:tcPr>
            <w:tcW w:w="992" w:type="dxa"/>
            <w:shd w:val="clear" w:color="auto" w:fill="C6EFCE"/>
            <w:noWrap/>
          </w:tcPr>
          <w:p w14:paraId="6DD8C803" w14:textId="77777777" w:rsidR="00F27AB4" w:rsidRPr="00E02B5D" w:rsidRDefault="00F27AB4" w:rsidP="00F27AB4">
            <w:pPr>
              <w:spacing w:after="0" w:line="240" w:lineRule="auto"/>
              <w:rPr>
                <w:rFonts w:eastAsia="Times New Roman" w:cs="Calibri"/>
                <w:noProof/>
                <w:color w:val="006100"/>
                <w:sz w:val="18"/>
                <w:szCs w:val="18"/>
              </w:rPr>
            </w:pPr>
            <w:r>
              <w:rPr>
                <w:noProof/>
                <w:color w:val="006100"/>
                <w:sz w:val="18"/>
              </w:rPr>
              <w:t>Siht</w:t>
            </w:r>
          </w:p>
        </w:tc>
        <w:tc>
          <w:tcPr>
            <w:tcW w:w="1280" w:type="dxa"/>
            <w:shd w:val="clear" w:color="auto" w:fill="C6EFCE"/>
            <w:noWrap/>
          </w:tcPr>
          <w:p w14:paraId="307E13BA" w14:textId="77777777" w:rsidR="00F27AB4" w:rsidRPr="00E02B5D" w:rsidRDefault="00F27AB4" w:rsidP="00F27AB4">
            <w:pPr>
              <w:spacing w:after="0" w:line="240" w:lineRule="auto"/>
              <w:rPr>
                <w:rFonts w:eastAsia="Times New Roman" w:cs="Calibri"/>
                <w:noProof/>
                <w:color w:val="006100"/>
                <w:sz w:val="18"/>
                <w:szCs w:val="18"/>
              </w:rPr>
            </w:pPr>
            <w:r>
              <w:rPr>
                <w:noProof/>
                <w:color w:val="006100"/>
                <w:sz w:val="18"/>
              </w:rPr>
              <w:t>„My Home II“ – lõplike toetusesaajatega allkirjastatud juriidilised lepingud – 100 %</w:t>
            </w:r>
          </w:p>
        </w:tc>
        <w:tc>
          <w:tcPr>
            <w:tcW w:w="1272" w:type="dxa"/>
            <w:shd w:val="clear" w:color="auto" w:fill="C6EFCE"/>
            <w:noWrap/>
          </w:tcPr>
          <w:p w14:paraId="6FC78B21" w14:textId="77777777" w:rsidR="00F27AB4" w:rsidRPr="00E02B5D" w:rsidRDefault="00F27AB4" w:rsidP="00F27AB4">
            <w:pPr>
              <w:spacing w:after="0" w:line="240" w:lineRule="auto"/>
              <w:rPr>
                <w:rFonts w:eastAsia="Times New Roman" w:cs="Calibri"/>
                <w:noProof/>
                <w:color w:val="006100"/>
                <w:sz w:val="18"/>
                <w:szCs w:val="18"/>
                <w:lang w:val="en-GB" w:eastAsia="en-GB"/>
              </w:rPr>
            </w:pPr>
          </w:p>
        </w:tc>
        <w:tc>
          <w:tcPr>
            <w:tcW w:w="1134" w:type="dxa"/>
            <w:shd w:val="clear" w:color="auto" w:fill="C6EFCE"/>
            <w:noWrap/>
          </w:tcPr>
          <w:p w14:paraId="5531528B" w14:textId="77777777" w:rsidR="00F27AB4" w:rsidRPr="00E02B5D" w:rsidRDefault="00F27AB4" w:rsidP="00F27AB4">
            <w:pPr>
              <w:spacing w:after="0" w:line="240" w:lineRule="auto"/>
              <w:rPr>
                <w:rFonts w:eastAsia="Times New Roman" w:cs="Calibri"/>
                <w:noProof/>
                <w:color w:val="006100"/>
                <w:sz w:val="18"/>
                <w:szCs w:val="18"/>
              </w:rPr>
            </w:pPr>
            <w:r>
              <w:rPr>
                <w:noProof/>
                <w:color w:val="006100"/>
                <w:sz w:val="18"/>
              </w:rPr>
              <w:t>Protsent (%)</w:t>
            </w:r>
          </w:p>
        </w:tc>
        <w:tc>
          <w:tcPr>
            <w:tcW w:w="855" w:type="dxa"/>
            <w:shd w:val="clear" w:color="auto" w:fill="C6EFCE"/>
            <w:noWrap/>
          </w:tcPr>
          <w:p w14:paraId="60388B84" w14:textId="77777777" w:rsidR="00F27AB4" w:rsidRPr="00E02B5D" w:rsidRDefault="00F27AB4" w:rsidP="00F27AB4">
            <w:pPr>
              <w:spacing w:after="0" w:line="240" w:lineRule="auto"/>
              <w:rPr>
                <w:rFonts w:eastAsia="Times New Roman" w:cs="Calibri"/>
                <w:noProof/>
                <w:color w:val="006100"/>
                <w:sz w:val="18"/>
                <w:szCs w:val="18"/>
              </w:rPr>
            </w:pPr>
            <w:r>
              <w:rPr>
                <w:noProof/>
                <w:color w:val="006100"/>
                <w:sz w:val="18"/>
              </w:rPr>
              <w:t>50 %</w:t>
            </w:r>
          </w:p>
        </w:tc>
        <w:tc>
          <w:tcPr>
            <w:tcW w:w="846" w:type="dxa"/>
            <w:shd w:val="clear" w:color="auto" w:fill="C6EFCE"/>
            <w:noWrap/>
          </w:tcPr>
          <w:p w14:paraId="744D2BCE" w14:textId="77777777" w:rsidR="00F27AB4" w:rsidRPr="00E02B5D" w:rsidRDefault="00F27AB4" w:rsidP="00F27AB4">
            <w:pPr>
              <w:spacing w:after="0" w:line="240" w:lineRule="auto"/>
              <w:rPr>
                <w:rFonts w:eastAsia="Times New Roman" w:cs="Calibri"/>
                <w:noProof/>
                <w:color w:val="006100"/>
                <w:sz w:val="18"/>
                <w:szCs w:val="18"/>
              </w:rPr>
            </w:pPr>
            <w:r>
              <w:rPr>
                <w:noProof/>
                <w:color w:val="006100"/>
                <w:sz w:val="18"/>
              </w:rPr>
              <w:t>100 %</w:t>
            </w:r>
          </w:p>
        </w:tc>
        <w:tc>
          <w:tcPr>
            <w:tcW w:w="716" w:type="dxa"/>
            <w:shd w:val="clear" w:color="auto" w:fill="C6EFCE"/>
            <w:noWrap/>
          </w:tcPr>
          <w:p w14:paraId="4F966A68" w14:textId="77777777" w:rsidR="00F27AB4" w:rsidRPr="00E02B5D" w:rsidRDefault="00F27AB4" w:rsidP="00F27AB4">
            <w:pPr>
              <w:spacing w:after="0" w:line="240" w:lineRule="auto"/>
              <w:rPr>
                <w:rFonts w:eastAsia="Times New Roman" w:cs="Calibri"/>
                <w:noProof/>
                <w:color w:val="006100"/>
                <w:sz w:val="18"/>
                <w:szCs w:val="18"/>
              </w:rPr>
            </w:pPr>
            <w:r>
              <w:rPr>
                <w:noProof/>
                <w:color w:val="006100"/>
                <w:sz w:val="18"/>
              </w:rPr>
              <w:t>2. kv</w:t>
            </w:r>
          </w:p>
        </w:tc>
        <w:tc>
          <w:tcPr>
            <w:tcW w:w="653" w:type="dxa"/>
            <w:shd w:val="clear" w:color="auto" w:fill="C6EFCE"/>
            <w:noWrap/>
          </w:tcPr>
          <w:p w14:paraId="587CF943" w14:textId="77777777" w:rsidR="00F27AB4" w:rsidRPr="00E02B5D" w:rsidRDefault="00F27AB4" w:rsidP="00F27AB4">
            <w:pPr>
              <w:spacing w:after="0" w:line="240" w:lineRule="auto"/>
              <w:rPr>
                <w:rFonts w:eastAsia="Times New Roman" w:cs="Calibri"/>
                <w:noProof/>
                <w:color w:val="006100"/>
                <w:sz w:val="18"/>
                <w:szCs w:val="18"/>
              </w:rPr>
            </w:pPr>
            <w:r>
              <w:rPr>
                <w:noProof/>
                <w:color w:val="006100"/>
                <w:sz w:val="18"/>
              </w:rPr>
              <w:t>2026</w:t>
            </w:r>
          </w:p>
        </w:tc>
        <w:tc>
          <w:tcPr>
            <w:tcW w:w="5730" w:type="dxa"/>
            <w:shd w:val="clear" w:color="auto" w:fill="C6EFCE"/>
            <w:noWrap/>
          </w:tcPr>
          <w:p w14:paraId="4D73653E" w14:textId="6513994F" w:rsidR="00F27AB4" w:rsidRPr="00E02B5D" w:rsidRDefault="00204BF3" w:rsidP="00F27AB4">
            <w:pPr>
              <w:spacing w:after="0" w:line="240" w:lineRule="auto"/>
              <w:rPr>
                <w:rFonts w:eastAsia="Times New Roman" w:cs="Calibri"/>
                <w:noProof/>
                <w:color w:val="006100"/>
                <w:sz w:val="18"/>
                <w:szCs w:val="18"/>
              </w:rPr>
            </w:pPr>
            <w:r>
              <w:rPr>
                <w:noProof/>
                <w:color w:val="006100"/>
                <w:sz w:val="18"/>
              </w:rPr>
              <w:t>Finantsvahendajad peavad olema sõlminud lõplike abisaajatega juriidilised rahastamislepingud summas, mis on vajalik, et kasutada 100 % taaste- ja vastupidavusrahastu investeeringutest rahastusse „My Home II“ (võttes arvesse haldustasusid).</w:t>
            </w:r>
          </w:p>
        </w:tc>
      </w:tr>
      <w:tr w:rsidR="004E363A" w:rsidRPr="003B132A" w14:paraId="157787D8" w14:textId="77777777" w:rsidTr="00A72431">
        <w:trPr>
          <w:trHeight w:val="314"/>
          <w:jc w:val="center"/>
        </w:trPr>
        <w:tc>
          <w:tcPr>
            <w:tcW w:w="704" w:type="dxa"/>
            <w:shd w:val="clear" w:color="auto" w:fill="C6EFCE"/>
            <w:noWrap/>
          </w:tcPr>
          <w:p w14:paraId="17D72064" w14:textId="10A7C5F7" w:rsidR="004E363A" w:rsidRPr="00E02B5D" w:rsidRDefault="00CA22E7">
            <w:pPr>
              <w:spacing w:after="0" w:line="240" w:lineRule="auto"/>
              <w:rPr>
                <w:rFonts w:eastAsia="Times New Roman" w:cs="Calibri"/>
                <w:noProof/>
                <w:color w:val="006100"/>
              </w:rPr>
            </w:pPr>
            <w:r>
              <w:rPr>
                <w:noProof/>
                <w:color w:val="006100"/>
                <w:sz w:val="18"/>
              </w:rPr>
              <w:t>381</w:t>
            </w:r>
          </w:p>
        </w:tc>
        <w:tc>
          <w:tcPr>
            <w:tcW w:w="1701" w:type="dxa"/>
            <w:shd w:val="clear" w:color="auto" w:fill="C6EFCE"/>
            <w:noWrap/>
          </w:tcPr>
          <w:p w14:paraId="33025A25" w14:textId="77777777" w:rsidR="004E363A" w:rsidRPr="00F6731E" w:rsidRDefault="00016144">
            <w:pPr>
              <w:spacing w:after="0" w:line="240" w:lineRule="auto"/>
              <w:rPr>
                <w:noProof/>
                <w:color w:val="006100"/>
                <w:sz w:val="18"/>
              </w:rPr>
            </w:pPr>
            <w:r>
              <w:rPr>
                <w:noProof/>
                <w:color w:val="006100"/>
                <w:sz w:val="18"/>
              </w:rPr>
              <w:t>11-3.4. Juurdepääsu parandamine tõhusale ja kaasavale sotsiaalpoliitikale – 16400 – taskukohase eluaseme programm „My Home II“</w:t>
            </w:r>
          </w:p>
        </w:tc>
        <w:tc>
          <w:tcPr>
            <w:tcW w:w="992" w:type="dxa"/>
            <w:shd w:val="clear" w:color="auto" w:fill="C6EFCE"/>
            <w:noWrap/>
          </w:tcPr>
          <w:p w14:paraId="7C4911A8" w14:textId="77777777" w:rsidR="004E363A" w:rsidRPr="00E02B5D" w:rsidRDefault="004E363A">
            <w:pPr>
              <w:spacing w:after="0" w:line="240" w:lineRule="auto"/>
              <w:rPr>
                <w:rFonts w:eastAsia="Times New Roman" w:cs="Calibri"/>
                <w:noProof/>
                <w:color w:val="006100"/>
                <w:sz w:val="18"/>
                <w:szCs w:val="18"/>
              </w:rPr>
            </w:pPr>
            <w:r>
              <w:rPr>
                <w:noProof/>
                <w:color w:val="006100"/>
                <w:sz w:val="18"/>
              </w:rPr>
              <w:t>Eesmärk</w:t>
            </w:r>
          </w:p>
        </w:tc>
        <w:tc>
          <w:tcPr>
            <w:tcW w:w="1280" w:type="dxa"/>
            <w:shd w:val="clear" w:color="auto" w:fill="C6EFCE"/>
            <w:noWrap/>
          </w:tcPr>
          <w:p w14:paraId="1A376088" w14:textId="77777777" w:rsidR="004E363A" w:rsidRPr="00E02B5D" w:rsidRDefault="002F6546">
            <w:pPr>
              <w:spacing w:after="0" w:line="240" w:lineRule="auto"/>
              <w:rPr>
                <w:rFonts w:eastAsia="Times New Roman" w:cs="Calibri"/>
                <w:noProof/>
                <w:color w:val="006100"/>
                <w:sz w:val="18"/>
                <w:szCs w:val="18"/>
              </w:rPr>
            </w:pPr>
            <w:r>
              <w:rPr>
                <w:noProof/>
                <w:color w:val="006100"/>
                <w:sz w:val="18"/>
              </w:rPr>
              <w:t>„My Home II“ – Rahandusministeerium on investeeringu lõpule viinud</w:t>
            </w:r>
          </w:p>
        </w:tc>
        <w:tc>
          <w:tcPr>
            <w:tcW w:w="1272" w:type="dxa"/>
            <w:shd w:val="clear" w:color="auto" w:fill="C6EFCE"/>
            <w:noWrap/>
          </w:tcPr>
          <w:p w14:paraId="597EF6AE" w14:textId="77777777" w:rsidR="004E363A" w:rsidRPr="00E02B5D" w:rsidRDefault="004E363A">
            <w:pPr>
              <w:spacing w:after="0" w:line="240" w:lineRule="auto"/>
              <w:rPr>
                <w:rFonts w:eastAsia="Times New Roman" w:cs="Calibri"/>
                <w:noProof/>
                <w:color w:val="006100"/>
                <w:sz w:val="18"/>
                <w:szCs w:val="18"/>
              </w:rPr>
            </w:pPr>
            <w:r>
              <w:rPr>
                <w:noProof/>
                <w:color w:val="006100"/>
                <w:sz w:val="18"/>
              </w:rPr>
              <w:t xml:space="preserve">Üleviimistunnistus </w:t>
            </w:r>
          </w:p>
        </w:tc>
        <w:tc>
          <w:tcPr>
            <w:tcW w:w="1134" w:type="dxa"/>
            <w:shd w:val="clear" w:color="auto" w:fill="C6EFCE"/>
            <w:noWrap/>
          </w:tcPr>
          <w:p w14:paraId="76CA50AB" w14:textId="77777777" w:rsidR="004E363A" w:rsidRPr="00E02B5D" w:rsidRDefault="004E363A">
            <w:pPr>
              <w:spacing w:after="0" w:line="240" w:lineRule="auto"/>
              <w:rPr>
                <w:rFonts w:eastAsia="Times New Roman" w:cs="Calibri"/>
                <w:noProof/>
                <w:color w:val="006100"/>
                <w:sz w:val="18"/>
                <w:szCs w:val="18"/>
                <w:lang w:val="en-GB"/>
              </w:rPr>
            </w:pPr>
          </w:p>
        </w:tc>
        <w:tc>
          <w:tcPr>
            <w:tcW w:w="855" w:type="dxa"/>
            <w:shd w:val="clear" w:color="auto" w:fill="C6EFCE"/>
            <w:noWrap/>
          </w:tcPr>
          <w:p w14:paraId="4A8599B2" w14:textId="77777777" w:rsidR="004E363A" w:rsidRPr="00E02B5D" w:rsidRDefault="004E363A">
            <w:pPr>
              <w:spacing w:after="0" w:line="240" w:lineRule="auto"/>
              <w:rPr>
                <w:rFonts w:eastAsia="Times New Roman" w:cs="Calibri"/>
                <w:noProof/>
                <w:color w:val="006100"/>
                <w:sz w:val="18"/>
                <w:szCs w:val="18"/>
                <w:lang w:val="en-GB"/>
              </w:rPr>
            </w:pPr>
          </w:p>
        </w:tc>
        <w:tc>
          <w:tcPr>
            <w:tcW w:w="846" w:type="dxa"/>
            <w:shd w:val="clear" w:color="auto" w:fill="C6EFCE"/>
            <w:noWrap/>
          </w:tcPr>
          <w:p w14:paraId="026618F6" w14:textId="77777777" w:rsidR="004E363A" w:rsidRPr="00E02B5D" w:rsidRDefault="004E363A">
            <w:pPr>
              <w:spacing w:after="0" w:line="240" w:lineRule="auto"/>
              <w:rPr>
                <w:rFonts w:eastAsia="Times New Roman" w:cs="Calibri"/>
                <w:noProof/>
                <w:color w:val="006100"/>
                <w:sz w:val="18"/>
                <w:szCs w:val="18"/>
                <w:lang w:val="en-GB"/>
              </w:rPr>
            </w:pPr>
          </w:p>
        </w:tc>
        <w:tc>
          <w:tcPr>
            <w:tcW w:w="716" w:type="dxa"/>
            <w:shd w:val="clear" w:color="auto" w:fill="C6EFCE"/>
            <w:noWrap/>
          </w:tcPr>
          <w:p w14:paraId="21D839EF" w14:textId="77777777" w:rsidR="004E363A" w:rsidRPr="00E02B5D" w:rsidRDefault="004E363A">
            <w:pPr>
              <w:spacing w:after="0" w:line="240" w:lineRule="auto"/>
              <w:rPr>
                <w:rFonts w:eastAsia="Times New Roman" w:cs="Calibri"/>
                <w:noProof/>
                <w:color w:val="006100"/>
                <w:sz w:val="18"/>
                <w:szCs w:val="18"/>
              </w:rPr>
            </w:pPr>
            <w:r>
              <w:rPr>
                <w:noProof/>
                <w:color w:val="006100"/>
                <w:sz w:val="18"/>
              </w:rPr>
              <w:t>2. kv</w:t>
            </w:r>
          </w:p>
        </w:tc>
        <w:tc>
          <w:tcPr>
            <w:tcW w:w="653" w:type="dxa"/>
            <w:shd w:val="clear" w:color="auto" w:fill="C6EFCE"/>
            <w:noWrap/>
          </w:tcPr>
          <w:p w14:paraId="7F3351E0" w14:textId="77777777" w:rsidR="004E363A" w:rsidRPr="00E02B5D" w:rsidRDefault="004E363A">
            <w:pPr>
              <w:spacing w:after="0" w:line="240" w:lineRule="auto"/>
              <w:rPr>
                <w:rFonts w:eastAsia="Times New Roman" w:cs="Calibri"/>
                <w:noProof/>
                <w:color w:val="006100"/>
                <w:sz w:val="18"/>
                <w:szCs w:val="18"/>
              </w:rPr>
            </w:pPr>
            <w:r>
              <w:rPr>
                <w:noProof/>
                <w:color w:val="006100"/>
                <w:sz w:val="18"/>
              </w:rPr>
              <w:t>2026</w:t>
            </w:r>
          </w:p>
        </w:tc>
        <w:tc>
          <w:tcPr>
            <w:tcW w:w="5730" w:type="dxa"/>
            <w:shd w:val="clear" w:color="auto" w:fill="C6EFCE"/>
            <w:noWrap/>
          </w:tcPr>
          <w:p w14:paraId="6ED8FD3A" w14:textId="77777777" w:rsidR="004E363A" w:rsidRPr="00E02B5D" w:rsidRDefault="00CD71E1">
            <w:pPr>
              <w:spacing w:after="0" w:line="240" w:lineRule="auto"/>
              <w:rPr>
                <w:rFonts w:eastAsia="Times New Roman" w:cs="Calibri"/>
                <w:noProof/>
                <w:color w:val="006100"/>
                <w:sz w:val="18"/>
                <w:szCs w:val="18"/>
              </w:rPr>
            </w:pPr>
            <w:r>
              <w:rPr>
                <w:noProof/>
                <w:color w:val="006100"/>
                <w:sz w:val="18"/>
              </w:rPr>
              <w:t>Kreeka kannab rahastu jaoks üle 1000 miljonit eurot Kreeka Arengupangale.</w:t>
            </w:r>
          </w:p>
        </w:tc>
      </w:tr>
    </w:tbl>
    <w:p w14:paraId="7C787F88" w14:textId="77777777" w:rsidR="004E363A" w:rsidRPr="00AD4052" w:rsidRDefault="004E363A" w:rsidP="004E363A">
      <w:pPr>
        <w:spacing w:before="120" w:after="120" w:line="240" w:lineRule="auto"/>
        <w:jc w:val="both"/>
        <w:rPr>
          <w:rFonts w:ascii="Times New Roman" w:hAnsi="Times New Roman" w:cs="Times New Roman"/>
          <w:noProof/>
          <w:sz w:val="24"/>
        </w:rPr>
        <w:sectPr w:rsidR="004E363A" w:rsidRPr="00AD4052" w:rsidSect="004E363A">
          <w:headerReference w:type="even" r:id="rId248"/>
          <w:headerReference w:type="default" r:id="rId249"/>
          <w:footerReference w:type="even" r:id="rId250"/>
          <w:footerReference w:type="default" r:id="rId251"/>
          <w:headerReference w:type="first" r:id="rId252"/>
          <w:footerReference w:type="first" r:id="rId253"/>
          <w:pgSz w:w="16839" w:h="11907" w:orient="landscape"/>
          <w:pgMar w:top="720" w:right="720" w:bottom="720" w:left="720" w:header="709" w:footer="75" w:gutter="0"/>
          <w:cols w:space="720"/>
          <w:docGrid w:linePitch="360"/>
        </w:sectPr>
      </w:pPr>
    </w:p>
    <w:p w14:paraId="35C18A87" w14:textId="77777777" w:rsidR="00356CBA" w:rsidRPr="00E02B5D" w:rsidRDefault="00354105" w:rsidP="00645BC7">
      <w:pPr>
        <w:spacing w:before="120" w:after="120" w:line="240" w:lineRule="auto"/>
        <w:ind w:firstLine="6"/>
        <w:jc w:val="both"/>
        <w:outlineLvl w:val="3"/>
        <w:rPr>
          <w:rFonts w:ascii="Times New Roman" w:hAnsi="Times New Roman" w:cs="Times New Roman"/>
          <w:b/>
          <w:noProof/>
          <w:sz w:val="24"/>
          <w:szCs w:val="24"/>
        </w:rPr>
      </w:pPr>
      <w:r>
        <w:rPr>
          <w:rFonts w:ascii="Times New Roman" w:hAnsi="Times New Roman"/>
          <w:b/>
          <w:noProof/>
          <w:sz w:val="24"/>
        </w:rPr>
        <w:t>L. KOMPONENT 4.1. MAKSUDE MUUTMINE MAJANDUSKASVU SOODUSTAVAMAKS NING MAKSUHALDUSE JA MAKSUDE KOGUMISE PARANDAMINE</w:t>
      </w:r>
    </w:p>
    <w:p w14:paraId="5CEC3C46"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see komponent hõlmab sihipäraseid reforme ja investeeringuid, et jätkuvalt parandada avaliku sektori tulude haldamise toimimist ja võidelda maksudest kõrvalehoidmise vastu. Esiteks hõlmab see komponent maksupoliitika reforme, et hõlbustada maksualaste õigusaktide kodifitseerimist, luua stiimuleid elektrooniliste tehingute edendamiseks, edendada rohelisi ja digitaalseid erainvesteeringuid ning suurendada ettevõtteid. Teiseks sisaldab see komponent reforme ja investeeringuid, mille eesmärk on muuta avaliku sektori tulude haldamist digiteerimisprotsesside kaudu ning võtta kasutusele seadusandlikud algatused, et võidelda salakaubaveo vastu ja kiirendada käibemaksu tagastamist.</w:t>
      </w:r>
    </w:p>
    <w:p w14:paraId="6DD14476"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Komponent aitab kaasa digiüleminekule, asendades ja ajakohastades avaliku sektori tulude sõltumatu asutuse (IAPR) põhilisi digisüsteeme, võttes kasutusele automatiseeritud kontori- ja tööprotsessid, digiteerides auditeid ja kontrolle ning ajakohastades ja täiustades maksumaksjate e-teenuseid.</w:t>
      </w:r>
    </w:p>
    <w:p w14:paraId="103C4673" w14:textId="77777777" w:rsidR="00356CBA" w:rsidRPr="00AD4052" w:rsidRDefault="00356CBA" w:rsidP="00645BC7">
      <w:pPr>
        <w:spacing w:before="120" w:after="120" w:line="240" w:lineRule="auto"/>
        <w:jc w:val="both"/>
        <w:rPr>
          <w:rFonts w:ascii="Times New Roman" w:hAnsi="Times New Roman" w:cs="Times New Roman"/>
          <w:noProof/>
          <w:sz w:val="24"/>
        </w:rPr>
      </w:pPr>
    </w:p>
    <w:p w14:paraId="73676CAF" w14:textId="77777777" w:rsidR="00356CBA" w:rsidRPr="00E02B5D" w:rsidRDefault="00356CB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Selle komponendiga toetatakse riigipõhiste soovituste täitmist, mis käsitlevad avaliku ja erasektori investeeringuid (riigipõhine soovitus 3 2020), majanduse toimimist parandavaid struktuurireforme (riigipõhine soovitus 4 2020) ning maksupoliitikat ja maksuhaldust (riigipõhine soovitus 1 2022 ja riigipõhine soovitus 1 2023).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61C17DA4" w14:textId="77777777" w:rsidR="00356CBA" w:rsidRPr="00E02B5D" w:rsidRDefault="00356CBA" w:rsidP="00645BC7">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L.1. </w:t>
      </w:r>
      <w:r>
        <w:rPr>
          <w:noProof/>
        </w:rPr>
        <w:tab/>
      </w:r>
      <w:r>
        <w:rPr>
          <w:rFonts w:ascii="Times New Roman" w:hAnsi="Times New Roman"/>
          <w:b/>
          <w:noProof/>
          <w:sz w:val="24"/>
          <w:u w:val="single"/>
        </w:rPr>
        <w:t>Tagastamatu rahalise toetusega seotud reformide ja investeeringute kirjeldus</w:t>
      </w:r>
    </w:p>
    <w:p w14:paraId="56FDF762"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Maksuauditite digitaalne üleminek (meetme ID 16611)</w:t>
      </w:r>
    </w:p>
    <w:p w14:paraId="68085FA3" w14:textId="77777777" w:rsidR="00356CBA" w:rsidRPr="00E02B5D" w:rsidRDefault="469C4DDA"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Investeeringu eesmärk on i) hõlbustada maksudeklaratsioonide automaatset täitmist, ii) suurendada maksuauditite tõhusust, iii) parandada avaliku sektori tulude kogumist ja iv) suurendada maksuauditite tõhusust ja võidelda salakaubaveo vastu.</w:t>
      </w:r>
      <w:r>
        <w:rPr>
          <w:rFonts w:asciiTheme="minorHAnsi" w:hAnsiTheme="minorHAnsi"/>
          <w:noProof/>
          <w:sz w:val="24"/>
        </w:rPr>
        <w:t xml:space="preserve"> </w:t>
      </w:r>
      <w:r>
        <w:rPr>
          <w:rFonts w:ascii="Times New Roman" w:hAnsi="Times New Roman"/>
          <w:noProof/>
          <w:sz w:val="24"/>
        </w:rPr>
        <w:t>IAPR kasutab MyDATA süsteemi elektrooniliseks raamatupidamisarvestuseks, elektroonilisteks arveteks ja kõigi maksukassaaparaatide ühendamiseks oma IT-süsteemidega. IAPR ajakohastab ka oma asutusesiseste andmete kasutamist ja võtab kasutusele tehisintellekti vahendid.  Projekt hõlmab tugeva andmearhitektuuri kasutuselevõttu, ühise metaandmete hoidla väljatöötamist, asjakohaste tarkvaralahenduste pakkumist, tehisintellekti meetodite ja vahendite arendamist ning masinõppe kasutamist suurandmete kaevandamiseks. Investeeringu rakendamine viiakse lõpule 31. detsembriks 2025.</w:t>
      </w:r>
    </w:p>
    <w:p w14:paraId="2449E5C8"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Maksualaste õigusaktide kodifitseerimine ja lihtsustamine (meetme ID 16643)</w:t>
      </w:r>
    </w:p>
    <w:p w14:paraId="358C21A9" w14:textId="77777777" w:rsidR="00892295" w:rsidRDefault="00356CBA" w:rsidP="00645BC7">
      <w:pPr>
        <w:spacing w:before="120" w:after="120" w:line="240" w:lineRule="auto"/>
        <w:jc w:val="both"/>
        <w:rPr>
          <w:rFonts w:ascii="Times New Roman" w:hAnsi="Times New Roman"/>
          <w:noProof/>
          <w:sz w:val="24"/>
        </w:rPr>
      </w:pPr>
      <w:r>
        <w:rPr>
          <w:rFonts w:ascii="Times New Roman" w:hAnsi="Times New Roman"/>
          <w:noProof/>
          <w:sz w:val="24"/>
        </w:rPr>
        <w:t xml:space="preserve">Rahandusministeerium ja IAPR lihtsustavad ja ajakohastavad õigusakte, mis käsitlevad peamisi maksukoode, tolliseadustikku ja kõiki asjaomaseid teisese õiguse sätteid kooskõlas ELi parimate tavadega. Kooskõlas IAPRi alusaktiga 4389/2016 vastutab IAPR maksumenetluse seadustiku, juhataja otsuste ja maksuameti ringkirjade ajakohastamise ja uuendamise eest, sealhulgas maksuhalduse digiteerimiseks ja lihtsustamiseks vajalike muudatuste koostamise eest. </w:t>
      </w:r>
    </w:p>
    <w:p w14:paraId="3CC9623A" w14:textId="77777777" w:rsidR="00892295" w:rsidRDefault="00892295">
      <w:pPr>
        <w:rPr>
          <w:rFonts w:ascii="Times New Roman" w:hAnsi="Times New Roman"/>
          <w:noProof/>
          <w:sz w:val="24"/>
        </w:rPr>
      </w:pPr>
      <w:r>
        <w:rPr>
          <w:noProof/>
        </w:rPr>
        <w:br w:type="page"/>
      </w:r>
    </w:p>
    <w:p w14:paraId="4200DCE8" w14:textId="5BF40DFC"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Rahandusministeerium ja IAPR pakuvad ka sisuhaldussüsteemi ja spetsiaalset veebisaiti maksumaksja teabe jaoks, suurendades seeläbi läbipaistvust, õiguskindlust, maksukuulekust ja ettevõtluskeskkonda. Reformi rakendamine viiakse lõpule 30. juuni 2024.</w:t>
      </w:r>
    </w:p>
    <w:p w14:paraId="3627936A"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Käibemaksu tagastamise kiirendamise edendamine (meetme ID 16610)</w:t>
      </w:r>
    </w:p>
    <w:p w14:paraId="274F08E6" w14:textId="77777777" w:rsidR="00356CBA" w:rsidRPr="00E02B5D" w:rsidRDefault="00356CBA" w:rsidP="00645BC7">
      <w:pPr>
        <w:spacing w:before="120" w:after="120" w:line="240" w:lineRule="auto"/>
        <w:jc w:val="both"/>
        <w:rPr>
          <w:rFonts w:ascii="card" w:hAnsi="card" w:cs="Times New Roman"/>
          <w:noProof/>
          <w:sz w:val="24"/>
          <w:szCs w:val="24"/>
        </w:rPr>
      </w:pPr>
      <w:r>
        <w:rPr>
          <w:rFonts w:ascii="Times New Roman" w:hAnsi="Times New Roman"/>
          <w:noProof/>
          <w:sz w:val="24"/>
        </w:rPr>
        <w:t>IAPR lihtsustab käibemaksu tagastamise haldusmenetlusi ettevõtjate jaoks, rakendades automaatseid käibemaksu tagastamise menetlusi, elektroonilist esitamist ja lihtsustades tagastamistaotluste riskianalüüsi protsessi. Uue protsessi eesmärk on piirata inimsekkumist digitaalsete tehingute kaudu ja tegeleda viivitustega käibemaksu tagastamisel. Reform peab olema kooskõlas käibemaksu tagastamise direktiiviga (nõukogu direktiiv 2008/9/EÜ). Reformi rakendamine viiakse lõpule 31. detsember 2023.</w:t>
      </w:r>
    </w:p>
    <w:p w14:paraId="1E152CA9"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Meetmete ja stiimulite vastuvõtmine elektrooniliste tehingute mahu suurendamiseks (meetme ID 16616)</w:t>
      </w:r>
    </w:p>
    <w:p w14:paraId="2D5EFF5A"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vähendada ettevõtjate halduskoormust ja parandada maksukuulekust, edendades e-tehinguid. Selleks et hõlbustada maksudeklaratsioonide automaatset täitmist ja suurendada maksuauditite tõhusust, kasutab IAPR myDATA süsteemi elektroonilise raamatupidamise, elektrooniliste arvete esitamise ja kõigi maksukassa registrite ühendamiseks oma IT-süsteemidega. Reformiga ettenähtud maksusoodustuste rakendamine viiakse lõpule 31. detsembriks 2023.</w:t>
      </w:r>
    </w:p>
    <w:p w14:paraId="3076DCC3"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VKEde kulude suuremahuline mahaarvamine keskkonnahoidliku majanduse, energia ja digiülemineku valdkonnas (meetme ID 16863)</w:t>
      </w:r>
    </w:p>
    <w:p w14:paraId="5B00001A"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 hõlmab maksusoodustusi kulude suuremahuliseks mahaarvamiseks, et suurendada väikeste ja keskmise suurusega ettevõtjate investeeringuid kliimamuutustega kohanemise, ringmajanduse edendamise ja digitaliseerimisega seotud seadmetesse. See peab olema täielikult kooskõlas ELi riigiabi eeskirjadega. Reformiga ettenähtud maksusoodustuste rakendamine viiakse lõpule 31. detsembriks 2024.</w:t>
      </w:r>
    </w:p>
    <w:p w14:paraId="2A10C86D"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Uus raamistik võitluseks salakaubaveoga, peamiselt aktsiisiga maksustatavate toodete puhul (tubakas, alkohol ja energia) (meetme ID 16656)</w:t>
      </w:r>
    </w:p>
    <w:p w14:paraId="60E5D569"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toetada võitlust salakaubaveo vastu, eelkõige nende toodete puhul, mille suhtes kohaldatakse aktsiisi (tubakas, alkohol, energia), ajakohastades tolli jälgimissüsteeme, auditiprotsesse ja seadmeid, et suurendada veoste auditite tõhusust. See nõuab ka IAPRi IT-süsteemide ajakohastamist, mis on vajalik teabe saamiseks Euroopa ja riiklikest andmebaasidest. Reformi rakendamine viiakse lõpule 31. detsembriks 2025.</w:t>
      </w:r>
    </w:p>
    <w:p w14:paraId="6C3918D9"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Reform: </w:t>
      </w:r>
      <w:r>
        <w:rPr>
          <w:rFonts w:ascii="Times New Roman" w:hAnsi="Times New Roman"/>
          <w:noProof/>
          <w:sz w:val="24"/>
        </w:rPr>
        <w:t>Internetipõhised kassaaparaadid &amp; müügikoht (POS) (meetme ID 16614)</w:t>
      </w:r>
    </w:p>
    <w:p w14:paraId="657B38C3"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IAPR töötab välja raamistiku, et hõlbustada kassaaparaatide ühendamist müügikohas asuvate terminalide ja nende IT-süsteemidega. Projekt hõlmab järgmist: i) tehniliste kirjelduste koostamine kassaaparaatide ühendamiseks müügikohtadega, et tõendada, et iga müügikoha tehing registreeritakse kassaaparaadis ja esitatud andmed edastatakse peaaegu reaalajas IAPRile; ning ii) kassaaparaatide tehingute järelevalve infrastruktuuri ja rakenduste arendamine ning kontrollimehhanismi toetamine. Meetme lõpuleviimine peaks piirama maksudest kõrvalehoidumise võimalust ja lõppkokkuvõttes vähendama käibemaksu alalaekumist. Reformi rakendamine viiakse lõpule 30. juuni 2024.</w:t>
      </w:r>
    </w:p>
    <w:p w14:paraId="433D7B77"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Maksu- ja Tolliameti digitaalne ümberkujundamine (meetme ID 16291)</w:t>
      </w:r>
    </w:p>
    <w:p w14:paraId="28B649EA"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 eesmärk on saavutada tulude haldamise ja teenuste digitaalne ümberkujundamine, mis peaks tugevdama IAPRi suutlikkust ja parandama selle üldist tulemuslikkust. Investeeringuga parandatakse üksikisikutele ja ettevõtetele pakutavate teenuste kvaliteeti ning lõpuks muudetakse maksud majanduskasvu soodustavamaks, parandades seeläbi maksuhaldust ja maksude kogumist. Selle investeeringuga konsolideeritakse 14 digitaalse taristu allprojekti, mida rakendab IAPR ja mis on jagatud nelja sekkumisvaldkonda:</w:t>
      </w:r>
    </w:p>
    <w:p w14:paraId="743E6CFF" w14:textId="77777777" w:rsidR="00356CBA" w:rsidRPr="00E02B5D" w:rsidRDefault="00356CBA" w:rsidP="00DE1EE5">
      <w:pPr>
        <w:pStyle w:val="ListParagraph"/>
        <w:numPr>
          <w:ilvl w:val="0"/>
          <w:numId w:val="57"/>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digitaalsete põhisüsteemide asendamine ja teenuste osutamise funktsionaalsuse laiendamine, sealhulgas IAPRi infosüsteemide koostalitlusvõime mehhanismide rakendamine pangaandmete infosüsteemidega;</w:t>
      </w:r>
    </w:p>
    <w:p w14:paraId="19E86E6C" w14:textId="77777777" w:rsidR="00356CBA" w:rsidRPr="00E02B5D" w:rsidRDefault="00356CBA" w:rsidP="00DE1EE5">
      <w:pPr>
        <w:pStyle w:val="ListParagraph"/>
        <w:numPr>
          <w:ilvl w:val="0"/>
          <w:numId w:val="57"/>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kontori- ja tööprotsesside automatiseerimine;</w:t>
      </w:r>
    </w:p>
    <w:p w14:paraId="04E0DB69" w14:textId="77777777" w:rsidR="00356CBA" w:rsidRPr="00E02B5D" w:rsidRDefault="00356CBA" w:rsidP="00DE1EE5">
      <w:pPr>
        <w:pStyle w:val="ListParagraph"/>
        <w:numPr>
          <w:ilvl w:val="0"/>
          <w:numId w:val="57"/>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auditite ja kontrollide digiteerimine; ning</w:t>
      </w:r>
    </w:p>
    <w:p w14:paraId="414E0B22" w14:textId="77777777" w:rsidR="00356CBA" w:rsidRPr="00E02B5D" w:rsidRDefault="00356CBA" w:rsidP="00DE1EE5">
      <w:pPr>
        <w:pStyle w:val="ListParagraph"/>
        <w:numPr>
          <w:ilvl w:val="0"/>
          <w:numId w:val="57"/>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maksumaksja teenuste ajakohastamine.</w:t>
      </w:r>
    </w:p>
    <w:p w14:paraId="6A0DF5D5"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 rakendamine viiakse lõpule 31. detsembriks 2025.</w:t>
      </w:r>
    </w:p>
    <w:p w14:paraId="349CEE75" w14:textId="77777777" w:rsidR="00356CBA" w:rsidRPr="00E02B5D" w:rsidRDefault="00356CBA" w:rsidP="00645BC7">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Reform:</w:t>
      </w:r>
      <w:r>
        <w:rPr>
          <w:rFonts w:ascii="Times New Roman" w:hAnsi="Times New Roman"/>
          <w:noProof/>
          <w:sz w:val="24"/>
        </w:rPr>
        <w:t xml:space="preserve"> Kreeka maksupoliitika raamistiku muudatused (meetme ID: 16985)</w:t>
      </w:r>
    </w:p>
    <w:p w14:paraId="0374BE92" w14:textId="77777777" w:rsidR="00356CBA" w:rsidRPr="00E02B5D" w:rsidRDefault="00356CB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eesmärk on võidelda maksudest kõrvalehoidumise vastu ja parandada stiimuleid, edendades elektroonilisi makseid ja parandades füüsilisest isikust ettevõtjate maksude struktuuri, samuti suurendada maksuhalduri tegevusautonoomiat. Eelkõige tehakse selle reformiga järgmist: i) reformida füüsilisest isikust ettevõtjate maksustamist ja tempelmaksu; ii) võidelda maksudest kõrvalehoidumise vastu, laiendades elektrooniliste maksete kohustuslikku aktsepteerimist; iii) kehtestada uued aruandlusnõuded maksuhaldurile edastatavate andmete kohta ning võimaldada nende andmete kasutamist käibemaksu ja tulumaksuga seotud eesmärkidel; ning iv) tugevdada avaliku sektori tulude sõltumatu asutuse (IAPR) tegevusautonoomiat, vastupanuvõimet ja klienditeenuste taset.</w:t>
      </w:r>
    </w:p>
    <w:p w14:paraId="30BFA621" w14:textId="77777777" w:rsidR="00356CBA" w:rsidRPr="00E02B5D" w:rsidRDefault="00356CBA" w:rsidP="00D16F13">
      <w:pPr>
        <w:spacing w:before="120" w:after="120" w:line="240" w:lineRule="auto"/>
        <w:jc w:val="both"/>
        <w:rPr>
          <w:rFonts w:ascii="Times New Roman" w:hAnsi="Times New Roman" w:cs="Times New Roman"/>
          <w:noProof/>
          <w:sz w:val="24"/>
        </w:rPr>
      </w:pPr>
      <w:r>
        <w:rPr>
          <w:rFonts w:ascii="Times New Roman" w:hAnsi="Times New Roman"/>
          <w:noProof/>
          <w:sz w:val="24"/>
        </w:rPr>
        <w:t>Reformi rakendamine viiakse lõpule 31. detsembriks 2024.</w:t>
      </w:r>
    </w:p>
    <w:p w14:paraId="43551794" w14:textId="77777777" w:rsidR="00356CBA" w:rsidRPr="00AD4052" w:rsidRDefault="00356CBA" w:rsidP="00645BC7">
      <w:pPr>
        <w:spacing w:before="120" w:after="120" w:line="240" w:lineRule="auto"/>
        <w:ind w:left="709"/>
        <w:jc w:val="both"/>
        <w:rPr>
          <w:rFonts w:ascii="Times New Roman" w:hAnsi="Times New Roman" w:cs="Times New Roman"/>
          <w:i/>
          <w:iCs/>
          <w:noProof/>
          <w:color w:val="4F81BD"/>
          <w:sz w:val="24"/>
        </w:rPr>
      </w:pPr>
    </w:p>
    <w:p w14:paraId="32766F92" w14:textId="77777777" w:rsidR="00356CBA" w:rsidRPr="00AD4052" w:rsidRDefault="00356CBA" w:rsidP="00645BC7">
      <w:pPr>
        <w:spacing w:before="120" w:after="120" w:line="240" w:lineRule="auto"/>
        <w:ind w:left="709"/>
        <w:jc w:val="both"/>
        <w:rPr>
          <w:rFonts w:ascii="Times New Roman" w:hAnsi="Times New Roman" w:cs="Times New Roman"/>
          <w:noProof/>
          <w:sz w:val="24"/>
        </w:rPr>
      </w:pPr>
    </w:p>
    <w:p w14:paraId="11303511" w14:textId="77777777" w:rsidR="00356CBA" w:rsidRPr="00AD4052" w:rsidRDefault="00356CBA" w:rsidP="00645BC7">
      <w:pPr>
        <w:spacing w:before="120" w:after="120" w:line="240" w:lineRule="auto"/>
        <w:ind w:left="709"/>
        <w:jc w:val="both"/>
        <w:rPr>
          <w:rFonts w:ascii="Times New Roman" w:hAnsi="Times New Roman" w:cs="Times New Roman"/>
          <w:noProof/>
          <w:sz w:val="24"/>
        </w:rPr>
        <w:sectPr w:rsidR="00356CBA" w:rsidRPr="00AD4052" w:rsidSect="00271D33">
          <w:headerReference w:type="even" r:id="rId254"/>
          <w:headerReference w:type="default" r:id="rId255"/>
          <w:footerReference w:type="even" r:id="rId256"/>
          <w:footerReference w:type="default" r:id="rId257"/>
          <w:headerReference w:type="first" r:id="rId258"/>
          <w:footerReference w:type="first" r:id="rId259"/>
          <w:pgSz w:w="11907" w:h="16839"/>
          <w:pgMar w:top="1134" w:right="1417" w:bottom="1134" w:left="1417" w:header="709" w:footer="468" w:gutter="0"/>
          <w:cols w:space="720"/>
          <w:docGrid w:linePitch="360"/>
        </w:sectPr>
      </w:pPr>
    </w:p>
    <w:p w14:paraId="01708A65" w14:textId="77777777" w:rsidR="00356CBA" w:rsidRPr="00E02B5D" w:rsidRDefault="00356CBA" w:rsidP="00645BC7">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L.2. </w:t>
      </w:r>
      <w:r>
        <w:rPr>
          <w:noProof/>
        </w:rPr>
        <w:tab/>
      </w:r>
      <w:r>
        <w:rPr>
          <w:rFonts w:ascii="Times New Roman" w:hAnsi="Times New Roman"/>
          <w:b/>
          <w:noProof/>
          <w:sz w:val="24"/>
          <w:u w:val="single"/>
        </w:rPr>
        <w:t>Tagastamatu rahalise toetuse eesmärgid, sihid, näitajad ning seire ja rakendamise ajakava</w:t>
      </w:r>
    </w:p>
    <w:p w14:paraId="557A0787" w14:textId="77777777" w:rsidR="00356CBA" w:rsidRPr="00AD4052" w:rsidRDefault="00356CBA" w:rsidP="00645BC7">
      <w:pPr>
        <w:spacing w:before="120" w:after="120" w:line="240" w:lineRule="auto"/>
        <w:ind w:left="709"/>
        <w:jc w:val="both"/>
        <w:rPr>
          <w:rFonts w:ascii="Times New Roman" w:hAnsi="Times New Roman" w:cs="Times New Roman"/>
          <w:noProof/>
          <w:sz w:val="24"/>
          <w:szCs w:val="24"/>
        </w:rPr>
      </w:pPr>
    </w:p>
    <w:p w14:paraId="457FA0C8" w14:textId="77777777" w:rsidR="00356CBA" w:rsidRDefault="00356CBA" w:rsidP="00645BC7">
      <w:pPr>
        <w:keepNext/>
        <w:keepLines/>
        <w:spacing w:before="40" w:after="0" w:line="240" w:lineRule="auto"/>
        <w:jc w:val="both"/>
        <w:outlineLvl w:val="4"/>
        <w:rPr>
          <w:rFonts w:ascii="Cambria" w:hAnsi="Cambria"/>
          <w:noProof/>
          <w:color w:val="365F91"/>
          <w:sz w:val="24"/>
        </w:rPr>
      </w:pPr>
      <w:r>
        <w:rPr>
          <w:rFonts w:ascii="Cambria" w:hAnsi="Cambria"/>
          <w:noProof/>
          <w:color w:val="365F91"/>
          <w:sz w:val="24"/>
        </w:rPr>
        <w:t>Põhireform 8: Veebipõhised kassaaparaadid ja müügikoht</w:t>
      </w:r>
    </w:p>
    <w:p w14:paraId="4C47FCAF" w14:textId="77777777" w:rsidR="00C63536" w:rsidRPr="00E02B5D" w:rsidRDefault="00C63536" w:rsidP="00645BC7">
      <w:pPr>
        <w:keepNext/>
        <w:keepLines/>
        <w:spacing w:before="40" w:after="0" w:line="240" w:lineRule="auto"/>
        <w:jc w:val="both"/>
        <w:outlineLvl w:val="4"/>
        <w:rPr>
          <w:rFonts w:ascii="Cambria" w:eastAsia="Times New Roman" w:hAnsi="Cambria"/>
          <w:noProof/>
          <w:color w:val="365F91"/>
          <w:sz w:val="24"/>
          <w:lang w:val="en-GB"/>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759"/>
        <w:gridCol w:w="966"/>
        <w:gridCol w:w="1550"/>
        <w:gridCol w:w="1717"/>
        <w:gridCol w:w="1411"/>
        <w:gridCol w:w="966"/>
        <w:gridCol w:w="906"/>
        <w:gridCol w:w="990"/>
        <w:gridCol w:w="858"/>
        <w:gridCol w:w="3916"/>
      </w:tblGrid>
      <w:tr w:rsidR="007B4D63" w:rsidRPr="003B132A" w14:paraId="08D2C208" w14:textId="77777777" w:rsidTr="00C23759">
        <w:trPr>
          <w:trHeight w:val="798"/>
          <w:tblHeader/>
          <w:jc w:val="center"/>
        </w:trPr>
        <w:tc>
          <w:tcPr>
            <w:tcW w:w="1116" w:type="dxa"/>
            <w:vMerge w:val="restart"/>
            <w:shd w:val="clear" w:color="auto" w:fill="BDD7EE"/>
            <w:vAlign w:val="center"/>
            <w:hideMark/>
          </w:tcPr>
          <w:p w14:paraId="00B5B239" w14:textId="66E25DD2"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C23759">
              <w:rPr>
                <w:rFonts w:ascii="Times New Roman" w:hAnsi="Times New Roman"/>
                <w:b/>
                <w:noProof/>
                <w:sz w:val="18"/>
              </w:rPr>
              <w:t>-</w:t>
            </w:r>
            <w:r>
              <w:rPr>
                <w:rFonts w:ascii="Times New Roman" w:hAnsi="Times New Roman"/>
                <w:b/>
                <w:noProof/>
                <w:sz w:val="18"/>
              </w:rPr>
              <w:t>number</w:t>
            </w:r>
          </w:p>
        </w:tc>
        <w:tc>
          <w:tcPr>
            <w:tcW w:w="1759" w:type="dxa"/>
            <w:vMerge w:val="restart"/>
            <w:shd w:val="clear" w:color="auto" w:fill="BDD7EE"/>
            <w:vAlign w:val="center"/>
            <w:hideMark/>
          </w:tcPr>
          <w:p w14:paraId="5582F6B8"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6" w:type="dxa"/>
            <w:vMerge w:val="restart"/>
            <w:shd w:val="clear" w:color="auto" w:fill="BDD7EE"/>
            <w:vAlign w:val="center"/>
            <w:hideMark/>
          </w:tcPr>
          <w:p w14:paraId="1C3FCBA9"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550" w:type="dxa"/>
            <w:vMerge w:val="restart"/>
            <w:shd w:val="clear" w:color="auto" w:fill="BDD7EE"/>
            <w:vAlign w:val="center"/>
            <w:hideMark/>
          </w:tcPr>
          <w:p w14:paraId="5674D707"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717" w:type="dxa"/>
            <w:vMerge w:val="restart"/>
            <w:shd w:val="clear" w:color="auto" w:fill="BDD7EE"/>
            <w:vAlign w:val="center"/>
            <w:hideMark/>
          </w:tcPr>
          <w:p w14:paraId="5B6A1011"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Kvalitatiivsed näitajad </w:t>
            </w:r>
            <w:r>
              <w:rPr>
                <w:rFonts w:ascii="Times New Roman" w:hAnsi="Times New Roman"/>
                <w:noProof/>
              </w:rPr>
              <w:t xml:space="preserve"> </w:t>
            </w:r>
            <w:r>
              <w:rPr>
                <w:rFonts w:ascii="Times New Roman" w:hAnsi="Times New Roman"/>
                <w:b/>
                <w:noProof/>
                <w:sz w:val="18"/>
              </w:rPr>
              <w:t>(eesmärkide puhul)</w:t>
            </w:r>
          </w:p>
        </w:tc>
        <w:tc>
          <w:tcPr>
            <w:tcW w:w="3283" w:type="dxa"/>
            <w:gridSpan w:val="3"/>
            <w:shd w:val="clear" w:color="auto" w:fill="BDD7EE"/>
            <w:vAlign w:val="center"/>
            <w:hideMark/>
          </w:tcPr>
          <w:p w14:paraId="0EF744EE"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Kvantitatiivsed näitajad </w:t>
            </w:r>
            <w:r>
              <w:rPr>
                <w:rFonts w:ascii="Times New Roman" w:hAnsi="Times New Roman"/>
                <w:noProof/>
              </w:rPr>
              <w:t xml:space="preserve"> </w:t>
            </w:r>
            <w:r>
              <w:rPr>
                <w:rFonts w:ascii="Times New Roman" w:hAnsi="Times New Roman"/>
                <w:b/>
                <w:noProof/>
                <w:sz w:val="18"/>
              </w:rPr>
              <w:t>(sihtide puhul)</w:t>
            </w:r>
          </w:p>
        </w:tc>
        <w:tc>
          <w:tcPr>
            <w:tcW w:w="1848" w:type="dxa"/>
            <w:gridSpan w:val="2"/>
            <w:shd w:val="clear" w:color="auto" w:fill="BDD7EE"/>
            <w:vAlign w:val="center"/>
            <w:hideMark/>
          </w:tcPr>
          <w:p w14:paraId="3F1C0F64"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916" w:type="dxa"/>
            <w:vMerge w:val="restart"/>
            <w:shd w:val="clear" w:color="auto" w:fill="BDD7EE"/>
            <w:vAlign w:val="center"/>
            <w:hideMark/>
          </w:tcPr>
          <w:p w14:paraId="32873A42"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7708BAD7" w14:textId="77777777" w:rsidTr="00C23759">
        <w:trPr>
          <w:trHeight w:val="441"/>
          <w:jc w:val="center"/>
        </w:trPr>
        <w:tc>
          <w:tcPr>
            <w:tcW w:w="1116" w:type="dxa"/>
            <w:vMerge/>
            <w:vAlign w:val="center"/>
            <w:hideMark/>
          </w:tcPr>
          <w:p w14:paraId="186A6E65" w14:textId="77777777" w:rsidR="00356CBA" w:rsidRPr="00AD4052" w:rsidRDefault="00356CBA">
            <w:pPr>
              <w:spacing w:after="0" w:line="240" w:lineRule="auto"/>
              <w:rPr>
                <w:rFonts w:ascii="Times New Roman" w:eastAsia="Times New Roman" w:hAnsi="Times New Roman" w:cs="Times New Roman"/>
                <w:b/>
                <w:noProof/>
                <w:sz w:val="18"/>
                <w:szCs w:val="18"/>
                <w:lang w:eastAsia="en-GB"/>
              </w:rPr>
            </w:pPr>
          </w:p>
        </w:tc>
        <w:tc>
          <w:tcPr>
            <w:tcW w:w="1759" w:type="dxa"/>
            <w:vMerge/>
            <w:vAlign w:val="center"/>
            <w:hideMark/>
          </w:tcPr>
          <w:p w14:paraId="4619E917" w14:textId="77777777" w:rsidR="00356CBA" w:rsidRPr="00AD4052" w:rsidRDefault="00356CBA">
            <w:pPr>
              <w:spacing w:after="0" w:line="240" w:lineRule="auto"/>
              <w:rPr>
                <w:rFonts w:ascii="Times New Roman" w:eastAsia="Times New Roman" w:hAnsi="Times New Roman" w:cs="Times New Roman"/>
                <w:b/>
                <w:noProof/>
                <w:sz w:val="18"/>
                <w:szCs w:val="18"/>
                <w:lang w:eastAsia="en-GB"/>
              </w:rPr>
            </w:pPr>
          </w:p>
        </w:tc>
        <w:tc>
          <w:tcPr>
            <w:tcW w:w="966" w:type="dxa"/>
            <w:vMerge/>
            <w:vAlign w:val="center"/>
            <w:hideMark/>
          </w:tcPr>
          <w:p w14:paraId="6B0FED5F" w14:textId="77777777" w:rsidR="00356CBA" w:rsidRPr="00AD4052" w:rsidRDefault="00356CBA">
            <w:pPr>
              <w:spacing w:after="0" w:line="240" w:lineRule="auto"/>
              <w:rPr>
                <w:rFonts w:ascii="Times New Roman" w:eastAsia="Times New Roman" w:hAnsi="Times New Roman" w:cs="Times New Roman"/>
                <w:b/>
                <w:noProof/>
                <w:sz w:val="18"/>
                <w:szCs w:val="18"/>
                <w:lang w:eastAsia="en-GB"/>
              </w:rPr>
            </w:pPr>
          </w:p>
        </w:tc>
        <w:tc>
          <w:tcPr>
            <w:tcW w:w="1550" w:type="dxa"/>
            <w:vMerge/>
            <w:vAlign w:val="center"/>
            <w:hideMark/>
          </w:tcPr>
          <w:p w14:paraId="5D12436E" w14:textId="77777777" w:rsidR="00356CBA" w:rsidRPr="00AD4052" w:rsidRDefault="00356CBA">
            <w:pPr>
              <w:spacing w:after="0" w:line="240" w:lineRule="auto"/>
              <w:rPr>
                <w:rFonts w:ascii="Times New Roman" w:eastAsia="Times New Roman" w:hAnsi="Times New Roman" w:cs="Times New Roman"/>
                <w:b/>
                <w:noProof/>
                <w:sz w:val="18"/>
                <w:szCs w:val="18"/>
                <w:lang w:eastAsia="en-GB"/>
              </w:rPr>
            </w:pPr>
          </w:p>
        </w:tc>
        <w:tc>
          <w:tcPr>
            <w:tcW w:w="1717" w:type="dxa"/>
            <w:vMerge/>
            <w:vAlign w:val="center"/>
            <w:hideMark/>
          </w:tcPr>
          <w:p w14:paraId="20B1BEC9" w14:textId="77777777" w:rsidR="00356CBA" w:rsidRPr="00AD4052" w:rsidRDefault="00356CBA">
            <w:pPr>
              <w:spacing w:after="0" w:line="240" w:lineRule="auto"/>
              <w:rPr>
                <w:rFonts w:ascii="Times New Roman" w:eastAsia="Times New Roman" w:hAnsi="Times New Roman" w:cs="Times New Roman"/>
                <w:b/>
                <w:noProof/>
                <w:sz w:val="18"/>
                <w:szCs w:val="18"/>
                <w:lang w:eastAsia="en-GB"/>
              </w:rPr>
            </w:pPr>
          </w:p>
        </w:tc>
        <w:tc>
          <w:tcPr>
            <w:tcW w:w="1411" w:type="dxa"/>
            <w:shd w:val="clear" w:color="auto" w:fill="BDD7EE"/>
            <w:vAlign w:val="center"/>
            <w:hideMark/>
          </w:tcPr>
          <w:p w14:paraId="5DF0E71B"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shd w:val="clear" w:color="auto" w:fill="BDD7EE"/>
            <w:vAlign w:val="center"/>
            <w:hideMark/>
          </w:tcPr>
          <w:p w14:paraId="7DDED896"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shd w:val="clear" w:color="auto" w:fill="BDD7EE"/>
            <w:vAlign w:val="center"/>
            <w:hideMark/>
          </w:tcPr>
          <w:p w14:paraId="6927F444"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990" w:type="dxa"/>
            <w:shd w:val="clear" w:color="auto" w:fill="BDD7EE"/>
            <w:vAlign w:val="center"/>
            <w:hideMark/>
          </w:tcPr>
          <w:p w14:paraId="3CD2C59F"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858" w:type="dxa"/>
            <w:shd w:val="clear" w:color="auto" w:fill="BDD7EE"/>
            <w:vAlign w:val="center"/>
            <w:hideMark/>
          </w:tcPr>
          <w:p w14:paraId="7CF43455"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916" w:type="dxa"/>
            <w:vMerge/>
            <w:vAlign w:val="center"/>
            <w:hideMark/>
          </w:tcPr>
          <w:p w14:paraId="3F889D56" w14:textId="77777777" w:rsidR="00356CBA" w:rsidRPr="00E02B5D" w:rsidRDefault="00356CBA">
            <w:pPr>
              <w:spacing w:after="0" w:line="240" w:lineRule="auto"/>
              <w:rPr>
                <w:rFonts w:ascii="Times New Roman" w:eastAsia="Times New Roman" w:hAnsi="Times New Roman" w:cs="Times New Roman"/>
                <w:b/>
                <w:noProof/>
                <w:sz w:val="18"/>
                <w:szCs w:val="18"/>
                <w:lang w:val="en-GB" w:eastAsia="en-GB"/>
              </w:rPr>
            </w:pPr>
          </w:p>
        </w:tc>
      </w:tr>
      <w:tr w:rsidR="007B4D63" w:rsidRPr="003B132A" w14:paraId="280646F3" w14:textId="77777777" w:rsidTr="00C23759">
        <w:trPr>
          <w:trHeight w:val="309"/>
          <w:jc w:val="center"/>
        </w:trPr>
        <w:tc>
          <w:tcPr>
            <w:tcW w:w="1116" w:type="dxa"/>
            <w:shd w:val="clear" w:color="auto" w:fill="C6EFCE"/>
            <w:noWrap/>
          </w:tcPr>
          <w:p w14:paraId="24F4B8B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188</w:t>
            </w:r>
          </w:p>
        </w:tc>
        <w:tc>
          <w:tcPr>
            <w:tcW w:w="1759" w:type="dxa"/>
            <w:shd w:val="clear" w:color="auto" w:fill="C6EFCE"/>
            <w:noWrap/>
          </w:tcPr>
          <w:p w14:paraId="5B5E88C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16614_Veebipõhised kassaaparaadid ja müügikohad (reform)</w:t>
            </w:r>
          </w:p>
        </w:tc>
        <w:tc>
          <w:tcPr>
            <w:tcW w:w="966" w:type="dxa"/>
            <w:shd w:val="clear" w:color="auto" w:fill="C6EFCE"/>
            <w:noWrap/>
          </w:tcPr>
          <w:p w14:paraId="54B1839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550" w:type="dxa"/>
            <w:shd w:val="clear" w:color="auto" w:fill="C6EFCE"/>
            <w:noWrap/>
          </w:tcPr>
          <w:p w14:paraId="3912477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Avaliku sektori tulude sõltumatu amet (IAPR): Internetipõhised kassaaparaadid ja müügikohad (POS) – õigusraamistiku jõustumine</w:t>
            </w:r>
          </w:p>
        </w:tc>
        <w:tc>
          <w:tcPr>
            <w:tcW w:w="1717" w:type="dxa"/>
            <w:shd w:val="clear" w:color="auto" w:fill="C6EFCE"/>
            <w:noWrap/>
          </w:tcPr>
          <w:p w14:paraId="0D4D8E7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Seaduse jõustumine</w:t>
            </w:r>
          </w:p>
        </w:tc>
        <w:tc>
          <w:tcPr>
            <w:tcW w:w="1411" w:type="dxa"/>
            <w:shd w:val="clear" w:color="auto" w:fill="C6EFCE"/>
            <w:noWrap/>
          </w:tcPr>
          <w:p w14:paraId="735FD92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shd w:val="clear" w:color="auto" w:fill="C6EFCE"/>
            <w:noWrap/>
          </w:tcPr>
          <w:p w14:paraId="3F1995AA"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shd w:val="clear" w:color="auto" w:fill="C6EFCE"/>
            <w:noWrap/>
          </w:tcPr>
          <w:p w14:paraId="538F6A1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0" w:type="dxa"/>
            <w:shd w:val="clear" w:color="auto" w:fill="C6EFCE"/>
            <w:noWrap/>
          </w:tcPr>
          <w:p w14:paraId="3FE6755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kv</w:t>
            </w:r>
          </w:p>
        </w:tc>
        <w:tc>
          <w:tcPr>
            <w:tcW w:w="858" w:type="dxa"/>
            <w:shd w:val="clear" w:color="auto" w:fill="C6EFCE"/>
            <w:noWrap/>
          </w:tcPr>
          <w:p w14:paraId="0731255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3916" w:type="dxa"/>
            <w:shd w:val="clear" w:color="auto" w:fill="C6EFCE"/>
            <w:noWrap/>
          </w:tcPr>
          <w:p w14:paraId="03712E3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Jõustub avaliku sektori tulude regulaatori sõltumatu asutuse otsus tehniliste nõuete kohta (seaduse 4308/2014 artikli 12 alusel) ja ministrite ühine otsus andmete elektroonilise edastamise kohta sõltumatule avaliku sektori tulude ametile (seaduse 4174/2013 artikli 15 alusel), milles sätestatakse peamised elemendid, mis on vajalikud avalike tulude sõltumatu asutuse internetipõhiste kassaaparaatide ja müügipunktide süsteemide ühendamiseks, sealhulgas kassaaparaatidega seotud sanktsioonide läbivaatamine (seaduse 4174/2013 artikkel 54).</w:t>
            </w:r>
          </w:p>
        </w:tc>
      </w:tr>
      <w:tr w:rsidR="00356CBA" w:rsidRPr="00E02B5D" w14:paraId="54D5016D" w14:textId="77777777" w:rsidTr="00C23759">
        <w:trPr>
          <w:trHeight w:val="309"/>
          <w:jc w:val="center"/>
        </w:trPr>
        <w:tc>
          <w:tcPr>
            <w:tcW w:w="1116" w:type="dxa"/>
            <w:shd w:val="clear" w:color="auto" w:fill="C6EFCE"/>
            <w:noWrap/>
          </w:tcPr>
          <w:p w14:paraId="13DCABC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189</w:t>
            </w:r>
          </w:p>
        </w:tc>
        <w:tc>
          <w:tcPr>
            <w:tcW w:w="1759" w:type="dxa"/>
            <w:shd w:val="clear" w:color="auto" w:fill="C6EFCE"/>
            <w:noWrap/>
          </w:tcPr>
          <w:p w14:paraId="13B5A59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16614_Veebipõhised kassaaparaadid ja müügikohad (reform)</w:t>
            </w:r>
          </w:p>
        </w:tc>
        <w:tc>
          <w:tcPr>
            <w:tcW w:w="966" w:type="dxa"/>
            <w:shd w:val="clear" w:color="auto" w:fill="C6EFCE"/>
            <w:noWrap/>
          </w:tcPr>
          <w:p w14:paraId="3A9D63B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Siht</w:t>
            </w:r>
          </w:p>
        </w:tc>
        <w:tc>
          <w:tcPr>
            <w:tcW w:w="1550" w:type="dxa"/>
            <w:shd w:val="clear" w:color="auto" w:fill="C6EFCE"/>
            <w:noWrap/>
          </w:tcPr>
          <w:p w14:paraId="430784F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Riigitulude sõltumatu asutus: Internetipõhised kassaaparaadid ja müügikohad (POS) – kasutuselevõtt ja omavaheline ühendamine </w:t>
            </w:r>
          </w:p>
        </w:tc>
        <w:tc>
          <w:tcPr>
            <w:tcW w:w="1717" w:type="dxa"/>
            <w:shd w:val="clear" w:color="auto" w:fill="C6EFCE"/>
            <w:noWrap/>
          </w:tcPr>
          <w:p w14:paraId="128448D4" w14:textId="77777777" w:rsidR="00356CBA" w:rsidRPr="00AD4052" w:rsidRDefault="00356CBA">
            <w:pPr>
              <w:spacing w:after="0" w:line="240" w:lineRule="auto"/>
              <w:rPr>
                <w:rFonts w:eastAsia="Times New Roman" w:cs="Calibri"/>
                <w:noProof/>
                <w:color w:val="006100"/>
                <w:sz w:val="18"/>
                <w:szCs w:val="18"/>
                <w:highlight w:val="yellow"/>
                <w:lang w:eastAsia="en-GB"/>
              </w:rPr>
            </w:pPr>
          </w:p>
        </w:tc>
        <w:tc>
          <w:tcPr>
            <w:tcW w:w="1411" w:type="dxa"/>
            <w:shd w:val="clear" w:color="auto" w:fill="C6EFCE"/>
            <w:noWrap/>
          </w:tcPr>
          <w:p w14:paraId="77EAABB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Kassaaparaatide arv</w:t>
            </w:r>
          </w:p>
        </w:tc>
        <w:tc>
          <w:tcPr>
            <w:tcW w:w="966" w:type="dxa"/>
            <w:shd w:val="clear" w:color="auto" w:fill="C6EFCE"/>
            <w:noWrap/>
          </w:tcPr>
          <w:p w14:paraId="00CB000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0</w:t>
            </w:r>
          </w:p>
        </w:tc>
        <w:tc>
          <w:tcPr>
            <w:tcW w:w="906" w:type="dxa"/>
            <w:shd w:val="clear" w:color="auto" w:fill="C6EFCE"/>
            <w:noWrap/>
          </w:tcPr>
          <w:p w14:paraId="06CDA16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400 000</w:t>
            </w:r>
          </w:p>
        </w:tc>
        <w:tc>
          <w:tcPr>
            <w:tcW w:w="990" w:type="dxa"/>
            <w:shd w:val="clear" w:color="auto" w:fill="C6EFCE"/>
            <w:noWrap/>
          </w:tcPr>
          <w:p w14:paraId="19B5CC7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858" w:type="dxa"/>
            <w:shd w:val="clear" w:color="auto" w:fill="C6EFCE"/>
            <w:noWrap/>
          </w:tcPr>
          <w:p w14:paraId="6E72446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3916" w:type="dxa"/>
            <w:shd w:val="clear" w:color="auto" w:fill="C6EFCE"/>
            <w:noWrap/>
          </w:tcPr>
          <w:p w14:paraId="30B781C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Platvormi kasutuselevõtt – kõik õigusraamistiku alla kuuluvad ettevõtjad on oma veebipõhised kassaaparaadid ja müügikoha süsteemid ühendatud sõltumatu maksuametiga. </w:t>
            </w:r>
          </w:p>
          <w:p w14:paraId="0AFA29FA" w14:textId="77777777" w:rsidR="00356CBA" w:rsidRPr="00AD4052" w:rsidRDefault="00356CBA">
            <w:pPr>
              <w:spacing w:after="0" w:line="240" w:lineRule="auto"/>
              <w:rPr>
                <w:rFonts w:eastAsia="Times New Roman" w:cs="Calibri"/>
                <w:noProof/>
                <w:color w:val="006100"/>
                <w:sz w:val="18"/>
                <w:szCs w:val="18"/>
                <w:lang w:eastAsia="en-GB"/>
              </w:rPr>
            </w:pPr>
          </w:p>
          <w:p w14:paraId="3A29134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Avaliku sektori tulude sõltumatu asutuse aruanne, milles kinnitatakse reformi lõpuleviimist ja esitatakse selliste veebipõhiste kassaregistrite koguarv, mis on oma müügipunktisüsteemid ühendatud avaliku sektori tulude sõltumatu asutusega. Rahastamiskõlblikud kassaaparaadid peavad olema vähemalt 400 000.</w:t>
            </w:r>
          </w:p>
        </w:tc>
      </w:tr>
    </w:tbl>
    <w:p w14:paraId="0AA497C1" w14:textId="77777777" w:rsidR="00356CBA" w:rsidRPr="00E02B5D" w:rsidRDefault="00356CBA" w:rsidP="00645BC7">
      <w:pPr>
        <w:spacing w:before="120" w:after="120" w:line="240" w:lineRule="auto"/>
        <w:ind w:left="709"/>
        <w:jc w:val="both"/>
        <w:rPr>
          <w:rFonts w:ascii="Times New Roman" w:hAnsi="Times New Roman" w:cs="Times New Roman"/>
          <w:noProof/>
          <w:sz w:val="24"/>
          <w:szCs w:val="24"/>
          <w:lang w:val="en-GB"/>
        </w:rPr>
      </w:pPr>
    </w:p>
    <w:p w14:paraId="675E82D4"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17: Maksuhalduse meetmed</w:t>
      </w:r>
    </w:p>
    <w:p w14:paraId="2FCDF64E" w14:textId="77777777" w:rsidR="00356CBA" w:rsidRPr="00E02B5D" w:rsidRDefault="00356CBA" w:rsidP="00DE1EE5">
      <w:pPr>
        <w:numPr>
          <w:ilvl w:val="0"/>
          <w:numId w:val="37"/>
        </w:numPr>
        <w:spacing w:before="120" w:after="0" w:line="240" w:lineRule="auto"/>
        <w:jc w:val="both"/>
        <w:rPr>
          <w:rFonts w:ascii="Times New Roman" w:hAnsi="Times New Roman" w:cs="Times New Roman"/>
          <w:noProof/>
        </w:rPr>
      </w:pPr>
      <w:r>
        <w:rPr>
          <w:rFonts w:ascii="Times New Roman" w:hAnsi="Times New Roman"/>
          <w:noProof/>
          <w:sz w:val="24"/>
        </w:rPr>
        <w:t>Maksuauditite digitaalne üleminek (ID: 16611)</w:t>
      </w:r>
    </w:p>
    <w:p w14:paraId="0B6EC869" w14:textId="77777777" w:rsidR="00356CBA" w:rsidRPr="00E02B5D" w:rsidRDefault="00356CBA" w:rsidP="00DE1EE5">
      <w:pPr>
        <w:numPr>
          <w:ilvl w:val="0"/>
          <w:numId w:val="37"/>
        </w:numPr>
        <w:spacing w:before="120" w:after="0" w:line="240" w:lineRule="auto"/>
        <w:jc w:val="both"/>
        <w:rPr>
          <w:rFonts w:ascii="Times New Roman" w:hAnsi="Times New Roman" w:cs="Times New Roman"/>
          <w:noProof/>
          <w:sz w:val="24"/>
        </w:rPr>
      </w:pPr>
      <w:r>
        <w:rPr>
          <w:rFonts w:ascii="Times New Roman" w:hAnsi="Times New Roman"/>
          <w:noProof/>
          <w:sz w:val="24"/>
        </w:rPr>
        <w:t>Käibemaksu tagastamise kiirendamise edendamine (ID: 16610)</w:t>
      </w:r>
    </w:p>
    <w:p w14:paraId="340B0EDB" w14:textId="77777777" w:rsidR="00356CBA" w:rsidRPr="00E02B5D" w:rsidRDefault="00356CBA" w:rsidP="00DE1EE5">
      <w:pPr>
        <w:numPr>
          <w:ilvl w:val="0"/>
          <w:numId w:val="37"/>
        </w:numPr>
        <w:spacing w:before="120" w:after="0" w:line="240" w:lineRule="auto"/>
        <w:jc w:val="both"/>
        <w:rPr>
          <w:rFonts w:ascii="Times New Roman" w:hAnsi="Times New Roman" w:cs="Times New Roman"/>
          <w:noProof/>
          <w:sz w:val="24"/>
        </w:rPr>
      </w:pPr>
      <w:r>
        <w:rPr>
          <w:rFonts w:ascii="Times New Roman" w:hAnsi="Times New Roman"/>
          <w:noProof/>
          <w:sz w:val="24"/>
        </w:rPr>
        <w:t>Uus raamistik võitluseks salakaubaveoga, peamiselt aktsiisiga maksustatavate toodete puhul (tubakas, alkohol ja energia) (ID: 16656)</w:t>
      </w:r>
    </w:p>
    <w:p w14:paraId="2745AF91" w14:textId="77777777" w:rsidR="00356CBA" w:rsidRPr="00E02B5D" w:rsidRDefault="00356CBA" w:rsidP="00DE1EE5">
      <w:pPr>
        <w:numPr>
          <w:ilvl w:val="0"/>
          <w:numId w:val="37"/>
        </w:numPr>
        <w:spacing w:before="120" w:after="120" w:line="240" w:lineRule="auto"/>
        <w:jc w:val="both"/>
        <w:rPr>
          <w:rFonts w:ascii="Times New Roman" w:hAnsi="Times New Roman" w:cs="Times New Roman"/>
          <w:noProof/>
          <w:sz w:val="24"/>
        </w:rPr>
      </w:pPr>
      <w:r>
        <w:rPr>
          <w:rFonts w:ascii="Times New Roman" w:hAnsi="Times New Roman"/>
          <w:noProof/>
          <w:sz w:val="24"/>
        </w:rPr>
        <w:t>Maksu- ja tolliameti digiüleminek (ID: 16291)</w:t>
      </w:r>
    </w:p>
    <w:p w14:paraId="376D1682" w14:textId="77777777" w:rsidR="00356CBA" w:rsidRPr="00E02B5D" w:rsidRDefault="00356CBA" w:rsidP="00645BC7">
      <w:pPr>
        <w:spacing w:before="120" w:after="120" w:line="240" w:lineRule="auto"/>
        <w:ind w:left="709"/>
        <w:jc w:val="both"/>
        <w:rPr>
          <w:rFonts w:ascii="Times New Roman" w:hAnsi="Times New Roman" w:cs="Times New Roman"/>
          <w:noProof/>
          <w:sz w:val="24"/>
          <w:szCs w:val="24"/>
          <w:lang w:val="en-GB"/>
        </w:rPr>
      </w:pPr>
    </w:p>
    <w:tbl>
      <w:tblPr>
        <w:tblW w:w="16155" w:type="dxa"/>
        <w:jc w:val="center"/>
        <w:tblLook w:val="04A0" w:firstRow="1" w:lastRow="0" w:firstColumn="1" w:lastColumn="0" w:noHBand="0" w:noVBand="1"/>
      </w:tblPr>
      <w:tblGrid>
        <w:gridCol w:w="1116"/>
        <w:gridCol w:w="1817"/>
        <w:gridCol w:w="969"/>
        <w:gridCol w:w="1884"/>
        <w:gridCol w:w="1824"/>
        <w:gridCol w:w="977"/>
        <w:gridCol w:w="966"/>
        <w:gridCol w:w="906"/>
        <w:gridCol w:w="846"/>
        <w:gridCol w:w="694"/>
        <w:gridCol w:w="4156"/>
      </w:tblGrid>
      <w:tr w:rsidR="007B4D63" w:rsidRPr="003B132A" w14:paraId="751C80CB" w14:textId="77777777" w:rsidTr="00C23759">
        <w:trPr>
          <w:trHeight w:val="939"/>
          <w:tblHeade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0541FB" w14:textId="016E0821"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C23759">
              <w:rPr>
                <w:rFonts w:ascii="Times New Roman" w:hAnsi="Times New Roman"/>
                <w:b/>
                <w:noProof/>
                <w:sz w:val="18"/>
              </w:rPr>
              <w:t>-</w:t>
            </w:r>
            <w:r>
              <w:rPr>
                <w:rFonts w:ascii="Times New Roman" w:hAnsi="Times New Roman"/>
                <w:b/>
                <w:noProof/>
                <w:sz w:val="18"/>
              </w:rPr>
              <w:t>number</w:t>
            </w:r>
          </w:p>
        </w:tc>
        <w:tc>
          <w:tcPr>
            <w:tcW w:w="18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7C12256"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4F034E"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8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3E7470"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005FA3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Kvalitatiivsed näitajad </w:t>
            </w:r>
            <w:r>
              <w:rPr>
                <w:rFonts w:ascii="Times New Roman" w:hAnsi="Times New Roman"/>
                <w:noProof/>
              </w:rPr>
              <w:t xml:space="preserve"> </w:t>
            </w:r>
            <w:r>
              <w:rPr>
                <w:rFonts w:ascii="Times New Roman" w:hAnsi="Times New Roman"/>
                <w:b/>
                <w:noProof/>
                <w:sz w:val="18"/>
              </w:rPr>
              <w:t>(eesmärkide puhul)</w:t>
            </w:r>
          </w:p>
        </w:tc>
        <w:tc>
          <w:tcPr>
            <w:tcW w:w="2849" w:type="dxa"/>
            <w:gridSpan w:val="3"/>
            <w:tcBorders>
              <w:top w:val="single" w:sz="4" w:space="0" w:color="auto"/>
              <w:left w:val="nil"/>
              <w:bottom w:val="single" w:sz="4" w:space="0" w:color="auto"/>
              <w:right w:val="single" w:sz="4" w:space="0" w:color="auto"/>
            </w:tcBorders>
            <w:shd w:val="clear" w:color="auto" w:fill="BDD7EE"/>
            <w:vAlign w:val="center"/>
            <w:hideMark/>
          </w:tcPr>
          <w:p w14:paraId="605D618E"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Kvantitatiivsed näitajad </w:t>
            </w:r>
            <w:r>
              <w:rPr>
                <w:rFonts w:ascii="Times New Roman" w:hAnsi="Times New Roman"/>
                <w:noProof/>
              </w:rPr>
              <w:t xml:space="preserve"> </w:t>
            </w:r>
            <w:r>
              <w:rPr>
                <w:rFonts w:ascii="Times New Roman" w:hAnsi="Times New Roman"/>
                <w:b/>
                <w:noProof/>
                <w:sz w:val="18"/>
              </w:rPr>
              <w:t>(sihtide puhul)</w:t>
            </w:r>
          </w:p>
        </w:tc>
        <w:tc>
          <w:tcPr>
            <w:tcW w:w="1540" w:type="dxa"/>
            <w:gridSpan w:val="2"/>
            <w:tcBorders>
              <w:top w:val="single" w:sz="4" w:space="0" w:color="auto"/>
              <w:left w:val="nil"/>
              <w:bottom w:val="single" w:sz="4" w:space="0" w:color="auto"/>
              <w:right w:val="single" w:sz="4" w:space="0" w:color="auto"/>
            </w:tcBorders>
            <w:shd w:val="clear" w:color="auto" w:fill="BDD7EE"/>
            <w:vAlign w:val="center"/>
            <w:hideMark/>
          </w:tcPr>
          <w:p w14:paraId="7974604C"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1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9F2A0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42605750" w14:textId="77777777" w:rsidTr="00C23759">
        <w:trPr>
          <w:trHeight w:val="674"/>
          <w:tblHeader/>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6185F0AB"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14:paraId="6A6EBE57"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3588F0DD"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14:paraId="618D1F48"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7DF5F48E"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7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FB3DEE6"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tcBorders>
              <w:top w:val="single" w:sz="4" w:space="0" w:color="auto"/>
              <w:left w:val="nil"/>
              <w:bottom w:val="single" w:sz="4" w:space="0" w:color="auto"/>
              <w:right w:val="single" w:sz="4" w:space="0" w:color="auto"/>
            </w:tcBorders>
            <w:shd w:val="clear" w:color="auto" w:fill="BDD7EE"/>
            <w:vAlign w:val="center"/>
            <w:hideMark/>
          </w:tcPr>
          <w:p w14:paraId="127B0C60"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tcBorders>
              <w:top w:val="single" w:sz="4" w:space="0" w:color="auto"/>
              <w:left w:val="nil"/>
              <w:bottom w:val="single" w:sz="4" w:space="0" w:color="auto"/>
              <w:right w:val="single" w:sz="4" w:space="0" w:color="auto"/>
            </w:tcBorders>
            <w:shd w:val="clear" w:color="auto" w:fill="BDD7EE"/>
            <w:vAlign w:val="center"/>
            <w:hideMark/>
          </w:tcPr>
          <w:p w14:paraId="15968B28"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14:paraId="4B652D8F"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694" w:type="dxa"/>
            <w:tcBorders>
              <w:top w:val="single" w:sz="4" w:space="0" w:color="auto"/>
              <w:left w:val="nil"/>
              <w:bottom w:val="single" w:sz="4" w:space="0" w:color="auto"/>
              <w:right w:val="single" w:sz="4" w:space="0" w:color="auto"/>
            </w:tcBorders>
            <w:shd w:val="clear" w:color="auto" w:fill="BDD7EE"/>
            <w:vAlign w:val="center"/>
            <w:hideMark/>
          </w:tcPr>
          <w:p w14:paraId="0391B15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156" w:type="dxa"/>
            <w:vMerge/>
            <w:tcBorders>
              <w:top w:val="single" w:sz="4" w:space="0" w:color="auto"/>
              <w:bottom w:val="single" w:sz="4" w:space="0" w:color="auto"/>
              <w:right w:val="single" w:sz="4" w:space="0" w:color="auto"/>
            </w:tcBorders>
            <w:vAlign w:val="center"/>
            <w:hideMark/>
          </w:tcPr>
          <w:p w14:paraId="074D7A7A"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7246D486"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05026C5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190</w:t>
            </w:r>
          </w:p>
        </w:tc>
        <w:tc>
          <w:tcPr>
            <w:tcW w:w="1817" w:type="dxa"/>
            <w:tcBorders>
              <w:top w:val="single" w:sz="4" w:space="0" w:color="auto"/>
              <w:left w:val="nil"/>
              <w:bottom w:val="single" w:sz="4" w:space="0" w:color="auto"/>
              <w:right w:val="single" w:sz="4" w:space="0" w:color="auto"/>
            </w:tcBorders>
            <w:shd w:val="clear" w:color="auto" w:fill="C6EFCE"/>
            <w:noWrap/>
          </w:tcPr>
          <w:p w14:paraId="4903C62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16656_Uus raamistik võitluseks salakaubaveoga, peamiselt aktsiisiga maksustatavate toodete puhul (tubakas, alkohol ja energia)</w:t>
            </w:r>
          </w:p>
        </w:tc>
        <w:tc>
          <w:tcPr>
            <w:tcW w:w="969" w:type="dxa"/>
            <w:tcBorders>
              <w:top w:val="single" w:sz="4" w:space="0" w:color="auto"/>
              <w:left w:val="nil"/>
              <w:bottom w:val="single" w:sz="4" w:space="0" w:color="auto"/>
              <w:right w:val="single" w:sz="4" w:space="0" w:color="auto"/>
            </w:tcBorders>
            <w:shd w:val="clear" w:color="auto" w:fill="C6EFCE"/>
            <w:noWrap/>
          </w:tcPr>
          <w:p w14:paraId="30D5EA5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84" w:type="dxa"/>
            <w:tcBorders>
              <w:top w:val="single" w:sz="4" w:space="0" w:color="auto"/>
              <w:left w:val="nil"/>
              <w:bottom w:val="single" w:sz="4" w:space="0" w:color="auto"/>
              <w:right w:val="single" w:sz="4" w:space="0" w:color="auto"/>
            </w:tcBorders>
            <w:shd w:val="clear" w:color="auto" w:fill="C6EFCE"/>
            <w:noWrap/>
          </w:tcPr>
          <w:p w14:paraId="198BBE1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Võitlus inimeste ebaseadusliku üle piiri toimetamise vastu – regulatiivsete otsuste tegevuskava</w:t>
            </w:r>
          </w:p>
        </w:tc>
        <w:tc>
          <w:tcPr>
            <w:tcW w:w="1824" w:type="dxa"/>
            <w:tcBorders>
              <w:top w:val="single" w:sz="4" w:space="0" w:color="auto"/>
              <w:left w:val="nil"/>
              <w:bottom w:val="single" w:sz="4" w:space="0" w:color="auto"/>
              <w:right w:val="single" w:sz="4" w:space="0" w:color="auto"/>
            </w:tcBorders>
            <w:shd w:val="clear" w:color="auto" w:fill="C6EFCE"/>
            <w:noWrap/>
          </w:tcPr>
          <w:p w14:paraId="2108FBF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Riigitulude sõltumatu asutuse aruanne, mis sisaldab smugeldamise vastase võitlusega seotud otsuste/ringluste tegevuskava.</w:t>
            </w:r>
          </w:p>
        </w:tc>
        <w:tc>
          <w:tcPr>
            <w:tcW w:w="977" w:type="dxa"/>
            <w:tcBorders>
              <w:top w:val="single" w:sz="4" w:space="0" w:color="auto"/>
              <w:left w:val="nil"/>
              <w:bottom w:val="single" w:sz="4" w:space="0" w:color="auto"/>
              <w:right w:val="single" w:sz="4" w:space="0" w:color="auto"/>
            </w:tcBorders>
            <w:shd w:val="clear" w:color="auto" w:fill="C6EFCE"/>
            <w:noWrap/>
          </w:tcPr>
          <w:p w14:paraId="70B7B4C8"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529F4C60"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4441D21F"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14:paraId="2C26C18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kv</w:t>
            </w:r>
          </w:p>
        </w:tc>
        <w:tc>
          <w:tcPr>
            <w:tcW w:w="694" w:type="dxa"/>
            <w:tcBorders>
              <w:top w:val="nil"/>
              <w:left w:val="nil"/>
              <w:bottom w:val="single" w:sz="4" w:space="0" w:color="auto"/>
              <w:right w:val="single" w:sz="4" w:space="0" w:color="auto"/>
            </w:tcBorders>
            <w:shd w:val="clear" w:color="auto" w:fill="C6EFCE"/>
            <w:noWrap/>
          </w:tcPr>
          <w:p w14:paraId="65DB692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4156" w:type="dxa"/>
            <w:tcBorders>
              <w:top w:val="single" w:sz="4" w:space="0" w:color="auto"/>
              <w:left w:val="single" w:sz="4" w:space="0" w:color="auto"/>
              <w:bottom w:val="single" w:sz="4" w:space="0" w:color="auto"/>
              <w:right w:val="single" w:sz="4" w:space="0" w:color="auto"/>
            </w:tcBorders>
            <w:shd w:val="clear" w:color="auto" w:fill="C6EFCE"/>
            <w:noWrap/>
          </w:tcPr>
          <w:p w14:paraId="2D5EDD5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Riigitulude sõltumatu asutus võtab vastu tegevuskava (sealhulgas ajakava) ebaseadusliku üle piiri toimetamise vastast võitlust käsitleva õigusraamistiku reformiga seotud otsuste/ringluste väljaandmiseks.</w:t>
            </w:r>
          </w:p>
          <w:p w14:paraId="2B5DD4A1" w14:textId="77777777" w:rsidR="00356CBA" w:rsidRPr="00AD4052" w:rsidRDefault="00356CBA">
            <w:pPr>
              <w:spacing w:after="0" w:line="240" w:lineRule="auto"/>
              <w:rPr>
                <w:rFonts w:eastAsia="Times New Roman" w:cs="Calibri"/>
                <w:noProof/>
                <w:color w:val="006100"/>
                <w:sz w:val="18"/>
                <w:szCs w:val="18"/>
                <w:lang w:eastAsia="en-GB"/>
              </w:rPr>
            </w:pPr>
          </w:p>
          <w:p w14:paraId="49B2FAA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Avaliku sektori tulude sõltumatu asutus koostab aruande otsuste/ringluste väljastamise tegevuskava kohta, kirjeldades üksikasjalikult ICISNETi ja ELENXISe toimivate infosüsteemide ümberkujundamiseks vajalikke samme, et tõhusalt seada esikohale nõuete täitmata jätmisega seotud riskid ja luua parimad võimalikud auditiprofiilid, kasutades Euroopa Liidu ja riiklikest andmebaasidest saadud teavet.</w:t>
            </w:r>
          </w:p>
        </w:tc>
      </w:tr>
      <w:tr w:rsidR="007B4D63" w:rsidRPr="003B132A" w14:paraId="77D4A3FB"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2253FC3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191</w:t>
            </w:r>
          </w:p>
        </w:tc>
        <w:tc>
          <w:tcPr>
            <w:tcW w:w="1817" w:type="dxa"/>
            <w:tcBorders>
              <w:top w:val="nil"/>
              <w:left w:val="nil"/>
              <w:bottom w:val="single" w:sz="4" w:space="0" w:color="auto"/>
              <w:right w:val="single" w:sz="4" w:space="0" w:color="auto"/>
            </w:tcBorders>
            <w:shd w:val="clear" w:color="auto" w:fill="C6EFCE"/>
            <w:noWrap/>
          </w:tcPr>
          <w:p w14:paraId="0AFE794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16656_Uus raamistik võitluseks salakaubaveoga, peamiselt aktsiisiga maksustatavate toodete puhul (tubakas, alkohol ja energia)</w:t>
            </w:r>
          </w:p>
        </w:tc>
        <w:tc>
          <w:tcPr>
            <w:tcW w:w="969" w:type="dxa"/>
            <w:tcBorders>
              <w:top w:val="nil"/>
              <w:left w:val="nil"/>
              <w:bottom w:val="single" w:sz="4" w:space="0" w:color="auto"/>
              <w:right w:val="single" w:sz="4" w:space="0" w:color="auto"/>
            </w:tcBorders>
            <w:shd w:val="clear" w:color="auto" w:fill="C6EFCE"/>
            <w:noWrap/>
          </w:tcPr>
          <w:p w14:paraId="5F80843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84" w:type="dxa"/>
            <w:tcBorders>
              <w:top w:val="nil"/>
              <w:left w:val="nil"/>
              <w:bottom w:val="single" w:sz="4" w:space="0" w:color="auto"/>
              <w:right w:val="single" w:sz="4" w:space="0" w:color="auto"/>
            </w:tcBorders>
            <w:shd w:val="clear" w:color="auto" w:fill="C6EFCE"/>
            <w:noWrap/>
          </w:tcPr>
          <w:p w14:paraId="605C4A5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Võitlus ebaseadusliku üle piiri toimetamise vastu – regulatiivsete otsuste jõustumine</w:t>
            </w:r>
          </w:p>
        </w:tc>
        <w:tc>
          <w:tcPr>
            <w:tcW w:w="1824" w:type="dxa"/>
            <w:tcBorders>
              <w:top w:val="nil"/>
              <w:left w:val="nil"/>
              <w:bottom w:val="single" w:sz="4" w:space="0" w:color="auto"/>
              <w:right w:val="single" w:sz="4" w:space="0" w:color="auto"/>
            </w:tcBorders>
            <w:shd w:val="clear" w:color="auto" w:fill="C6EFCE"/>
            <w:noWrap/>
          </w:tcPr>
          <w:p w14:paraId="4F9D56E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Jõustunud on reguleerivad otsused/ringkirjad.</w:t>
            </w:r>
          </w:p>
        </w:tc>
        <w:tc>
          <w:tcPr>
            <w:tcW w:w="977" w:type="dxa"/>
            <w:tcBorders>
              <w:top w:val="nil"/>
              <w:left w:val="nil"/>
              <w:bottom w:val="single" w:sz="4" w:space="0" w:color="auto"/>
              <w:right w:val="single" w:sz="4" w:space="0" w:color="auto"/>
            </w:tcBorders>
            <w:shd w:val="clear" w:color="auto" w:fill="C6EFCE"/>
            <w:noWrap/>
          </w:tcPr>
          <w:p w14:paraId="621ADD1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3B9F9B29"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7510406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0B834DF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694" w:type="dxa"/>
            <w:tcBorders>
              <w:top w:val="nil"/>
              <w:left w:val="nil"/>
              <w:bottom w:val="single" w:sz="4" w:space="0" w:color="auto"/>
              <w:right w:val="single" w:sz="4" w:space="0" w:color="auto"/>
            </w:tcBorders>
            <w:shd w:val="clear" w:color="auto" w:fill="C6EFCE"/>
            <w:noWrap/>
          </w:tcPr>
          <w:p w14:paraId="4753C0F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4156" w:type="dxa"/>
            <w:tcBorders>
              <w:top w:val="single" w:sz="4" w:space="0" w:color="auto"/>
              <w:left w:val="nil"/>
              <w:bottom w:val="single" w:sz="4" w:space="0" w:color="auto"/>
              <w:right w:val="single" w:sz="4" w:space="0" w:color="auto"/>
            </w:tcBorders>
            <w:shd w:val="clear" w:color="auto" w:fill="C6EFCE"/>
            <w:noWrap/>
          </w:tcPr>
          <w:p w14:paraId="731DDC2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Ebaseadusliku üle piiri toimetamise vastase võitluse uue integreeritud süsteemi väljatöötamist käsitleva 15 reguleeriva otsuse/ringluse jõustumine, mille on vastu võtnud avaliku sektori tulude sõltumatu asutus.</w:t>
            </w:r>
          </w:p>
          <w:p w14:paraId="5B94A980" w14:textId="77777777" w:rsidR="00356CBA" w:rsidRPr="00AD4052" w:rsidRDefault="00356CBA">
            <w:pPr>
              <w:spacing w:after="0" w:line="240" w:lineRule="auto"/>
              <w:rPr>
                <w:rFonts w:eastAsia="Times New Roman" w:cs="Calibri"/>
                <w:noProof/>
                <w:color w:val="006100"/>
                <w:sz w:val="18"/>
                <w:szCs w:val="18"/>
                <w:lang w:eastAsia="en-GB"/>
              </w:rPr>
            </w:pPr>
          </w:p>
          <w:p w14:paraId="713776C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Kooskõlas 31. märtsiks 2022 kehtestatud tegevuskavaga hõlmab jõustunud otsus/ringlused uue integreeritud süsteemi ettevalmistamist, mis toetab auditiprotsessi, jälgides tollitehinguid ja -protseduure reaalajas. See süsteem toimib, seades eesmärgiks süüdistuse esitamisega tegelevate tolliteenistuste parema ja kiirema suunamise keskse järelevalve alla ja kõrgendatud huvi pakkuvatesse kohtadesse.</w:t>
            </w:r>
          </w:p>
        </w:tc>
      </w:tr>
      <w:tr w:rsidR="00356CBA" w:rsidRPr="003B132A" w14:paraId="48CAC185"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33A3BF6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192</w:t>
            </w:r>
          </w:p>
        </w:tc>
        <w:tc>
          <w:tcPr>
            <w:tcW w:w="1817" w:type="dxa"/>
            <w:tcBorders>
              <w:top w:val="nil"/>
              <w:left w:val="nil"/>
              <w:bottom w:val="single" w:sz="4" w:space="0" w:color="auto"/>
              <w:right w:val="single" w:sz="4" w:space="0" w:color="auto"/>
            </w:tcBorders>
            <w:shd w:val="clear" w:color="auto" w:fill="C6EFCE"/>
            <w:noWrap/>
          </w:tcPr>
          <w:p w14:paraId="2BF2CFED" w14:textId="77777777" w:rsidR="00356CBA" w:rsidRPr="00E02B5D" w:rsidRDefault="00356CBA">
            <w:pPr>
              <w:spacing w:after="0" w:line="240" w:lineRule="auto"/>
              <w:rPr>
                <w:rFonts w:eastAsia="Times New Roman"/>
                <w:noProof/>
                <w:color w:val="006100"/>
                <w:sz w:val="18"/>
                <w:szCs w:val="18"/>
                <w:highlight w:val="yellow"/>
              </w:rPr>
            </w:pPr>
            <w:r>
              <w:rPr>
                <w:noProof/>
                <w:color w:val="006100"/>
                <w:sz w:val="18"/>
              </w:rPr>
              <w:t>12-4.1. Maksude muutmine majanduskasvu soodustavamaks ning maksuhalduse ja maksude kogumise parandamine – 16611_Maksuauditite digitaalne üleminek</w:t>
            </w:r>
          </w:p>
          <w:p w14:paraId="1D1F7417" w14:textId="77777777" w:rsidR="00356CBA" w:rsidRPr="00AD4052" w:rsidRDefault="00356CBA">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14:paraId="5AB56AA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84" w:type="dxa"/>
            <w:tcBorders>
              <w:top w:val="nil"/>
              <w:left w:val="nil"/>
              <w:bottom w:val="single" w:sz="4" w:space="0" w:color="auto"/>
              <w:right w:val="single" w:sz="4" w:space="0" w:color="auto"/>
            </w:tcBorders>
            <w:shd w:val="clear" w:color="auto" w:fill="C6EFCE"/>
            <w:noWrap/>
          </w:tcPr>
          <w:p w14:paraId="7CC9496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Maksuauditid – MyData ja pangaandmed</w:t>
            </w:r>
          </w:p>
        </w:tc>
        <w:tc>
          <w:tcPr>
            <w:tcW w:w="1824" w:type="dxa"/>
            <w:tcBorders>
              <w:top w:val="nil"/>
              <w:left w:val="nil"/>
              <w:bottom w:val="single" w:sz="4" w:space="0" w:color="auto"/>
              <w:right w:val="single" w:sz="4" w:space="0" w:color="auto"/>
            </w:tcBorders>
            <w:shd w:val="clear" w:color="auto" w:fill="C6EFCE"/>
            <w:noWrap/>
          </w:tcPr>
          <w:p w14:paraId="5111F23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Riigitulude sõltumatu asutuse aruanne, milles tõendatakse, et:</w:t>
            </w:r>
          </w:p>
          <w:p w14:paraId="38864DA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 MyData süsteemi täielik aktiveerimine.</w:t>
            </w:r>
          </w:p>
          <w:p w14:paraId="135DA41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b) Projekti lõpuleviimine kolmandate isikute pangaandmete sidumiseks ja kasutamiseks riigitulude sõltumatu asutuse poolt.</w:t>
            </w:r>
          </w:p>
        </w:tc>
        <w:tc>
          <w:tcPr>
            <w:tcW w:w="977" w:type="dxa"/>
            <w:tcBorders>
              <w:top w:val="nil"/>
              <w:left w:val="nil"/>
              <w:bottom w:val="single" w:sz="4" w:space="0" w:color="auto"/>
              <w:right w:val="single" w:sz="4" w:space="0" w:color="auto"/>
            </w:tcBorders>
            <w:shd w:val="clear" w:color="auto" w:fill="C6EFCE"/>
            <w:noWrap/>
          </w:tcPr>
          <w:p w14:paraId="0A6C9E1D"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03FA61E8"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378AAA91"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14:paraId="5DBE59B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694" w:type="dxa"/>
            <w:tcBorders>
              <w:top w:val="nil"/>
              <w:left w:val="nil"/>
              <w:bottom w:val="single" w:sz="4" w:space="0" w:color="auto"/>
              <w:right w:val="single" w:sz="4" w:space="0" w:color="auto"/>
            </w:tcBorders>
            <w:shd w:val="clear" w:color="auto" w:fill="C6EFCE"/>
            <w:noWrap/>
          </w:tcPr>
          <w:p w14:paraId="6A85721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2023</w:t>
            </w:r>
          </w:p>
        </w:tc>
        <w:tc>
          <w:tcPr>
            <w:tcW w:w="4156" w:type="dxa"/>
            <w:tcBorders>
              <w:top w:val="nil"/>
              <w:left w:val="nil"/>
              <w:bottom w:val="single" w:sz="4" w:space="0" w:color="auto"/>
              <w:right w:val="single" w:sz="4" w:space="0" w:color="auto"/>
            </w:tcBorders>
            <w:shd w:val="clear" w:color="auto" w:fill="C6EFCE"/>
            <w:noWrap/>
          </w:tcPr>
          <w:p w14:paraId="1C75B7D1"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Aktiveerimine </w:t>
            </w:r>
          </w:p>
          <w:p w14:paraId="6B1984E5" w14:textId="77777777" w:rsidR="00356CBA" w:rsidRPr="00E02B5D" w:rsidRDefault="00356CBA" w:rsidP="00DE1EE5">
            <w:pPr>
              <w:pStyle w:val="ListParagraph"/>
              <w:numPr>
                <w:ilvl w:val="0"/>
                <w:numId w:val="82"/>
              </w:numPr>
              <w:spacing w:after="0" w:line="240" w:lineRule="auto"/>
              <w:ind w:left="169" w:hanging="142"/>
              <w:rPr>
                <w:rFonts w:eastAsia="Times New Roman" w:cs="Calibri"/>
                <w:noProof/>
                <w:color w:val="006100"/>
                <w:sz w:val="18"/>
                <w:szCs w:val="18"/>
              </w:rPr>
            </w:pPr>
            <w:r>
              <w:rPr>
                <w:noProof/>
                <w:color w:val="006100"/>
                <w:sz w:val="18"/>
              </w:rPr>
              <w:t xml:space="preserve">Süsteem myDATA ning selle vastastikune sidumine ja kolmandate isikute pangateabe kasutamine, et parandada ettevõtjate vastavust maksueeskirjadele, hõlbustada maksudeklaratsioonide automaatset täitmist ja suurendada maksuauditite tõhusust. </w:t>
            </w:r>
          </w:p>
          <w:p w14:paraId="4D0C3954" w14:textId="77777777" w:rsidR="00356CBA" w:rsidRPr="00E02B5D" w:rsidRDefault="00356CBA" w:rsidP="00DE1EE5">
            <w:pPr>
              <w:pStyle w:val="ListParagraph"/>
              <w:numPr>
                <w:ilvl w:val="0"/>
                <w:numId w:val="82"/>
              </w:numPr>
              <w:spacing w:after="0" w:line="240" w:lineRule="auto"/>
              <w:ind w:left="169" w:hanging="142"/>
              <w:rPr>
                <w:rFonts w:eastAsia="Times New Roman" w:cs="Calibri"/>
                <w:noProof/>
                <w:color w:val="006100"/>
                <w:sz w:val="18"/>
                <w:szCs w:val="18"/>
              </w:rPr>
            </w:pPr>
            <w:r>
              <w:rPr>
                <w:noProof/>
                <w:color w:val="006100"/>
                <w:sz w:val="18"/>
              </w:rPr>
              <w:t xml:space="preserve">MyDATA-süsteem elektrooniliseks raamatupidamisarvestuseks, elektrooniliste arvete esitamiseks ja kõigi maksude kassaaparaatide ühendamiseks oma IT-süsteemidega. . </w:t>
            </w:r>
          </w:p>
          <w:p w14:paraId="69003A55" w14:textId="77777777" w:rsidR="00356CBA" w:rsidRPr="00AD4052" w:rsidRDefault="00356CBA" w:rsidP="00584C80">
            <w:pPr>
              <w:spacing w:after="0" w:line="240" w:lineRule="auto"/>
              <w:ind w:left="27"/>
              <w:rPr>
                <w:rFonts w:eastAsia="Times New Roman" w:cs="Calibri"/>
                <w:noProof/>
                <w:color w:val="006100"/>
                <w:sz w:val="18"/>
                <w:szCs w:val="18"/>
                <w:lang w:eastAsia="en-GB"/>
              </w:rPr>
            </w:pPr>
          </w:p>
        </w:tc>
      </w:tr>
      <w:tr w:rsidR="007B4D63" w:rsidRPr="003B132A" w14:paraId="4B314D9D"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56EE1B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193</w:t>
            </w:r>
          </w:p>
        </w:tc>
        <w:tc>
          <w:tcPr>
            <w:tcW w:w="1817" w:type="dxa"/>
            <w:tcBorders>
              <w:top w:val="single" w:sz="4" w:space="0" w:color="auto"/>
              <w:left w:val="nil"/>
              <w:bottom w:val="single" w:sz="4" w:space="0" w:color="auto"/>
              <w:right w:val="single" w:sz="4" w:space="0" w:color="auto"/>
            </w:tcBorders>
            <w:shd w:val="clear" w:color="auto" w:fill="C6EFCE"/>
            <w:noWrap/>
          </w:tcPr>
          <w:p w14:paraId="29D5C72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16610_Käibemaksu tagastamise kiirendamine</w:t>
            </w:r>
          </w:p>
        </w:tc>
        <w:tc>
          <w:tcPr>
            <w:tcW w:w="969" w:type="dxa"/>
            <w:tcBorders>
              <w:top w:val="single" w:sz="4" w:space="0" w:color="auto"/>
              <w:left w:val="nil"/>
              <w:bottom w:val="single" w:sz="4" w:space="0" w:color="auto"/>
              <w:right w:val="single" w:sz="4" w:space="0" w:color="auto"/>
            </w:tcBorders>
            <w:shd w:val="clear" w:color="auto" w:fill="C6EFCE"/>
            <w:noWrap/>
          </w:tcPr>
          <w:p w14:paraId="0945FA5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84" w:type="dxa"/>
            <w:tcBorders>
              <w:top w:val="single" w:sz="4" w:space="0" w:color="auto"/>
              <w:left w:val="nil"/>
              <w:bottom w:val="single" w:sz="4" w:space="0" w:color="auto"/>
              <w:right w:val="single" w:sz="4" w:space="0" w:color="auto"/>
            </w:tcBorders>
            <w:shd w:val="clear" w:color="auto" w:fill="C6EFCE"/>
            <w:noWrap/>
          </w:tcPr>
          <w:p w14:paraId="5CA08C0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Täielikult automatiseeritud käibemaksutagastused – IT-süsteemi käivitamine</w:t>
            </w:r>
          </w:p>
        </w:tc>
        <w:tc>
          <w:tcPr>
            <w:tcW w:w="1824" w:type="dxa"/>
            <w:tcBorders>
              <w:top w:val="single" w:sz="4" w:space="0" w:color="auto"/>
              <w:left w:val="nil"/>
              <w:bottom w:val="single" w:sz="4" w:space="0" w:color="auto"/>
              <w:right w:val="single" w:sz="4" w:space="0" w:color="auto"/>
            </w:tcBorders>
            <w:shd w:val="clear" w:color="auto" w:fill="C6EFCE"/>
            <w:noWrap/>
          </w:tcPr>
          <w:p w14:paraId="1629C96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Riigitulude sõltumatu asutuse aruanne, milles kinnitatakse uue IT-süsteemi käivitamist.</w:t>
            </w:r>
          </w:p>
        </w:tc>
        <w:tc>
          <w:tcPr>
            <w:tcW w:w="977" w:type="dxa"/>
            <w:tcBorders>
              <w:top w:val="single" w:sz="4" w:space="0" w:color="auto"/>
              <w:left w:val="nil"/>
              <w:bottom w:val="single" w:sz="4" w:space="0" w:color="auto"/>
              <w:right w:val="single" w:sz="4" w:space="0" w:color="auto"/>
            </w:tcBorders>
            <w:shd w:val="clear" w:color="auto" w:fill="C6EFCE"/>
            <w:noWrap/>
          </w:tcPr>
          <w:p w14:paraId="5C1F7557"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3DE5620C"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23EF3F3A"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2C5957E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94" w:type="dxa"/>
            <w:tcBorders>
              <w:top w:val="single" w:sz="4" w:space="0" w:color="auto"/>
              <w:left w:val="nil"/>
              <w:bottom w:val="single" w:sz="4" w:space="0" w:color="auto"/>
              <w:right w:val="single" w:sz="4" w:space="0" w:color="auto"/>
            </w:tcBorders>
            <w:shd w:val="clear" w:color="auto" w:fill="C6EFCE"/>
            <w:noWrap/>
          </w:tcPr>
          <w:p w14:paraId="7A8D3B5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2023</w:t>
            </w:r>
          </w:p>
        </w:tc>
        <w:tc>
          <w:tcPr>
            <w:tcW w:w="4156" w:type="dxa"/>
            <w:tcBorders>
              <w:top w:val="single" w:sz="4" w:space="0" w:color="auto"/>
              <w:left w:val="nil"/>
              <w:bottom w:val="single" w:sz="4" w:space="0" w:color="auto"/>
              <w:right w:val="single" w:sz="4" w:space="0" w:color="auto"/>
            </w:tcBorders>
            <w:shd w:val="clear" w:color="auto" w:fill="C6EFCE"/>
            <w:noWrap/>
          </w:tcPr>
          <w:p w14:paraId="172A41F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Täielikult automatiseeritud käibemaksu tagastamise menetluse ja IT-platvormi rakendamine, mis võimaldab täita kõik tagastamistaotlused elektrooniliselt, kui need ei kuulu riskianalüüsi käigus auditivalimisse (vähemalt 90 % kõigist taotlustest aastas).</w:t>
            </w:r>
          </w:p>
        </w:tc>
      </w:tr>
      <w:tr w:rsidR="00356CBA" w:rsidRPr="003B132A" w14:paraId="132705E0"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3D7B524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195a</w:t>
            </w:r>
          </w:p>
        </w:tc>
        <w:tc>
          <w:tcPr>
            <w:tcW w:w="1817" w:type="dxa"/>
            <w:tcBorders>
              <w:top w:val="single" w:sz="4" w:space="0" w:color="auto"/>
              <w:left w:val="nil"/>
              <w:bottom w:val="single" w:sz="4" w:space="0" w:color="auto"/>
              <w:right w:val="single" w:sz="4" w:space="0" w:color="auto"/>
            </w:tcBorders>
            <w:shd w:val="clear" w:color="auto" w:fill="C6EFCE"/>
            <w:noWrap/>
          </w:tcPr>
          <w:p w14:paraId="3F11651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12-4.1. Maksude muutmine majanduskasvu soodustavamaks ning maksuhalduse ja maksude kogumise parandamine </w:t>
            </w:r>
          </w:p>
          <w:p w14:paraId="1960B6C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16291_Maksu- ja Tolliameti digitaalne ümberkujundamine</w:t>
            </w:r>
          </w:p>
        </w:tc>
        <w:tc>
          <w:tcPr>
            <w:tcW w:w="969" w:type="dxa"/>
            <w:tcBorders>
              <w:top w:val="single" w:sz="4" w:space="0" w:color="auto"/>
              <w:left w:val="nil"/>
              <w:bottom w:val="single" w:sz="4" w:space="0" w:color="auto"/>
              <w:right w:val="single" w:sz="4" w:space="0" w:color="auto"/>
            </w:tcBorders>
            <w:shd w:val="clear" w:color="auto" w:fill="C6EFCE"/>
            <w:noWrap/>
          </w:tcPr>
          <w:p w14:paraId="2E51587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84" w:type="dxa"/>
            <w:tcBorders>
              <w:top w:val="single" w:sz="4" w:space="0" w:color="auto"/>
              <w:left w:val="nil"/>
              <w:bottom w:val="single" w:sz="4" w:space="0" w:color="auto"/>
              <w:right w:val="single" w:sz="4" w:space="0" w:color="auto"/>
            </w:tcBorders>
            <w:shd w:val="clear" w:color="auto" w:fill="C6EFCE"/>
            <w:noWrap/>
          </w:tcPr>
          <w:p w14:paraId="01BCD64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Allprojektide rakendamine</w:t>
            </w:r>
          </w:p>
        </w:tc>
        <w:tc>
          <w:tcPr>
            <w:tcW w:w="1824" w:type="dxa"/>
            <w:tcBorders>
              <w:top w:val="single" w:sz="4" w:space="0" w:color="auto"/>
              <w:left w:val="nil"/>
              <w:bottom w:val="single" w:sz="4" w:space="0" w:color="auto"/>
              <w:right w:val="single" w:sz="4" w:space="0" w:color="auto"/>
            </w:tcBorders>
            <w:shd w:val="clear" w:color="auto" w:fill="C6EFCE"/>
            <w:noWrap/>
          </w:tcPr>
          <w:p w14:paraId="447643D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Avaliku sektori tulude sõltumatu asutuse aruanne, milles kinnitatakse kahe allprojekti rakendamist.</w:t>
            </w:r>
          </w:p>
        </w:tc>
        <w:tc>
          <w:tcPr>
            <w:tcW w:w="977" w:type="dxa"/>
            <w:tcBorders>
              <w:top w:val="single" w:sz="4" w:space="0" w:color="auto"/>
              <w:left w:val="nil"/>
              <w:bottom w:val="single" w:sz="4" w:space="0" w:color="auto"/>
              <w:right w:val="single" w:sz="4" w:space="0" w:color="auto"/>
            </w:tcBorders>
            <w:shd w:val="clear" w:color="auto" w:fill="C6EFCE"/>
            <w:noWrap/>
          </w:tcPr>
          <w:p w14:paraId="0814FF87"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289B8A8D"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721F1903"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2E0F877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94" w:type="dxa"/>
            <w:tcBorders>
              <w:top w:val="single" w:sz="4" w:space="0" w:color="auto"/>
              <w:left w:val="nil"/>
              <w:bottom w:val="single" w:sz="4" w:space="0" w:color="auto"/>
              <w:right w:val="single" w:sz="4" w:space="0" w:color="auto"/>
            </w:tcBorders>
            <w:shd w:val="clear" w:color="auto" w:fill="C6EFCE"/>
            <w:noWrap/>
          </w:tcPr>
          <w:p w14:paraId="24CCD85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4156" w:type="dxa"/>
            <w:tcBorders>
              <w:top w:val="single" w:sz="4" w:space="0" w:color="auto"/>
              <w:left w:val="nil"/>
              <w:bottom w:val="single" w:sz="4" w:space="0" w:color="auto"/>
              <w:right w:val="single" w:sz="4" w:space="0" w:color="auto"/>
            </w:tcBorders>
            <w:shd w:val="clear" w:color="auto" w:fill="C6EFCE"/>
            <w:noWrap/>
          </w:tcPr>
          <w:p w14:paraId="619461F6"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Rakendatakse järgmisi allprojekte:</w:t>
            </w:r>
          </w:p>
          <w:p w14:paraId="147F0AD6"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68CF7FDE" w14:textId="77777777" w:rsidR="00356CBA" w:rsidRPr="00E02B5D" w:rsidRDefault="00356CBA" w:rsidP="00DE1EE5">
            <w:pPr>
              <w:pStyle w:val="ListParagraph"/>
              <w:numPr>
                <w:ilvl w:val="0"/>
                <w:numId w:val="81"/>
              </w:numPr>
              <w:spacing w:after="0" w:line="240" w:lineRule="auto"/>
              <w:rPr>
                <w:rFonts w:eastAsia="Times New Roman" w:cs="Calibri"/>
                <w:noProof/>
                <w:color w:val="006100"/>
                <w:sz w:val="18"/>
                <w:szCs w:val="18"/>
              </w:rPr>
            </w:pPr>
            <w:r>
              <w:rPr>
                <w:noProof/>
                <w:color w:val="006100"/>
                <w:sz w:val="18"/>
              </w:rPr>
              <w:t>Sekkumisvaldkonnas „Digitaalsete tuumiksüsteemide asendamine, vananenud taristu uuendamine ja teenuste osutamise funktsionaalsuse laiendamine“: IAPRi finantsteenuste peadirektoraadi integreeritud infosüsteem peab olema täielikult toimiv.</w:t>
            </w:r>
          </w:p>
          <w:p w14:paraId="7B695677" w14:textId="77777777" w:rsidR="00356CBA" w:rsidRPr="00E02B5D" w:rsidRDefault="00356CBA" w:rsidP="00DE1EE5">
            <w:pPr>
              <w:pStyle w:val="ListParagraph"/>
              <w:numPr>
                <w:ilvl w:val="0"/>
                <w:numId w:val="81"/>
              </w:numPr>
              <w:spacing w:after="0" w:line="240" w:lineRule="auto"/>
              <w:rPr>
                <w:rFonts w:eastAsia="Times New Roman" w:cs="Calibri"/>
                <w:noProof/>
                <w:color w:val="006100"/>
                <w:sz w:val="18"/>
                <w:szCs w:val="18"/>
              </w:rPr>
            </w:pPr>
            <w:r>
              <w:rPr>
                <w:noProof/>
                <w:color w:val="006100"/>
                <w:sz w:val="18"/>
              </w:rPr>
              <w:t>Sekkumisvaldkonna „Ametite ja tööprotsesside volitamine“ all: IAPRi büroohaldusteenused/seadmete tarnimine peavad olema täielikult toimivad.</w:t>
            </w:r>
          </w:p>
        </w:tc>
      </w:tr>
      <w:tr w:rsidR="00356CBA" w:rsidRPr="003B132A" w14:paraId="4F383C2A"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5B19128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194</w:t>
            </w:r>
          </w:p>
        </w:tc>
        <w:tc>
          <w:tcPr>
            <w:tcW w:w="1817" w:type="dxa"/>
            <w:tcBorders>
              <w:top w:val="single" w:sz="4" w:space="0" w:color="auto"/>
              <w:left w:val="nil"/>
              <w:bottom w:val="single" w:sz="4" w:space="0" w:color="auto"/>
              <w:right w:val="single" w:sz="4" w:space="0" w:color="auto"/>
            </w:tcBorders>
            <w:shd w:val="clear" w:color="auto" w:fill="C6EFCE"/>
            <w:noWrap/>
          </w:tcPr>
          <w:p w14:paraId="6BE9A38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12-4.1. Maksude muutmine majanduskasvu soodustavamaks ning maksuhalduse ja maksude kogumise parandamine </w:t>
            </w:r>
          </w:p>
          <w:p w14:paraId="7D3473D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16611_Maksuauditite digitaalne üleminek</w:t>
            </w:r>
          </w:p>
        </w:tc>
        <w:tc>
          <w:tcPr>
            <w:tcW w:w="969" w:type="dxa"/>
            <w:tcBorders>
              <w:top w:val="single" w:sz="4" w:space="0" w:color="auto"/>
              <w:left w:val="nil"/>
              <w:bottom w:val="single" w:sz="4" w:space="0" w:color="auto"/>
              <w:right w:val="single" w:sz="4" w:space="0" w:color="auto"/>
            </w:tcBorders>
            <w:shd w:val="clear" w:color="auto" w:fill="C6EFCE"/>
            <w:noWrap/>
          </w:tcPr>
          <w:p w14:paraId="604D300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84" w:type="dxa"/>
            <w:tcBorders>
              <w:top w:val="single" w:sz="4" w:space="0" w:color="auto"/>
              <w:left w:val="nil"/>
              <w:bottom w:val="single" w:sz="4" w:space="0" w:color="auto"/>
              <w:right w:val="single" w:sz="4" w:space="0" w:color="auto"/>
            </w:tcBorders>
            <w:shd w:val="clear" w:color="auto" w:fill="C6EFCE"/>
            <w:noWrap/>
          </w:tcPr>
          <w:p w14:paraId="0C37B76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Maksuauditite digitaalse ülemineku lõpuleviimine</w:t>
            </w:r>
          </w:p>
        </w:tc>
        <w:tc>
          <w:tcPr>
            <w:tcW w:w="1824" w:type="dxa"/>
            <w:tcBorders>
              <w:top w:val="single" w:sz="4" w:space="0" w:color="auto"/>
              <w:left w:val="nil"/>
              <w:bottom w:val="single" w:sz="4" w:space="0" w:color="auto"/>
              <w:right w:val="single" w:sz="4" w:space="0" w:color="auto"/>
            </w:tcBorders>
            <w:shd w:val="clear" w:color="auto" w:fill="C6EFCE"/>
            <w:noWrap/>
          </w:tcPr>
          <w:p w14:paraId="508311B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Avaliku sektori tulude sõltumatu asutuse aruanne, mis tõendab äriteabe/andmete analüüsi süsteemi kasutuselevõtmist, ja „ELEGXOSlive“.</w:t>
            </w:r>
          </w:p>
          <w:p w14:paraId="4F4AFDD5" w14:textId="77777777" w:rsidR="00356CBA" w:rsidRPr="00AD4052" w:rsidRDefault="00356CBA">
            <w:pPr>
              <w:spacing w:after="0" w:line="240" w:lineRule="auto"/>
              <w:rPr>
                <w:rFonts w:eastAsia="Times New Roman" w:cs="Calibri"/>
                <w:noProof/>
                <w:color w:val="006100"/>
                <w:sz w:val="18"/>
                <w:szCs w:val="18"/>
                <w:lang w:eastAsia="en-GB"/>
              </w:rPr>
            </w:pPr>
          </w:p>
        </w:tc>
        <w:tc>
          <w:tcPr>
            <w:tcW w:w="977" w:type="dxa"/>
            <w:tcBorders>
              <w:top w:val="single" w:sz="4" w:space="0" w:color="auto"/>
              <w:left w:val="nil"/>
              <w:bottom w:val="single" w:sz="4" w:space="0" w:color="auto"/>
              <w:right w:val="single" w:sz="4" w:space="0" w:color="auto"/>
            </w:tcBorders>
            <w:shd w:val="clear" w:color="auto" w:fill="C6EFCE"/>
            <w:noWrap/>
          </w:tcPr>
          <w:p w14:paraId="0AF8AD3F"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011B0DB3"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05E94E45"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626C500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94" w:type="dxa"/>
            <w:tcBorders>
              <w:top w:val="single" w:sz="4" w:space="0" w:color="auto"/>
              <w:left w:val="nil"/>
              <w:bottom w:val="single" w:sz="4" w:space="0" w:color="auto"/>
              <w:right w:val="single" w:sz="4" w:space="0" w:color="auto"/>
            </w:tcBorders>
            <w:shd w:val="clear" w:color="auto" w:fill="C6EFCE"/>
            <w:noWrap/>
          </w:tcPr>
          <w:p w14:paraId="70482E1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1C1E073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Täielikult toimivad järgmised maksuauditite digipöördega seotud süsteemid: </w:t>
            </w:r>
          </w:p>
          <w:p w14:paraId="4708C757" w14:textId="77777777" w:rsidR="00356CBA" w:rsidRPr="00AD4052" w:rsidRDefault="00356CBA" w:rsidP="00D16F13">
            <w:pPr>
              <w:spacing w:after="0" w:line="240" w:lineRule="auto"/>
              <w:rPr>
                <w:rFonts w:eastAsia="Times New Roman" w:cs="Calibri"/>
                <w:noProof/>
                <w:color w:val="006100"/>
                <w:sz w:val="18"/>
                <w:szCs w:val="18"/>
                <w:lang w:eastAsia="en-GB"/>
              </w:rPr>
            </w:pPr>
          </w:p>
          <w:p w14:paraId="36D42B1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a) äriteabe/andmete analüüsi süsteemi paigaldamine, ühendamine andmeallikatega ja aktiveerimine, sealhulgas i) kahtlaste maksudest kõrvalehoidumise ja salakaubaveoga seotud juhtumite reaalajas avastamine; ii) maksumaksjate profiilianalüüs ja maksumaksjate sarnane profiilianalüüs; iii) riskihindamine ja riskihindamine; ning iv) tulude ja võla prognoosimine; ning </w:t>
            </w:r>
          </w:p>
          <w:p w14:paraId="048542E9" w14:textId="77777777" w:rsidR="00356CBA" w:rsidRPr="00AD4052" w:rsidRDefault="00356CBA" w:rsidP="00D16F13">
            <w:pPr>
              <w:spacing w:after="0" w:line="240" w:lineRule="auto"/>
              <w:rPr>
                <w:rFonts w:eastAsia="Times New Roman" w:cs="Calibri"/>
                <w:noProof/>
                <w:color w:val="006100"/>
                <w:sz w:val="18"/>
                <w:szCs w:val="18"/>
                <w:lang w:eastAsia="en-GB"/>
              </w:rPr>
            </w:pPr>
          </w:p>
          <w:p w14:paraId="0764914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süsteemi Elenxis Live („ELEGXOSlive“) aktiveerimine, mis suurendab kohapealset auditiprotsessi toetamist; </w:t>
            </w:r>
          </w:p>
          <w:p w14:paraId="38271AB4"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r>
      <w:tr w:rsidR="00356CBA" w:rsidRPr="00E02B5D" w14:paraId="5D3C3B56"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3B68E9C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195</w:t>
            </w:r>
          </w:p>
        </w:tc>
        <w:tc>
          <w:tcPr>
            <w:tcW w:w="1817" w:type="dxa"/>
            <w:tcBorders>
              <w:top w:val="single" w:sz="4" w:space="0" w:color="auto"/>
              <w:left w:val="nil"/>
              <w:bottom w:val="single" w:sz="4" w:space="0" w:color="auto"/>
              <w:right w:val="single" w:sz="4" w:space="0" w:color="auto"/>
            </w:tcBorders>
            <w:shd w:val="clear" w:color="auto" w:fill="C6EFCE"/>
            <w:noWrap/>
          </w:tcPr>
          <w:p w14:paraId="42DC6A6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12-4.1. Maksude muutmine majanduskasvu soodustavamaks ning maksuhalduse ja maksude kogumise parandamine </w:t>
            </w:r>
          </w:p>
          <w:p w14:paraId="1CEBC53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16291_Maksu- ja Tolliameti digitaalne ümberkujundamine</w:t>
            </w:r>
          </w:p>
        </w:tc>
        <w:tc>
          <w:tcPr>
            <w:tcW w:w="969" w:type="dxa"/>
            <w:tcBorders>
              <w:top w:val="single" w:sz="4" w:space="0" w:color="auto"/>
              <w:left w:val="nil"/>
              <w:bottom w:val="single" w:sz="4" w:space="0" w:color="auto"/>
              <w:right w:val="single" w:sz="4" w:space="0" w:color="auto"/>
            </w:tcBorders>
            <w:shd w:val="clear" w:color="auto" w:fill="C6EFCE"/>
            <w:noWrap/>
          </w:tcPr>
          <w:p w14:paraId="1BF9C53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84" w:type="dxa"/>
            <w:tcBorders>
              <w:top w:val="single" w:sz="4" w:space="0" w:color="auto"/>
              <w:left w:val="nil"/>
              <w:bottom w:val="single" w:sz="4" w:space="0" w:color="auto"/>
              <w:right w:val="single" w:sz="4" w:space="0" w:color="auto"/>
            </w:tcBorders>
            <w:shd w:val="clear" w:color="auto" w:fill="C6EFCE"/>
            <w:noWrap/>
          </w:tcPr>
          <w:p w14:paraId="580FC0F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Riigitulude sõltumatu asutuse integreeritud maksu- ja auditi IT-keskkonna esimese etapi tulemuste lõpuleviimine osana selle digiüleminekust</w:t>
            </w:r>
          </w:p>
          <w:p w14:paraId="6F69E851" w14:textId="77777777" w:rsidR="00356CBA" w:rsidRPr="00AD4052" w:rsidRDefault="00356CBA">
            <w:pPr>
              <w:spacing w:after="0" w:line="240" w:lineRule="auto"/>
              <w:rPr>
                <w:rFonts w:eastAsia="Times New Roman" w:cs="Calibri"/>
                <w:noProof/>
                <w:color w:val="006100"/>
                <w:sz w:val="18"/>
                <w:szCs w:val="18"/>
                <w:lang w:eastAsia="en-GB"/>
              </w:rPr>
            </w:pPr>
          </w:p>
          <w:p w14:paraId="4D02548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Allprojektide rakendamine </w:t>
            </w:r>
          </w:p>
        </w:tc>
        <w:tc>
          <w:tcPr>
            <w:tcW w:w="1824" w:type="dxa"/>
            <w:tcBorders>
              <w:top w:val="single" w:sz="4" w:space="0" w:color="auto"/>
              <w:left w:val="nil"/>
              <w:bottom w:val="single" w:sz="4" w:space="0" w:color="auto"/>
              <w:right w:val="single" w:sz="4" w:space="0" w:color="auto"/>
            </w:tcBorders>
            <w:shd w:val="clear" w:color="auto" w:fill="C6EFCE"/>
            <w:noWrap/>
          </w:tcPr>
          <w:p w14:paraId="6D72791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Riigitulude sõltumatu asutuse aruanne, milles kinnitatakse integreeritud IT-keskkonna esimese etapi tulemuste lõpuleviimist. </w:t>
            </w:r>
          </w:p>
        </w:tc>
        <w:tc>
          <w:tcPr>
            <w:tcW w:w="977" w:type="dxa"/>
            <w:tcBorders>
              <w:top w:val="single" w:sz="4" w:space="0" w:color="auto"/>
              <w:left w:val="nil"/>
              <w:bottom w:val="single" w:sz="4" w:space="0" w:color="auto"/>
              <w:right w:val="single" w:sz="4" w:space="0" w:color="auto"/>
            </w:tcBorders>
            <w:shd w:val="clear" w:color="auto" w:fill="C6EFCE"/>
            <w:noWrap/>
          </w:tcPr>
          <w:p w14:paraId="5B9B64D4"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73780955"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5F0AE66E"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4037012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94" w:type="dxa"/>
            <w:tcBorders>
              <w:top w:val="single" w:sz="4" w:space="0" w:color="auto"/>
              <w:left w:val="nil"/>
              <w:bottom w:val="single" w:sz="4" w:space="0" w:color="auto"/>
              <w:right w:val="single" w:sz="4" w:space="0" w:color="auto"/>
            </w:tcBorders>
            <w:shd w:val="clear" w:color="auto" w:fill="C6EFCE"/>
            <w:noWrap/>
          </w:tcPr>
          <w:p w14:paraId="1934CE7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19E0E6F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Integreeritud IT-keskkonna (millega asendatakse TAXIS, TAXISnet ja Elenxis) esimese etapi tulemuste lõpuleviimine, et toetada kõiki maksu- ja auditimenetlusi avaliku sektori maksuameti töötajate, kodanike ja ettevõtjate jaoks, aidates kaasa digiüleminekule. Need tulemused hõlmavad kõiki nõutavaid projektiuuringuid, andmebaasi täielikku ümberkujundamist ja rakendamist, andmeliideste pakkumist ja esimese etapi allsüsteemide (sealhulgas maksuregister, raamatupidamine) kasutuselevõttu. Projektiga suurendatakse riigitulude sõltumatu asutuse suutlikkust täita oma kohustusi täiesti sõltumatu asutusena (kooskõlas riigitulude sõltumatu asutusega, mis võimaldab seaduse nr 4389/2016 kohaldamist). </w:t>
            </w:r>
          </w:p>
          <w:p w14:paraId="6409A616" w14:textId="77777777" w:rsidR="00356CBA" w:rsidRPr="00AD4052" w:rsidRDefault="00356CBA">
            <w:pPr>
              <w:spacing w:after="0" w:line="240" w:lineRule="auto"/>
              <w:rPr>
                <w:rFonts w:eastAsia="Times New Roman" w:cs="Calibri"/>
                <w:noProof/>
                <w:color w:val="006100"/>
                <w:sz w:val="18"/>
                <w:szCs w:val="18"/>
                <w:lang w:eastAsia="en-GB"/>
              </w:rPr>
            </w:pPr>
          </w:p>
          <w:p w14:paraId="61358CB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Rakendatakse järgmisi allprojekte:</w:t>
            </w:r>
          </w:p>
          <w:p w14:paraId="5E63D91D" w14:textId="77777777" w:rsidR="00356CBA" w:rsidRPr="00AD4052" w:rsidRDefault="00356CBA">
            <w:pPr>
              <w:spacing w:after="0" w:line="240" w:lineRule="auto"/>
              <w:rPr>
                <w:rFonts w:eastAsia="Times New Roman" w:cs="Calibri"/>
                <w:noProof/>
                <w:color w:val="006100"/>
                <w:sz w:val="18"/>
                <w:szCs w:val="18"/>
                <w:lang w:eastAsia="en-GB"/>
              </w:rPr>
            </w:pPr>
          </w:p>
          <w:p w14:paraId="378D13D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 Sekkumisvaldkonnas „Digitaalsete tuumiksüsteemide asendamine, vananenud taristu uuendamine ja teenuste osutamise funktsionaalsuse laiendamine“:</w:t>
            </w:r>
          </w:p>
          <w:p w14:paraId="3A3DEA1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Uue integreeritud tolliasutuste infosüsteemi (ICISnet) väljatöötamine peab olema täielikult toimiv; </w:t>
            </w:r>
          </w:p>
          <w:p w14:paraId="7449E11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Kreeka riikliku keemialabori uue integreeritud teabesüsteemi väljatöötamine peab täielikult toimima;</w:t>
            </w:r>
          </w:p>
          <w:p w14:paraId="514D6222"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IAPRi personalijuhtimise süsteem peab olema täielikult toimiv; ning</w:t>
            </w:r>
          </w:p>
          <w:p w14:paraId="20BA9B7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IAPRi infosüsteemide ajakohastamine ja hooldus peab olema täielikult toimiv;</w:t>
            </w:r>
          </w:p>
          <w:p w14:paraId="31EB6B17" w14:textId="77777777" w:rsidR="00356CBA" w:rsidRPr="00AD4052" w:rsidRDefault="00356CBA" w:rsidP="00D16F13">
            <w:pPr>
              <w:spacing w:after="0" w:line="240" w:lineRule="auto"/>
              <w:rPr>
                <w:rFonts w:eastAsia="Times New Roman" w:cs="Calibri"/>
                <w:noProof/>
                <w:color w:val="006100"/>
                <w:sz w:val="18"/>
                <w:szCs w:val="18"/>
                <w:lang w:eastAsia="en-GB"/>
              </w:rPr>
            </w:pPr>
          </w:p>
          <w:p w14:paraId="2F782E0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Rubriigi „Automation of office and work processes“ all:</w:t>
            </w:r>
          </w:p>
          <w:p w14:paraId="308B29E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IAPRi büroohaldusteenused ja tarkvara peavad olema täielikult töökorras;</w:t>
            </w:r>
          </w:p>
          <w:p w14:paraId="65D418F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IAPRi büroohaldusteenused ja tarkvara – arhiivi digitaliseerimine peab olema täielikult toimiv;</w:t>
            </w:r>
          </w:p>
          <w:p w14:paraId="14CF0B4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IT-teenuste haldamise vahendid peavad olema täielikult töökorras; ning</w:t>
            </w:r>
          </w:p>
          <w:p w14:paraId="65F0A88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Riigivarahalduse teenuste ajakohastamine – konfiskeeritud sõidukid peavad olema täielikult töökorras.</w:t>
            </w:r>
          </w:p>
          <w:p w14:paraId="5C7E98BD" w14:textId="77777777" w:rsidR="00356CBA" w:rsidRPr="00AD4052" w:rsidRDefault="00356CBA" w:rsidP="00D16F13">
            <w:pPr>
              <w:spacing w:after="0" w:line="240" w:lineRule="auto"/>
              <w:rPr>
                <w:rFonts w:eastAsia="Times New Roman" w:cs="Calibri"/>
                <w:noProof/>
                <w:color w:val="006100"/>
                <w:sz w:val="18"/>
                <w:szCs w:val="18"/>
                <w:lang w:eastAsia="en-GB"/>
              </w:rPr>
            </w:pPr>
          </w:p>
          <w:p w14:paraId="7FB665F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 Sekkumisvaldkonnas „Maksumaksjate teenuste ajakohastamine“ – maksumaksjate teeninduskeskuse laiendamine; ning</w:t>
            </w:r>
          </w:p>
          <w:p w14:paraId="1373D19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Andmeturve.</w:t>
            </w:r>
          </w:p>
        </w:tc>
      </w:tr>
      <w:tr w:rsidR="007B4D63" w:rsidRPr="003B132A" w14:paraId="2A152007" w14:textId="77777777" w:rsidTr="00C23759">
        <w:trPr>
          <w:trHeight w:val="73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6ABD35E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196</w:t>
            </w:r>
          </w:p>
        </w:tc>
        <w:tc>
          <w:tcPr>
            <w:tcW w:w="1817" w:type="dxa"/>
            <w:tcBorders>
              <w:top w:val="single" w:sz="4" w:space="0" w:color="auto"/>
              <w:left w:val="nil"/>
              <w:bottom w:val="single" w:sz="4" w:space="0" w:color="auto"/>
              <w:right w:val="single" w:sz="4" w:space="0" w:color="auto"/>
            </w:tcBorders>
            <w:shd w:val="clear" w:color="auto" w:fill="C6EFCE"/>
            <w:noWrap/>
          </w:tcPr>
          <w:p w14:paraId="77C9825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12-4.1. Maksude muutmine majanduskasvu soodustavamaks ning maksuhalduse ja maksude kogumise parandamine </w:t>
            </w:r>
          </w:p>
          <w:p w14:paraId="089ADA0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16291_Maksu- ja Tolliameti digitaalne ümberkujundamine</w:t>
            </w:r>
          </w:p>
        </w:tc>
        <w:tc>
          <w:tcPr>
            <w:tcW w:w="969" w:type="dxa"/>
            <w:tcBorders>
              <w:top w:val="single" w:sz="4" w:space="0" w:color="auto"/>
              <w:left w:val="nil"/>
              <w:bottom w:val="single" w:sz="4" w:space="0" w:color="auto"/>
              <w:right w:val="single" w:sz="4" w:space="0" w:color="auto"/>
            </w:tcBorders>
            <w:shd w:val="clear" w:color="auto" w:fill="C6EFCE"/>
            <w:noWrap/>
          </w:tcPr>
          <w:p w14:paraId="37AB8A9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84" w:type="dxa"/>
            <w:tcBorders>
              <w:top w:val="single" w:sz="4" w:space="0" w:color="auto"/>
              <w:left w:val="nil"/>
              <w:bottom w:val="single" w:sz="4" w:space="0" w:color="auto"/>
              <w:right w:val="single" w:sz="4" w:space="0" w:color="auto"/>
            </w:tcBorders>
            <w:shd w:val="clear" w:color="auto" w:fill="C6EFCE"/>
            <w:noWrap/>
          </w:tcPr>
          <w:p w14:paraId="4AEFF42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Tarbesõidukite ja konteinerite järelevalvesüsteemi käivitamine</w:t>
            </w:r>
          </w:p>
          <w:p w14:paraId="72776D30" w14:textId="77777777" w:rsidR="00356CBA" w:rsidRPr="00AD4052" w:rsidRDefault="00356CBA">
            <w:pPr>
              <w:spacing w:after="0" w:line="240" w:lineRule="auto"/>
              <w:rPr>
                <w:rFonts w:eastAsia="Times New Roman" w:cs="Calibri"/>
                <w:noProof/>
                <w:color w:val="006100"/>
                <w:sz w:val="18"/>
                <w:szCs w:val="18"/>
                <w:lang w:eastAsia="en-GB"/>
              </w:rPr>
            </w:pPr>
          </w:p>
          <w:p w14:paraId="6AA4BA8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Allprojekti rakendamine</w:t>
            </w:r>
          </w:p>
        </w:tc>
        <w:tc>
          <w:tcPr>
            <w:tcW w:w="1824" w:type="dxa"/>
            <w:tcBorders>
              <w:top w:val="single" w:sz="4" w:space="0" w:color="auto"/>
              <w:left w:val="nil"/>
              <w:bottom w:val="single" w:sz="4" w:space="0" w:color="auto"/>
              <w:right w:val="single" w:sz="4" w:space="0" w:color="auto"/>
            </w:tcBorders>
            <w:shd w:val="clear" w:color="auto" w:fill="C6EFCE"/>
            <w:noWrap/>
          </w:tcPr>
          <w:p w14:paraId="4C94C30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Riigitulude sõltumatu asutuse aruanne, milles kinnitatakse </w:t>
            </w:r>
          </w:p>
          <w:p w14:paraId="020BCD2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tarbesõidukite ja konteinerite järelevalvesüsteemi käivitamine.</w:t>
            </w:r>
          </w:p>
        </w:tc>
        <w:tc>
          <w:tcPr>
            <w:tcW w:w="977" w:type="dxa"/>
            <w:tcBorders>
              <w:top w:val="single" w:sz="4" w:space="0" w:color="auto"/>
              <w:left w:val="nil"/>
              <w:bottom w:val="single" w:sz="4" w:space="0" w:color="auto"/>
              <w:right w:val="single" w:sz="4" w:space="0" w:color="auto"/>
            </w:tcBorders>
            <w:shd w:val="clear" w:color="auto" w:fill="C6EFCE"/>
            <w:noWrap/>
          </w:tcPr>
          <w:p w14:paraId="19C9F536"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73D0DA41"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2E51E4F4"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16C9298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94" w:type="dxa"/>
            <w:tcBorders>
              <w:top w:val="single" w:sz="4" w:space="0" w:color="auto"/>
              <w:left w:val="nil"/>
              <w:bottom w:val="single" w:sz="4" w:space="0" w:color="auto"/>
              <w:right w:val="single" w:sz="4" w:space="0" w:color="auto"/>
            </w:tcBorders>
            <w:shd w:val="clear" w:color="auto" w:fill="C6EFCE"/>
            <w:noWrap/>
          </w:tcPr>
          <w:p w14:paraId="3E49EA9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34B8991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Internetipõhisel telefonivõrgul (5G tehnoloogia) põhinevate tarbesõidukite ja konteinerite järelevalvesüsteemi rakendamise lõpuleviimine, et teostada digitaalset üleminekut toetavaid jälgimistoiminguid eesmärgiga tugevdada sõltumatu riigitulude ameti suutlikkust täita oma kohustusi täiesti sõltumatu asutusena (kooskõlas seaduse nr 4389/2016 rakendamist võimaldava sõltumatu riigitulude ametiga) kommertsveokite ja konteinerite järelevalvesüsteemi kasutuselevõtmise kaudu. </w:t>
            </w:r>
          </w:p>
          <w:p w14:paraId="28D4D33B" w14:textId="77777777" w:rsidR="00356CBA" w:rsidRPr="00AD4052" w:rsidRDefault="00356CBA">
            <w:pPr>
              <w:spacing w:after="0" w:line="240" w:lineRule="auto"/>
              <w:rPr>
                <w:rFonts w:eastAsia="Times New Roman" w:cs="Calibri"/>
                <w:noProof/>
                <w:color w:val="006100"/>
                <w:sz w:val="18"/>
                <w:szCs w:val="18"/>
                <w:lang w:eastAsia="en-GB"/>
              </w:rPr>
            </w:pPr>
          </w:p>
          <w:p w14:paraId="07B83ECD"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Sekkumisvaldkonna „auditid ja kontrollid“ raames viiakse ellu järgmine allprojekt:</w:t>
            </w:r>
          </w:p>
          <w:p w14:paraId="424DF313" w14:textId="77777777" w:rsidR="00356CBA" w:rsidRPr="00AD4052" w:rsidRDefault="00356CBA" w:rsidP="00D16F13">
            <w:pPr>
              <w:spacing w:after="0" w:line="240" w:lineRule="auto"/>
              <w:rPr>
                <w:rFonts w:eastAsia="Times New Roman" w:cs="Calibri"/>
                <w:noProof/>
                <w:color w:val="006100"/>
                <w:sz w:val="18"/>
                <w:szCs w:val="18"/>
                <w:lang w:eastAsia="en-GB"/>
              </w:rPr>
            </w:pPr>
          </w:p>
          <w:p w14:paraId="4372E70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Ettevõtte riskijuhtimise süsteem ja talitluspidevuse kava IAPRi jaoks peavad olema täielikult toimivad.</w:t>
            </w:r>
          </w:p>
        </w:tc>
      </w:tr>
    </w:tbl>
    <w:p w14:paraId="152E5572" w14:textId="77777777" w:rsidR="00356CBA" w:rsidRPr="00AD4052" w:rsidRDefault="00356CBA" w:rsidP="00645BC7">
      <w:pPr>
        <w:spacing w:before="120" w:after="120" w:line="240" w:lineRule="auto"/>
        <w:ind w:left="709"/>
        <w:jc w:val="both"/>
        <w:rPr>
          <w:rFonts w:ascii="Times New Roman" w:hAnsi="Times New Roman" w:cs="Times New Roman"/>
          <w:noProof/>
          <w:sz w:val="24"/>
          <w:szCs w:val="24"/>
        </w:rPr>
        <w:sectPr w:rsidR="00356CBA" w:rsidRPr="00AD4052" w:rsidSect="00271D33">
          <w:headerReference w:type="even" r:id="rId260"/>
          <w:headerReference w:type="default" r:id="rId261"/>
          <w:footerReference w:type="even" r:id="rId262"/>
          <w:footerReference w:type="default" r:id="rId263"/>
          <w:headerReference w:type="first" r:id="rId264"/>
          <w:footerReference w:type="first" r:id="rId265"/>
          <w:pgSz w:w="16839" w:h="11907" w:orient="landscape"/>
          <w:pgMar w:top="720" w:right="720" w:bottom="720" w:left="720" w:header="709" w:footer="75" w:gutter="0"/>
          <w:cols w:space="720"/>
          <w:docGrid w:linePitch="360"/>
        </w:sectPr>
      </w:pPr>
    </w:p>
    <w:p w14:paraId="2D90A432"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18: Maksupoliitika</w:t>
      </w:r>
    </w:p>
    <w:p w14:paraId="20F7EB55" w14:textId="77777777" w:rsidR="00356CBA" w:rsidRPr="00E02B5D" w:rsidRDefault="00356CBA" w:rsidP="00DE1EE5">
      <w:pPr>
        <w:numPr>
          <w:ilvl w:val="0"/>
          <w:numId w:val="36"/>
        </w:numPr>
        <w:spacing w:before="120" w:after="0" w:line="240" w:lineRule="auto"/>
        <w:jc w:val="both"/>
        <w:rPr>
          <w:rFonts w:ascii="Times New Roman" w:hAnsi="Times New Roman" w:cs="Times New Roman"/>
          <w:noProof/>
        </w:rPr>
      </w:pPr>
      <w:r>
        <w:rPr>
          <w:rFonts w:ascii="Times New Roman" w:hAnsi="Times New Roman"/>
          <w:noProof/>
          <w:sz w:val="24"/>
        </w:rPr>
        <w:t>Maksualaste õigusaktide, eeskirjade ja menetluste kodifitseerimine ja lihtsustamine (ID: 16643)</w:t>
      </w:r>
    </w:p>
    <w:p w14:paraId="620BD533" w14:textId="77777777" w:rsidR="00356CBA" w:rsidRPr="00E02B5D" w:rsidRDefault="00356CBA" w:rsidP="00DE1EE5">
      <w:pPr>
        <w:numPr>
          <w:ilvl w:val="0"/>
          <w:numId w:val="36"/>
        </w:numPr>
        <w:spacing w:before="120" w:after="0" w:line="240" w:lineRule="auto"/>
        <w:jc w:val="both"/>
        <w:rPr>
          <w:rFonts w:ascii="Times New Roman" w:hAnsi="Times New Roman" w:cs="Times New Roman"/>
          <w:noProof/>
          <w:sz w:val="24"/>
        </w:rPr>
      </w:pPr>
      <w:r>
        <w:rPr>
          <w:rFonts w:ascii="Times New Roman" w:hAnsi="Times New Roman"/>
          <w:noProof/>
          <w:sz w:val="24"/>
        </w:rPr>
        <w:t>Meetmete ja stiimulite vastuvõtmine e-tehingute suurendamiseks (ID: 16973)</w:t>
      </w:r>
    </w:p>
    <w:p w14:paraId="7AFEDDA4" w14:textId="77777777" w:rsidR="00356CBA" w:rsidRPr="00E02B5D" w:rsidRDefault="00356CBA" w:rsidP="00DE1EE5">
      <w:pPr>
        <w:numPr>
          <w:ilvl w:val="0"/>
          <w:numId w:val="36"/>
        </w:numPr>
        <w:spacing w:before="120" w:after="0" w:line="240" w:lineRule="auto"/>
        <w:jc w:val="both"/>
        <w:rPr>
          <w:rFonts w:ascii="Times New Roman" w:hAnsi="Times New Roman" w:cs="Times New Roman"/>
          <w:noProof/>
          <w:sz w:val="24"/>
        </w:rPr>
      </w:pPr>
      <w:r>
        <w:rPr>
          <w:rFonts w:ascii="Times New Roman" w:hAnsi="Times New Roman"/>
          <w:noProof/>
          <w:sz w:val="24"/>
        </w:rPr>
        <w:t>VKEde kulude suuremahuline mahaarvamine keskkonnahoidliku majanduse, energia ja digiülemineku valdkonnas (ID: 16863)</w:t>
      </w:r>
    </w:p>
    <w:p w14:paraId="1E89CDCC" w14:textId="77777777" w:rsidR="00356CBA" w:rsidRPr="00E02B5D" w:rsidRDefault="00356CBA" w:rsidP="00DE1EE5">
      <w:pPr>
        <w:numPr>
          <w:ilvl w:val="0"/>
          <w:numId w:val="36"/>
        </w:numPr>
        <w:spacing w:before="120" w:after="120" w:line="240" w:lineRule="auto"/>
        <w:jc w:val="both"/>
        <w:rPr>
          <w:rFonts w:ascii="Times New Roman" w:hAnsi="Times New Roman" w:cs="Times New Roman"/>
          <w:noProof/>
          <w:sz w:val="24"/>
        </w:rPr>
      </w:pPr>
      <w:r>
        <w:rPr>
          <w:rFonts w:ascii="Times New Roman" w:hAnsi="Times New Roman"/>
          <w:noProof/>
          <w:sz w:val="24"/>
        </w:rPr>
        <w:t>Tootlikkuse stimuleerimise kord ja ettevõtete ekstroversioon (ettevõtete suuruse suurendamine) (ID: 16598)</w:t>
      </w:r>
    </w:p>
    <w:p w14:paraId="27A8D045" w14:textId="29AF9315" w:rsidR="00D04E16" w:rsidRPr="00D04E16" w:rsidRDefault="00356CBA" w:rsidP="00DE1EE5">
      <w:pPr>
        <w:numPr>
          <w:ilvl w:val="0"/>
          <w:numId w:val="36"/>
        </w:numPr>
        <w:spacing w:before="120" w:after="120" w:line="240" w:lineRule="auto"/>
        <w:jc w:val="both"/>
        <w:rPr>
          <w:rFonts w:ascii="Times New Roman" w:hAnsi="Times New Roman" w:cs="Times New Roman"/>
          <w:noProof/>
          <w:sz w:val="24"/>
        </w:rPr>
      </w:pPr>
      <w:r>
        <w:rPr>
          <w:rFonts w:ascii="Times New Roman" w:hAnsi="Times New Roman"/>
          <w:noProof/>
          <w:sz w:val="24"/>
        </w:rPr>
        <w:t>Kreeka maksupoliitika raamistiku muudatused (meetme ID: 16985</w:t>
      </w:r>
    </w:p>
    <w:tbl>
      <w:tblPr>
        <w:tblW w:w="16013" w:type="dxa"/>
        <w:jc w:val="center"/>
        <w:tblLook w:val="04A0" w:firstRow="1" w:lastRow="0" w:firstColumn="1" w:lastColumn="0" w:noHBand="0" w:noVBand="1"/>
      </w:tblPr>
      <w:tblGrid>
        <w:gridCol w:w="1116"/>
        <w:gridCol w:w="1835"/>
        <w:gridCol w:w="966"/>
        <w:gridCol w:w="1894"/>
        <w:gridCol w:w="2439"/>
        <w:gridCol w:w="977"/>
        <w:gridCol w:w="966"/>
        <w:gridCol w:w="906"/>
        <w:gridCol w:w="993"/>
        <w:gridCol w:w="708"/>
        <w:gridCol w:w="3213"/>
      </w:tblGrid>
      <w:tr w:rsidR="007B4D63" w:rsidRPr="003B132A" w14:paraId="5427E5CF" w14:textId="77777777" w:rsidTr="00C23759">
        <w:trPr>
          <w:trHeight w:val="773"/>
          <w:tblHeade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DA8CD8" w14:textId="362A0D8D"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C23759">
              <w:rPr>
                <w:rFonts w:ascii="Times New Roman" w:hAnsi="Times New Roman"/>
                <w:b/>
                <w:noProof/>
                <w:sz w:val="18"/>
              </w:rPr>
              <w:t>-</w:t>
            </w:r>
            <w:r>
              <w:rPr>
                <w:rFonts w:ascii="Times New Roman" w:hAnsi="Times New Roman"/>
                <w:b/>
                <w:noProof/>
                <w:sz w:val="18"/>
              </w:rPr>
              <w:t>number</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5A1463"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CCCC3E"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C43BC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243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36A959"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Kvalitatiivsed näitajad </w:t>
            </w:r>
            <w:r>
              <w:rPr>
                <w:rFonts w:ascii="Times New Roman" w:hAnsi="Times New Roman"/>
                <w:noProof/>
              </w:rPr>
              <w:t xml:space="preserve"> </w:t>
            </w:r>
            <w:r>
              <w:rPr>
                <w:rFonts w:ascii="Times New Roman" w:hAnsi="Times New Roman"/>
                <w:b/>
                <w:noProof/>
                <w:sz w:val="18"/>
              </w:rPr>
              <w:t>(eesmärkide puhul)</w:t>
            </w:r>
          </w:p>
        </w:tc>
        <w:tc>
          <w:tcPr>
            <w:tcW w:w="284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10B8390"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Kvantitatiivsed näitajad </w:t>
            </w:r>
            <w:r>
              <w:rPr>
                <w:rFonts w:ascii="Times New Roman" w:hAnsi="Times New Roman"/>
                <w:noProof/>
              </w:rPr>
              <w:t xml:space="preserve"> </w:t>
            </w:r>
            <w:r>
              <w:rPr>
                <w:rFonts w:ascii="Times New Roman" w:hAnsi="Times New Roman"/>
                <w:b/>
                <w:noProof/>
                <w:sz w:val="18"/>
              </w:rPr>
              <w:t>(sihtide puhul)</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21C3090D"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2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3EF41D"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6E0EA2" w:rsidRPr="00E02B5D" w14:paraId="38722A83" w14:textId="77777777" w:rsidTr="00C23759">
        <w:trPr>
          <w:trHeight w:val="532"/>
          <w:tblHeader/>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19A817E9"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60A9F3B9"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72F7F53E"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14:paraId="2D884116"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14:paraId="5F35C2AE"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7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7A7750"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13FF354"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D66D15B"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99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7A6301"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E34FA1F"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213" w:type="dxa"/>
            <w:vMerge/>
            <w:tcBorders>
              <w:top w:val="single" w:sz="4" w:space="0" w:color="auto"/>
              <w:left w:val="single" w:sz="4" w:space="0" w:color="auto"/>
              <w:bottom w:val="single" w:sz="4" w:space="0" w:color="auto"/>
              <w:right w:val="single" w:sz="4" w:space="0" w:color="auto"/>
            </w:tcBorders>
            <w:vAlign w:val="center"/>
            <w:hideMark/>
          </w:tcPr>
          <w:p w14:paraId="016C7286"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1F86B6AB"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0ED5C766"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197</w:t>
            </w:r>
          </w:p>
          <w:p w14:paraId="3A4F50E6"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835" w:type="dxa"/>
            <w:tcBorders>
              <w:top w:val="single" w:sz="4" w:space="0" w:color="auto"/>
              <w:left w:val="nil"/>
              <w:bottom w:val="single" w:sz="4" w:space="0" w:color="auto"/>
              <w:right w:val="single" w:sz="4" w:space="0" w:color="auto"/>
            </w:tcBorders>
            <w:shd w:val="clear" w:color="auto" w:fill="C6EFCE"/>
            <w:noWrap/>
          </w:tcPr>
          <w:p w14:paraId="0FDF4DE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16863_Super – rohelise majanduse, energeetika ja digiüleminekuga seotud kulude mahaarvamine</w:t>
            </w:r>
          </w:p>
        </w:tc>
        <w:tc>
          <w:tcPr>
            <w:tcW w:w="966" w:type="dxa"/>
            <w:tcBorders>
              <w:top w:val="single" w:sz="4" w:space="0" w:color="auto"/>
              <w:left w:val="nil"/>
              <w:bottom w:val="single" w:sz="4" w:space="0" w:color="auto"/>
              <w:right w:val="single" w:sz="4" w:space="0" w:color="auto"/>
            </w:tcBorders>
            <w:shd w:val="clear" w:color="auto" w:fill="C6EFCE"/>
            <w:noWrap/>
          </w:tcPr>
          <w:p w14:paraId="04BCD2F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single" w:sz="4" w:space="0" w:color="auto"/>
              <w:left w:val="nil"/>
              <w:bottom w:val="single" w:sz="4" w:space="0" w:color="auto"/>
              <w:right w:val="single" w:sz="4" w:space="0" w:color="auto"/>
            </w:tcBorders>
            <w:shd w:val="clear" w:color="auto" w:fill="C6EFCE"/>
            <w:noWrap/>
          </w:tcPr>
          <w:p w14:paraId="5AF70A9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Suuremahuline mahaarvamine VKEde rohe- ja digiinvesteeringute puhul</w:t>
            </w:r>
          </w:p>
        </w:tc>
        <w:tc>
          <w:tcPr>
            <w:tcW w:w="2439" w:type="dxa"/>
            <w:tcBorders>
              <w:top w:val="single" w:sz="4" w:space="0" w:color="auto"/>
              <w:left w:val="nil"/>
              <w:bottom w:val="single" w:sz="4" w:space="0" w:color="auto"/>
              <w:right w:val="single" w:sz="4" w:space="0" w:color="auto"/>
            </w:tcBorders>
            <w:shd w:val="clear" w:color="auto" w:fill="C6EFCE"/>
            <w:noWrap/>
          </w:tcPr>
          <w:p w14:paraId="525E95D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Esmaste ja teiseste õigusaktide jõustumine VKEde roheliste ja digitaalsete investeeringute suuremahulise mahaarvamise kohta</w:t>
            </w:r>
          </w:p>
        </w:tc>
        <w:tc>
          <w:tcPr>
            <w:tcW w:w="977" w:type="dxa"/>
            <w:tcBorders>
              <w:top w:val="single" w:sz="4" w:space="0" w:color="auto"/>
              <w:left w:val="nil"/>
              <w:bottom w:val="single" w:sz="4" w:space="0" w:color="auto"/>
              <w:right w:val="single" w:sz="4" w:space="0" w:color="auto"/>
            </w:tcBorders>
            <w:shd w:val="clear" w:color="auto" w:fill="C6EFCE"/>
            <w:noWrap/>
          </w:tcPr>
          <w:p w14:paraId="11A7B938"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6A7957D5"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4C2B72F3" w14:textId="77777777" w:rsidR="00356CBA" w:rsidRPr="00AD4052" w:rsidRDefault="00356CBA">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14:paraId="39E5B5A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708" w:type="dxa"/>
            <w:tcBorders>
              <w:top w:val="single" w:sz="4" w:space="0" w:color="auto"/>
              <w:left w:val="nil"/>
              <w:bottom w:val="single" w:sz="4" w:space="0" w:color="auto"/>
              <w:right w:val="single" w:sz="4" w:space="0" w:color="auto"/>
            </w:tcBorders>
            <w:shd w:val="clear" w:color="auto" w:fill="C6EFCE"/>
            <w:noWrap/>
          </w:tcPr>
          <w:p w14:paraId="3C77D98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2021</w:t>
            </w:r>
          </w:p>
        </w:tc>
        <w:tc>
          <w:tcPr>
            <w:tcW w:w="3213" w:type="dxa"/>
            <w:tcBorders>
              <w:top w:val="single" w:sz="4" w:space="0" w:color="auto"/>
              <w:left w:val="nil"/>
              <w:bottom w:val="single" w:sz="4" w:space="0" w:color="auto"/>
              <w:right w:val="single" w:sz="4" w:space="0" w:color="auto"/>
            </w:tcBorders>
            <w:shd w:val="clear" w:color="auto" w:fill="C6EFCE"/>
            <w:noWrap/>
          </w:tcPr>
          <w:p w14:paraId="5CE02F6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Esmaste õigusaktide ja teiseste õigusaktide jõustumine, et võtta maksustamise eesmärgil kasutusele suuremahulise mahaarvamise nõue seoses VKEde abikõlblike kulutustega keskkonnahoidlikku majandusse ja digiteerimisse tehtavate investeeringute jaoks </w:t>
            </w:r>
          </w:p>
        </w:tc>
      </w:tr>
      <w:tr w:rsidR="007B4D63" w:rsidRPr="003B132A" w14:paraId="6A6E5D5C"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0E1A7F7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198</w:t>
            </w:r>
          </w:p>
        </w:tc>
        <w:tc>
          <w:tcPr>
            <w:tcW w:w="1835" w:type="dxa"/>
            <w:tcBorders>
              <w:top w:val="nil"/>
              <w:left w:val="nil"/>
              <w:bottom w:val="single" w:sz="4" w:space="0" w:color="auto"/>
              <w:right w:val="single" w:sz="4" w:space="0" w:color="auto"/>
            </w:tcBorders>
            <w:shd w:val="clear" w:color="auto" w:fill="C6EFCE"/>
            <w:noWrap/>
          </w:tcPr>
          <w:p w14:paraId="2998945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16616_Elektrooniliste tehingute suurendamise meetmete ja stiimulite vastuvõtmine</w:t>
            </w:r>
          </w:p>
        </w:tc>
        <w:tc>
          <w:tcPr>
            <w:tcW w:w="966" w:type="dxa"/>
            <w:tcBorders>
              <w:top w:val="nil"/>
              <w:left w:val="nil"/>
              <w:bottom w:val="single" w:sz="4" w:space="0" w:color="auto"/>
              <w:right w:val="single" w:sz="4" w:space="0" w:color="auto"/>
            </w:tcBorders>
            <w:shd w:val="clear" w:color="auto" w:fill="C6EFCE"/>
            <w:noWrap/>
          </w:tcPr>
          <w:p w14:paraId="5D7F38C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nil"/>
              <w:left w:val="nil"/>
              <w:bottom w:val="single" w:sz="4" w:space="0" w:color="auto"/>
              <w:right w:val="single" w:sz="4" w:space="0" w:color="auto"/>
            </w:tcBorders>
            <w:shd w:val="clear" w:color="auto" w:fill="C6EFCE"/>
            <w:noWrap/>
          </w:tcPr>
          <w:p w14:paraId="74B1F11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Õigusaktid e-tehingute soodustamiseks</w:t>
            </w:r>
          </w:p>
        </w:tc>
        <w:tc>
          <w:tcPr>
            <w:tcW w:w="2439" w:type="dxa"/>
            <w:tcBorders>
              <w:top w:val="nil"/>
              <w:left w:val="nil"/>
              <w:bottom w:val="single" w:sz="4" w:space="0" w:color="auto"/>
              <w:right w:val="single" w:sz="4" w:space="0" w:color="auto"/>
            </w:tcBorders>
            <w:shd w:val="clear" w:color="auto" w:fill="C6EFCE"/>
            <w:noWrap/>
          </w:tcPr>
          <w:p w14:paraId="697B3ED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Esma- ja teiseste õigusaktide jõustumine, millega nähakse ette stiimulid elektrooniliste tehingute edendamiseks </w:t>
            </w:r>
          </w:p>
        </w:tc>
        <w:tc>
          <w:tcPr>
            <w:tcW w:w="977" w:type="dxa"/>
            <w:tcBorders>
              <w:top w:val="nil"/>
              <w:left w:val="nil"/>
              <w:bottom w:val="single" w:sz="4" w:space="0" w:color="auto"/>
              <w:right w:val="single" w:sz="4" w:space="0" w:color="auto"/>
            </w:tcBorders>
            <w:shd w:val="clear" w:color="auto" w:fill="C6EFCE"/>
            <w:noWrap/>
          </w:tcPr>
          <w:p w14:paraId="3827D557"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6B304CC2"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36FDACBB" w14:textId="77777777" w:rsidR="00356CBA" w:rsidRPr="00AD4052" w:rsidRDefault="00356CBA">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14:paraId="3CD85E5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708" w:type="dxa"/>
            <w:tcBorders>
              <w:top w:val="nil"/>
              <w:left w:val="nil"/>
              <w:bottom w:val="single" w:sz="4" w:space="0" w:color="auto"/>
              <w:right w:val="single" w:sz="4" w:space="0" w:color="auto"/>
            </w:tcBorders>
            <w:shd w:val="clear" w:color="auto" w:fill="C6EFCE"/>
            <w:noWrap/>
          </w:tcPr>
          <w:p w14:paraId="53A7483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2021</w:t>
            </w:r>
          </w:p>
        </w:tc>
        <w:tc>
          <w:tcPr>
            <w:tcW w:w="3213" w:type="dxa"/>
            <w:tcBorders>
              <w:top w:val="nil"/>
              <w:left w:val="nil"/>
              <w:bottom w:val="single" w:sz="4" w:space="0" w:color="auto"/>
              <w:right w:val="single" w:sz="4" w:space="0" w:color="auto"/>
            </w:tcBorders>
            <w:shd w:val="clear" w:color="auto" w:fill="C6EFCE"/>
            <w:noWrap/>
          </w:tcPr>
          <w:p w14:paraId="5389D99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Esmase ja teisese õigusraamistiku muudatuse jõustumine, millega nähakse ette konkreetsed stiimulid elektrooniliste tehingute edendamiseks </w:t>
            </w:r>
          </w:p>
        </w:tc>
      </w:tr>
      <w:tr w:rsidR="007B4D63" w:rsidRPr="003B132A" w14:paraId="14ED6130"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27007FE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199</w:t>
            </w:r>
          </w:p>
        </w:tc>
        <w:tc>
          <w:tcPr>
            <w:tcW w:w="1835" w:type="dxa"/>
            <w:tcBorders>
              <w:top w:val="nil"/>
              <w:left w:val="nil"/>
              <w:bottom w:val="single" w:sz="4" w:space="0" w:color="auto"/>
              <w:right w:val="single" w:sz="4" w:space="0" w:color="auto"/>
            </w:tcBorders>
            <w:shd w:val="clear" w:color="auto" w:fill="C6EFCE"/>
            <w:noWrap/>
          </w:tcPr>
          <w:p w14:paraId="5937362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16643_Kodifikatsioon ja maksualaste õigusaktide lihtsustamine</w:t>
            </w:r>
          </w:p>
        </w:tc>
        <w:tc>
          <w:tcPr>
            <w:tcW w:w="966" w:type="dxa"/>
            <w:tcBorders>
              <w:top w:val="nil"/>
              <w:left w:val="nil"/>
              <w:bottom w:val="single" w:sz="4" w:space="0" w:color="auto"/>
              <w:right w:val="single" w:sz="4" w:space="0" w:color="auto"/>
            </w:tcBorders>
            <w:shd w:val="clear" w:color="auto" w:fill="C6EFCE"/>
            <w:noWrap/>
          </w:tcPr>
          <w:p w14:paraId="362463D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nil"/>
              <w:left w:val="nil"/>
              <w:bottom w:val="single" w:sz="4" w:space="0" w:color="auto"/>
              <w:right w:val="single" w:sz="4" w:space="0" w:color="auto"/>
            </w:tcBorders>
            <w:shd w:val="clear" w:color="auto" w:fill="C6EFCE"/>
            <w:noWrap/>
          </w:tcPr>
          <w:p w14:paraId="2D16C60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Maksude kodifitseerimise ajakava</w:t>
            </w:r>
          </w:p>
        </w:tc>
        <w:tc>
          <w:tcPr>
            <w:tcW w:w="2439" w:type="dxa"/>
            <w:tcBorders>
              <w:top w:val="nil"/>
              <w:left w:val="nil"/>
              <w:bottom w:val="single" w:sz="4" w:space="0" w:color="auto"/>
              <w:right w:val="single" w:sz="4" w:space="0" w:color="auto"/>
            </w:tcBorders>
            <w:shd w:val="clear" w:color="auto" w:fill="C6EFCE"/>
            <w:noWrap/>
          </w:tcPr>
          <w:p w14:paraId="5DB8111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Teiseste õigusaktide avaldamine koos komiteede moodustamise ja maksude kodifitseerimise ajakavaga.</w:t>
            </w:r>
          </w:p>
          <w:p w14:paraId="7973DC84" w14:textId="77777777" w:rsidR="00356CBA" w:rsidRPr="00AD4052" w:rsidRDefault="00356CBA">
            <w:pPr>
              <w:spacing w:after="0" w:line="240" w:lineRule="auto"/>
              <w:rPr>
                <w:rFonts w:eastAsia="Times New Roman" w:cs="Calibri"/>
                <w:noProof/>
                <w:color w:val="006100"/>
                <w:sz w:val="18"/>
                <w:szCs w:val="18"/>
                <w:lang w:eastAsia="en-GB"/>
              </w:rPr>
            </w:pPr>
          </w:p>
        </w:tc>
        <w:tc>
          <w:tcPr>
            <w:tcW w:w="977" w:type="dxa"/>
            <w:tcBorders>
              <w:top w:val="nil"/>
              <w:left w:val="nil"/>
              <w:bottom w:val="single" w:sz="4" w:space="0" w:color="auto"/>
              <w:right w:val="single" w:sz="4" w:space="0" w:color="auto"/>
            </w:tcBorders>
            <w:shd w:val="clear" w:color="auto" w:fill="C6EFCE"/>
            <w:noWrap/>
          </w:tcPr>
          <w:p w14:paraId="6CDFB341"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5CECB5D4"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0008718B" w14:textId="77777777" w:rsidR="00356CBA" w:rsidRPr="00AD4052" w:rsidRDefault="00356CBA">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14:paraId="5EF887B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708" w:type="dxa"/>
            <w:tcBorders>
              <w:top w:val="nil"/>
              <w:left w:val="nil"/>
              <w:bottom w:val="single" w:sz="4" w:space="0" w:color="auto"/>
              <w:right w:val="single" w:sz="4" w:space="0" w:color="auto"/>
            </w:tcBorders>
            <w:shd w:val="clear" w:color="auto" w:fill="C6EFCE"/>
            <w:noWrap/>
          </w:tcPr>
          <w:p w14:paraId="7F7B1D0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2021</w:t>
            </w:r>
          </w:p>
        </w:tc>
        <w:tc>
          <w:tcPr>
            <w:tcW w:w="3213" w:type="dxa"/>
            <w:tcBorders>
              <w:top w:val="nil"/>
              <w:left w:val="nil"/>
              <w:bottom w:val="single" w:sz="4" w:space="0" w:color="auto"/>
              <w:right w:val="single" w:sz="4" w:space="0" w:color="auto"/>
            </w:tcBorders>
            <w:shd w:val="clear" w:color="auto" w:fill="C6EFCE"/>
            <w:noWrap/>
          </w:tcPr>
          <w:p w14:paraId="3115305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Maksude kodifitseerimise väljundite täielik loend, sealhulgas asjaomaste komiteede loomine, rahandusministeeriumi ja IAPRi üksikasjalik ajakava maksualaste õigusaktide kodifitseerimiseks ja konsulteerimiskord. </w:t>
            </w:r>
          </w:p>
        </w:tc>
      </w:tr>
      <w:tr w:rsidR="007B4D63" w:rsidRPr="003B132A" w14:paraId="2DC6F0FB"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71B63C8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200</w:t>
            </w:r>
          </w:p>
        </w:tc>
        <w:tc>
          <w:tcPr>
            <w:tcW w:w="1835" w:type="dxa"/>
            <w:tcBorders>
              <w:top w:val="nil"/>
              <w:left w:val="nil"/>
              <w:bottom w:val="single" w:sz="4" w:space="0" w:color="auto"/>
              <w:right w:val="single" w:sz="4" w:space="0" w:color="auto"/>
            </w:tcBorders>
            <w:shd w:val="clear" w:color="auto" w:fill="C6EFCE"/>
            <w:noWrap/>
          </w:tcPr>
          <w:p w14:paraId="773C51C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18-4.7. Parandada konkurentsivõimet ning edendada erainvesteeringuid ja kaubandust – 16598_Tootlikkuse stimuleerimise kord ja ettevõtete väljatõrjumine (ettevõtete suuruse suurendamine)</w:t>
            </w:r>
          </w:p>
        </w:tc>
        <w:tc>
          <w:tcPr>
            <w:tcW w:w="966" w:type="dxa"/>
            <w:tcBorders>
              <w:top w:val="nil"/>
              <w:left w:val="nil"/>
              <w:bottom w:val="single" w:sz="4" w:space="0" w:color="auto"/>
              <w:right w:val="single" w:sz="4" w:space="0" w:color="auto"/>
            </w:tcBorders>
            <w:shd w:val="clear" w:color="auto" w:fill="C6EFCE"/>
            <w:noWrap/>
          </w:tcPr>
          <w:p w14:paraId="6019C6D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nil"/>
              <w:left w:val="nil"/>
              <w:bottom w:val="single" w:sz="4" w:space="0" w:color="auto"/>
              <w:right w:val="single" w:sz="4" w:space="0" w:color="auto"/>
            </w:tcBorders>
            <w:shd w:val="clear" w:color="auto" w:fill="C6EFCE"/>
            <w:noWrap/>
          </w:tcPr>
          <w:p w14:paraId="57EECD1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Õigusaktide eelnõud, millega soodustatakse ettevõtete avatust</w:t>
            </w:r>
          </w:p>
        </w:tc>
        <w:tc>
          <w:tcPr>
            <w:tcW w:w="2439" w:type="dxa"/>
            <w:tcBorders>
              <w:top w:val="nil"/>
              <w:left w:val="nil"/>
              <w:bottom w:val="single" w:sz="4" w:space="0" w:color="auto"/>
              <w:right w:val="single" w:sz="4" w:space="0" w:color="auto"/>
            </w:tcBorders>
            <w:shd w:val="clear" w:color="auto" w:fill="C6EFCE"/>
            <w:noWrap/>
          </w:tcPr>
          <w:p w14:paraId="7F3F167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Esmaste ja teiseste õigusaktide eelnõud, et soodustada ettevõtete avatumaks muutmist. </w:t>
            </w:r>
          </w:p>
        </w:tc>
        <w:tc>
          <w:tcPr>
            <w:tcW w:w="977" w:type="dxa"/>
            <w:tcBorders>
              <w:top w:val="nil"/>
              <w:left w:val="nil"/>
              <w:bottom w:val="single" w:sz="4" w:space="0" w:color="auto"/>
              <w:right w:val="single" w:sz="4" w:space="0" w:color="auto"/>
            </w:tcBorders>
            <w:shd w:val="clear" w:color="auto" w:fill="C6EFCE"/>
            <w:noWrap/>
          </w:tcPr>
          <w:p w14:paraId="324EB485"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10701694"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371EF173" w14:textId="77777777" w:rsidR="00356CBA" w:rsidRPr="00AD4052" w:rsidRDefault="00356CBA">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14:paraId="39219FC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708" w:type="dxa"/>
            <w:tcBorders>
              <w:top w:val="nil"/>
              <w:left w:val="nil"/>
              <w:bottom w:val="single" w:sz="4" w:space="0" w:color="auto"/>
              <w:right w:val="single" w:sz="4" w:space="0" w:color="auto"/>
            </w:tcBorders>
            <w:shd w:val="clear" w:color="auto" w:fill="C6EFCE"/>
            <w:noWrap/>
          </w:tcPr>
          <w:p w14:paraId="59FB1DF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2021</w:t>
            </w:r>
          </w:p>
        </w:tc>
        <w:tc>
          <w:tcPr>
            <w:tcW w:w="3213" w:type="dxa"/>
            <w:tcBorders>
              <w:top w:val="nil"/>
              <w:left w:val="nil"/>
              <w:bottom w:val="single" w:sz="4" w:space="0" w:color="auto"/>
              <w:right w:val="single" w:sz="4" w:space="0" w:color="auto"/>
            </w:tcBorders>
            <w:shd w:val="clear" w:color="auto" w:fill="C6EFCE"/>
            <w:noWrap/>
          </w:tcPr>
          <w:p w14:paraId="11BA291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Eelnõud konsulteerimiseks esmaste ja teiseste õigusaktide üle, millega parandatakse maksu-, finants- ja litsentsimisalast õigusraamistikku ning stiimuleid ühinemisteks, ümberkujundamisteks ja omandamiseks</w:t>
            </w:r>
          </w:p>
        </w:tc>
      </w:tr>
      <w:tr w:rsidR="007B4D63" w:rsidRPr="003B132A" w14:paraId="21B03AF7"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417ABA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201</w:t>
            </w:r>
          </w:p>
        </w:tc>
        <w:tc>
          <w:tcPr>
            <w:tcW w:w="1835" w:type="dxa"/>
            <w:tcBorders>
              <w:top w:val="single" w:sz="4" w:space="0" w:color="auto"/>
              <w:left w:val="nil"/>
              <w:bottom w:val="single" w:sz="4" w:space="0" w:color="auto"/>
              <w:right w:val="single" w:sz="4" w:space="0" w:color="auto"/>
            </w:tcBorders>
            <w:shd w:val="clear" w:color="auto" w:fill="C6EFCE"/>
            <w:noWrap/>
          </w:tcPr>
          <w:p w14:paraId="5B219AD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18-4.7. Parandada konkurentsivõimet ning edendada erainvesteeringuid ja kaubandust – 16598_Tootlikkuse stimuleerimise kord ja ettevõtete väljatõrjumine (ettevõtete suuruse suurendamine)</w:t>
            </w:r>
          </w:p>
        </w:tc>
        <w:tc>
          <w:tcPr>
            <w:tcW w:w="966" w:type="dxa"/>
            <w:tcBorders>
              <w:top w:val="single" w:sz="4" w:space="0" w:color="auto"/>
              <w:left w:val="nil"/>
              <w:bottom w:val="single" w:sz="4" w:space="0" w:color="auto"/>
              <w:right w:val="single" w:sz="4" w:space="0" w:color="auto"/>
            </w:tcBorders>
            <w:shd w:val="clear" w:color="auto" w:fill="C6EFCE"/>
            <w:noWrap/>
          </w:tcPr>
          <w:p w14:paraId="333DC3C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single" w:sz="4" w:space="0" w:color="auto"/>
              <w:left w:val="nil"/>
              <w:bottom w:val="single" w:sz="4" w:space="0" w:color="auto"/>
              <w:right w:val="single" w:sz="4" w:space="0" w:color="auto"/>
            </w:tcBorders>
            <w:shd w:val="clear" w:color="auto" w:fill="C6EFCE"/>
            <w:noWrap/>
          </w:tcPr>
          <w:p w14:paraId="638D9B4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Õigusaktid, mis soodustavad ettevõtete avatumaks muutmist</w:t>
            </w:r>
          </w:p>
        </w:tc>
        <w:tc>
          <w:tcPr>
            <w:tcW w:w="2439" w:type="dxa"/>
            <w:tcBorders>
              <w:top w:val="single" w:sz="4" w:space="0" w:color="auto"/>
              <w:left w:val="nil"/>
              <w:bottom w:val="single" w:sz="4" w:space="0" w:color="auto"/>
              <w:right w:val="single" w:sz="4" w:space="0" w:color="auto"/>
            </w:tcBorders>
            <w:shd w:val="clear" w:color="auto" w:fill="C6EFCE"/>
            <w:noWrap/>
          </w:tcPr>
          <w:p w14:paraId="4A8B3D7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Õigusaktide jõustumine, et soodustada ettevõtete avatumaks muutmist</w:t>
            </w:r>
          </w:p>
        </w:tc>
        <w:tc>
          <w:tcPr>
            <w:tcW w:w="977" w:type="dxa"/>
            <w:tcBorders>
              <w:top w:val="single" w:sz="4" w:space="0" w:color="auto"/>
              <w:left w:val="nil"/>
              <w:bottom w:val="single" w:sz="4" w:space="0" w:color="auto"/>
              <w:right w:val="single" w:sz="4" w:space="0" w:color="auto"/>
            </w:tcBorders>
            <w:shd w:val="clear" w:color="auto" w:fill="C6EFCE"/>
            <w:noWrap/>
          </w:tcPr>
          <w:p w14:paraId="5AC231C2"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66FBC168"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63379C21" w14:textId="77777777" w:rsidR="00356CBA" w:rsidRPr="00AD4052" w:rsidRDefault="00356CBA">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14:paraId="676D86A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kv</w:t>
            </w:r>
          </w:p>
        </w:tc>
        <w:tc>
          <w:tcPr>
            <w:tcW w:w="708" w:type="dxa"/>
            <w:tcBorders>
              <w:top w:val="single" w:sz="4" w:space="0" w:color="auto"/>
              <w:left w:val="nil"/>
              <w:bottom w:val="single" w:sz="4" w:space="0" w:color="auto"/>
              <w:right w:val="single" w:sz="4" w:space="0" w:color="auto"/>
            </w:tcBorders>
            <w:shd w:val="clear" w:color="auto" w:fill="C6EFCE"/>
            <w:noWrap/>
          </w:tcPr>
          <w:p w14:paraId="6FD3F81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3213" w:type="dxa"/>
            <w:tcBorders>
              <w:top w:val="single" w:sz="4" w:space="0" w:color="auto"/>
              <w:left w:val="nil"/>
              <w:bottom w:val="single" w:sz="4" w:space="0" w:color="auto"/>
              <w:right w:val="single" w:sz="4" w:space="0" w:color="auto"/>
            </w:tcBorders>
            <w:shd w:val="clear" w:color="auto" w:fill="C6EFCE"/>
            <w:noWrap/>
          </w:tcPr>
          <w:p w14:paraId="31E10CA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Selliste suhteliste muudatuste jõustumine, millega parandatakse maksu-, finants- ja litsentsimisraamistiku ning ühinemiste, ümberkujundamiste ja omandamiste stiimulite õigusraamistikku</w:t>
            </w:r>
          </w:p>
        </w:tc>
      </w:tr>
      <w:tr w:rsidR="007B4D63" w:rsidRPr="003B132A" w14:paraId="7A13112D"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00D2E1B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w:t>
            </w:r>
          </w:p>
        </w:tc>
        <w:tc>
          <w:tcPr>
            <w:tcW w:w="1835" w:type="dxa"/>
            <w:tcBorders>
              <w:top w:val="single" w:sz="4" w:space="0" w:color="auto"/>
              <w:left w:val="nil"/>
              <w:bottom w:val="single" w:sz="4" w:space="0" w:color="auto"/>
              <w:right w:val="single" w:sz="4" w:space="0" w:color="auto"/>
            </w:tcBorders>
            <w:shd w:val="clear" w:color="auto" w:fill="C6EFCE"/>
            <w:noWrap/>
          </w:tcPr>
          <w:p w14:paraId="3529BDA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4.1. Maksude muutmine majanduskasvu soodustavamaks ning maksuhalduse ja maksude kogumise parandamine – 16643_Kodifikatsioon ja maksualaste õigusaktide lihtsustamine</w:t>
            </w:r>
          </w:p>
        </w:tc>
        <w:tc>
          <w:tcPr>
            <w:tcW w:w="966" w:type="dxa"/>
            <w:tcBorders>
              <w:top w:val="single" w:sz="4" w:space="0" w:color="auto"/>
              <w:left w:val="nil"/>
              <w:bottom w:val="single" w:sz="4" w:space="0" w:color="auto"/>
              <w:right w:val="single" w:sz="4" w:space="0" w:color="auto"/>
            </w:tcBorders>
            <w:shd w:val="clear" w:color="auto" w:fill="C6EFCE"/>
            <w:noWrap/>
          </w:tcPr>
          <w:p w14:paraId="1D5CEAB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single" w:sz="4" w:space="0" w:color="auto"/>
              <w:left w:val="nil"/>
              <w:bottom w:val="single" w:sz="4" w:space="0" w:color="auto"/>
              <w:right w:val="single" w:sz="4" w:space="0" w:color="auto"/>
            </w:tcBorders>
            <w:shd w:val="clear" w:color="auto" w:fill="C6EFCE"/>
            <w:noWrap/>
          </w:tcPr>
          <w:p w14:paraId="10A60F7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Maksude kodifitseerimise suutlikkuse suurendamine</w:t>
            </w:r>
          </w:p>
        </w:tc>
        <w:tc>
          <w:tcPr>
            <w:tcW w:w="2439" w:type="dxa"/>
            <w:tcBorders>
              <w:top w:val="single" w:sz="4" w:space="0" w:color="auto"/>
              <w:left w:val="nil"/>
              <w:bottom w:val="single" w:sz="4" w:space="0" w:color="auto"/>
              <w:right w:val="single" w:sz="4" w:space="0" w:color="auto"/>
            </w:tcBorders>
            <w:shd w:val="clear" w:color="auto" w:fill="C6EFCE"/>
            <w:noWrap/>
          </w:tcPr>
          <w:p w14:paraId="4DAB3BC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Teiseste õigusaktide avaldamine rahandusministeeriumi ja IAPRi teenuste osutamise direktoraadi maksualase kodifitseerimise üksuse loomiseks.</w:t>
            </w:r>
          </w:p>
        </w:tc>
        <w:tc>
          <w:tcPr>
            <w:tcW w:w="977" w:type="dxa"/>
            <w:tcBorders>
              <w:top w:val="single" w:sz="4" w:space="0" w:color="auto"/>
              <w:left w:val="nil"/>
              <w:bottom w:val="single" w:sz="4" w:space="0" w:color="auto"/>
              <w:right w:val="single" w:sz="4" w:space="0" w:color="auto"/>
            </w:tcBorders>
            <w:shd w:val="clear" w:color="auto" w:fill="C6EFCE"/>
            <w:noWrap/>
          </w:tcPr>
          <w:p w14:paraId="3D211BB2"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3A304817"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694A7EAF" w14:textId="77777777" w:rsidR="00356CBA" w:rsidRPr="00AD4052" w:rsidRDefault="00356CBA">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14:paraId="69EAE1B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708" w:type="dxa"/>
            <w:tcBorders>
              <w:top w:val="single" w:sz="4" w:space="0" w:color="auto"/>
              <w:left w:val="nil"/>
              <w:bottom w:val="single" w:sz="4" w:space="0" w:color="auto"/>
              <w:right w:val="single" w:sz="4" w:space="0" w:color="auto"/>
            </w:tcBorders>
            <w:shd w:val="clear" w:color="auto" w:fill="C6EFCE"/>
            <w:noWrap/>
          </w:tcPr>
          <w:p w14:paraId="72E29AD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3213" w:type="dxa"/>
            <w:tcBorders>
              <w:top w:val="single" w:sz="4" w:space="0" w:color="auto"/>
              <w:left w:val="nil"/>
              <w:bottom w:val="single" w:sz="4" w:space="0" w:color="auto"/>
              <w:right w:val="single" w:sz="4" w:space="0" w:color="auto"/>
            </w:tcBorders>
            <w:shd w:val="clear" w:color="auto" w:fill="C6EFCE"/>
            <w:noWrap/>
          </w:tcPr>
          <w:p w14:paraId="7A5A6CF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Rahandusministeeriumi juurde luuakse spetsiaalne maksuüksus, mis vastutab esmaste maksualaste õigusaktide ja ministri otsuste konsolideerimise ja järjepidevuse eest; IAPRi juurde teenuste direktoraadi loomine, mis muu hulgas vastutab teiseste õigusaktide konsolideerimise, IAPRi maksumenetluse seadustikuga seotud pädevuse koordineerimise ning avaliku maksuandmebaasi ajakohastamise ja haldamise eest.</w:t>
            </w:r>
          </w:p>
        </w:tc>
      </w:tr>
      <w:tr w:rsidR="007B4D63" w:rsidRPr="003B132A" w14:paraId="57E7743A"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886D64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203</w:t>
            </w:r>
          </w:p>
        </w:tc>
        <w:tc>
          <w:tcPr>
            <w:tcW w:w="1835" w:type="dxa"/>
            <w:tcBorders>
              <w:top w:val="single" w:sz="4" w:space="0" w:color="auto"/>
              <w:left w:val="nil"/>
              <w:bottom w:val="single" w:sz="4" w:space="0" w:color="auto"/>
              <w:right w:val="single" w:sz="4" w:space="0" w:color="auto"/>
            </w:tcBorders>
            <w:shd w:val="clear" w:color="auto" w:fill="C6EFCE"/>
            <w:noWrap/>
          </w:tcPr>
          <w:p w14:paraId="77D6F6B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16643_Kodifikatsioon ja maksualaste õigusaktide lihtsustamine</w:t>
            </w:r>
          </w:p>
        </w:tc>
        <w:tc>
          <w:tcPr>
            <w:tcW w:w="966" w:type="dxa"/>
            <w:tcBorders>
              <w:top w:val="single" w:sz="4" w:space="0" w:color="auto"/>
              <w:left w:val="nil"/>
              <w:bottom w:val="single" w:sz="4" w:space="0" w:color="auto"/>
              <w:right w:val="single" w:sz="4" w:space="0" w:color="auto"/>
            </w:tcBorders>
            <w:shd w:val="clear" w:color="auto" w:fill="C6EFCE"/>
            <w:noWrap/>
          </w:tcPr>
          <w:p w14:paraId="0CC2FE8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single" w:sz="4" w:space="0" w:color="auto"/>
              <w:left w:val="nil"/>
              <w:bottom w:val="single" w:sz="4" w:space="0" w:color="auto"/>
              <w:right w:val="single" w:sz="4" w:space="0" w:color="auto"/>
            </w:tcBorders>
            <w:shd w:val="clear" w:color="auto" w:fill="C6EFCE"/>
            <w:noWrap/>
          </w:tcPr>
          <w:p w14:paraId="2FAA6DC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Tulumaksu ja maksumenetluse koodide ümberkodifitseerimine</w:t>
            </w:r>
          </w:p>
        </w:tc>
        <w:tc>
          <w:tcPr>
            <w:tcW w:w="2439" w:type="dxa"/>
            <w:tcBorders>
              <w:top w:val="single" w:sz="4" w:space="0" w:color="auto"/>
              <w:left w:val="nil"/>
              <w:bottom w:val="single" w:sz="4" w:space="0" w:color="auto"/>
              <w:right w:val="single" w:sz="4" w:space="0" w:color="auto"/>
            </w:tcBorders>
            <w:shd w:val="clear" w:color="auto" w:fill="C6EFCE"/>
            <w:noWrap/>
          </w:tcPr>
          <w:p w14:paraId="38437AF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Tulumaksuseadustiku ja maksukorralduse seadustiku kodifitseeritud esmase ja teisese maksuõiguse jõustumine</w:t>
            </w:r>
          </w:p>
        </w:tc>
        <w:tc>
          <w:tcPr>
            <w:tcW w:w="977" w:type="dxa"/>
            <w:tcBorders>
              <w:top w:val="single" w:sz="4" w:space="0" w:color="auto"/>
              <w:left w:val="nil"/>
              <w:bottom w:val="single" w:sz="4" w:space="0" w:color="auto"/>
              <w:right w:val="single" w:sz="4" w:space="0" w:color="auto"/>
            </w:tcBorders>
            <w:shd w:val="clear" w:color="auto" w:fill="C6EFCE"/>
            <w:noWrap/>
          </w:tcPr>
          <w:p w14:paraId="0FD10444"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609D5076"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0E249BB5" w14:textId="77777777" w:rsidR="00356CBA" w:rsidRPr="00AD4052" w:rsidRDefault="00356CBA">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14:paraId="2D76244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708" w:type="dxa"/>
            <w:tcBorders>
              <w:top w:val="single" w:sz="4" w:space="0" w:color="auto"/>
              <w:left w:val="nil"/>
              <w:bottom w:val="single" w:sz="4" w:space="0" w:color="auto"/>
              <w:right w:val="single" w:sz="4" w:space="0" w:color="auto"/>
            </w:tcBorders>
            <w:shd w:val="clear" w:color="auto" w:fill="C6EFCE"/>
            <w:noWrap/>
          </w:tcPr>
          <w:p w14:paraId="28599F9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2023</w:t>
            </w:r>
          </w:p>
        </w:tc>
        <w:tc>
          <w:tcPr>
            <w:tcW w:w="3213" w:type="dxa"/>
            <w:tcBorders>
              <w:top w:val="single" w:sz="4" w:space="0" w:color="auto"/>
              <w:left w:val="nil"/>
              <w:bottom w:val="single" w:sz="4" w:space="0" w:color="auto"/>
              <w:right w:val="single" w:sz="4" w:space="0" w:color="auto"/>
            </w:tcBorders>
            <w:shd w:val="clear" w:color="auto" w:fill="C6EFCE"/>
            <w:noWrap/>
          </w:tcPr>
          <w:p w14:paraId="114D274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Kodifitseeritud tulumaksuseadustiku ja maksukorralduse seadustiku (esmased ja teisesed õigusaktid) jõustumine, et õigusakte digiteerimise ja ELi parimate tavade valguses lihtsustada ja ajakohastada</w:t>
            </w:r>
          </w:p>
        </w:tc>
      </w:tr>
      <w:tr w:rsidR="007B4D63" w:rsidRPr="003B132A" w14:paraId="159BDF17"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6562B4D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204</w:t>
            </w:r>
          </w:p>
        </w:tc>
        <w:tc>
          <w:tcPr>
            <w:tcW w:w="1835" w:type="dxa"/>
            <w:tcBorders>
              <w:top w:val="single" w:sz="4" w:space="0" w:color="auto"/>
              <w:left w:val="nil"/>
              <w:bottom w:val="single" w:sz="4" w:space="0" w:color="auto"/>
              <w:right w:val="single" w:sz="4" w:space="0" w:color="auto"/>
            </w:tcBorders>
            <w:shd w:val="clear" w:color="auto" w:fill="C6EFCE"/>
            <w:noWrap/>
          </w:tcPr>
          <w:p w14:paraId="16C0081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16643_Kodifikatsioon ja maksualaste õigusaktide lihtsustamine</w:t>
            </w:r>
          </w:p>
        </w:tc>
        <w:tc>
          <w:tcPr>
            <w:tcW w:w="966" w:type="dxa"/>
            <w:tcBorders>
              <w:top w:val="single" w:sz="4" w:space="0" w:color="auto"/>
              <w:left w:val="nil"/>
              <w:bottom w:val="single" w:sz="4" w:space="0" w:color="auto"/>
              <w:right w:val="single" w:sz="4" w:space="0" w:color="auto"/>
            </w:tcBorders>
            <w:shd w:val="clear" w:color="auto" w:fill="C6EFCE"/>
            <w:noWrap/>
          </w:tcPr>
          <w:p w14:paraId="6003942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single" w:sz="4" w:space="0" w:color="auto"/>
              <w:left w:val="nil"/>
              <w:bottom w:val="single" w:sz="4" w:space="0" w:color="auto"/>
              <w:right w:val="single" w:sz="4" w:space="0" w:color="auto"/>
            </w:tcBorders>
            <w:shd w:val="clear" w:color="auto" w:fill="C6EFCE"/>
            <w:noWrap/>
          </w:tcPr>
          <w:p w14:paraId="04586E2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Esialgse maksukodifikatsiooni ja maksumaksjate teabesüsteemi lõpuleviimine</w:t>
            </w:r>
          </w:p>
        </w:tc>
        <w:tc>
          <w:tcPr>
            <w:tcW w:w="2439" w:type="dxa"/>
            <w:tcBorders>
              <w:top w:val="single" w:sz="4" w:space="0" w:color="auto"/>
              <w:left w:val="nil"/>
              <w:bottom w:val="single" w:sz="4" w:space="0" w:color="auto"/>
              <w:right w:val="single" w:sz="4" w:space="0" w:color="auto"/>
            </w:tcBorders>
            <w:shd w:val="clear" w:color="auto" w:fill="C6EFCE"/>
            <w:noWrap/>
          </w:tcPr>
          <w:p w14:paraId="4F87501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 1. Kodifitseeritud esmaste ja teiseste maksualaste õigusaktide jõustumine. 2. Maksetõendite ja kodifitseerimisinvesteeringute auditite tulemuste esitamine.</w:t>
            </w:r>
          </w:p>
          <w:p w14:paraId="1517A453" w14:textId="77777777" w:rsidR="00356CBA" w:rsidRPr="00AD4052" w:rsidRDefault="00356CBA">
            <w:pPr>
              <w:spacing w:after="0" w:line="240" w:lineRule="auto"/>
              <w:rPr>
                <w:rFonts w:eastAsia="Times New Roman" w:cs="Calibri"/>
                <w:noProof/>
                <w:color w:val="006100"/>
                <w:sz w:val="18"/>
                <w:szCs w:val="18"/>
                <w:lang w:eastAsia="en-GB"/>
              </w:rPr>
            </w:pPr>
          </w:p>
          <w:p w14:paraId="4707B93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b: 1. Teiseste õigusaktide ja põhjaliku juhendi avaldamine koos linkidega sisuhaldussüsteemile ja maksumaksja veebisaidile.</w:t>
            </w:r>
          </w:p>
          <w:p w14:paraId="0E58CA7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Maksetõendite ja VSSi investeeringute auditite tulemuste esitamine</w:t>
            </w:r>
          </w:p>
        </w:tc>
        <w:tc>
          <w:tcPr>
            <w:tcW w:w="977" w:type="dxa"/>
            <w:tcBorders>
              <w:top w:val="single" w:sz="4" w:space="0" w:color="auto"/>
              <w:left w:val="nil"/>
              <w:bottom w:val="single" w:sz="4" w:space="0" w:color="auto"/>
              <w:right w:val="single" w:sz="4" w:space="0" w:color="auto"/>
            </w:tcBorders>
            <w:shd w:val="clear" w:color="auto" w:fill="C6EFCE"/>
            <w:noWrap/>
          </w:tcPr>
          <w:p w14:paraId="7F5B46F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6BBF2E0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2054AAF7"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3" w:type="dxa"/>
            <w:tcBorders>
              <w:top w:val="single" w:sz="4" w:space="0" w:color="auto"/>
              <w:left w:val="nil"/>
              <w:bottom w:val="single" w:sz="4" w:space="0" w:color="auto"/>
              <w:right w:val="single" w:sz="4" w:space="0" w:color="auto"/>
            </w:tcBorders>
            <w:shd w:val="clear" w:color="auto" w:fill="C6EFCE"/>
            <w:noWrap/>
          </w:tcPr>
          <w:p w14:paraId="6B2F8E0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708" w:type="dxa"/>
            <w:tcBorders>
              <w:top w:val="single" w:sz="4" w:space="0" w:color="auto"/>
              <w:left w:val="nil"/>
              <w:bottom w:val="single" w:sz="4" w:space="0" w:color="auto"/>
              <w:right w:val="single" w:sz="4" w:space="0" w:color="auto"/>
            </w:tcBorders>
            <w:shd w:val="clear" w:color="auto" w:fill="C6EFCE"/>
            <w:noWrap/>
          </w:tcPr>
          <w:p w14:paraId="1A68D3F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3213" w:type="dxa"/>
            <w:tcBorders>
              <w:top w:val="single" w:sz="4" w:space="0" w:color="auto"/>
              <w:left w:val="nil"/>
              <w:bottom w:val="single" w:sz="4" w:space="0" w:color="auto"/>
              <w:right w:val="single" w:sz="4" w:space="0" w:color="auto"/>
            </w:tcBorders>
            <w:shd w:val="clear" w:color="auto" w:fill="C6EFCE"/>
            <w:noWrap/>
          </w:tcPr>
          <w:p w14:paraId="4298D61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 Põhi- ja teiseste õigusaktide kodifitseerimise jõustumine, et õigusakte digiteerimise ja ELi parimate tavade valguses lihtsustada ja ajakohastada, sealhulgas:</w:t>
            </w:r>
          </w:p>
          <w:p w14:paraId="7C5A1A00" w14:textId="77777777" w:rsidR="00356CBA" w:rsidRPr="00E02B5D" w:rsidRDefault="00356CBA" w:rsidP="00DE1EE5">
            <w:pPr>
              <w:numPr>
                <w:ilvl w:val="0"/>
                <w:numId w:val="45"/>
              </w:numPr>
              <w:spacing w:before="120" w:after="0" w:line="259" w:lineRule="auto"/>
              <w:contextualSpacing/>
              <w:jc w:val="both"/>
              <w:rPr>
                <w:rFonts w:eastAsia="Times New Roman" w:cs="Calibri"/>
                <w:noProof/>
                <w:color w:val="006100"/>
                <w:sz w:val="18"/>
                <w:szCs w:val="18"/>
              </w:rPr>
            </w:pPr>
            <w:r>
              <w:rPr>
                <w:noProof/>
                <w:color w:val="006100"/>
                <w:sz w:val="18"/>
              </w:rPr>
              <w:t>Käibemaksukohustuslasena registreerimise number</w:t>
            </w:r>
          </w:p>
          <w:p w14:paraId="27A4768D" w14:textId="77777777" w:rsidR="00356CBA" w:rsidRPr="00E02B5D" w:rsidRDefault="00356CBA" w:rsidP="00DE1EE5">
            <w:pPr>
              <w:numPr>
                <w:ilvl w:val="0"/>
                <w:numId w:val="45"/>
              </w:numPr>
              <w:spacing w:before="120" w:after="0" w:line="259" w:lineRule="auto"/>
              <w:contextualSpacing/>
              <w:jc w:val="both"/>
              <w:rPr>
                <w:rFonts w:eastAsia="Times New Roman" w:cs="Calibri"/>
                <w:noProof/>
                <w:color w:val="006100"/>
                <w:sz w:val="18"/>
                <w:szCs w:val="18"/>
              </w:rPr>
            </w:pPr>
            <w:r>
              <w:rPr>
                <w:noProof/>
                <w:color w:val="006100"/>
                <w:sz w:val="18"/>
              </w:rPr>
              <w:t>Tempelmaks:</w:t>
            </w:r>
          </w:p>
          <w:p w14:paraId="6B64BF22" w14:textId="77777777" w:rsidR="00356CBA" w:rsidRPr="00E02B5D" w:rsidRDefault="00356CBA" w:rsidP="00DE1EE5">
            <w:pPr>
              <w:numPr>
                <w:ilvl w:val="0"/>
                <w:numId w:val="45"/>
              </w:numPr>
              <w:spacing w:before="120" w:after="0" w:line="259" w:lineRule="auto"/>
              <w:contextualSpacing/>
              <w:jc w:val="both"/>
              <w:rPr>
                <w:rFonts w:eastAsia="Times New Roman" w:cs="Calibri"/>
                <w:noProof/>
                <w:color w:val="006100"/>
                <w:sz w:val="18"/>
                <w:szCs w:val="18"/>
              </w:rPr>
            </w:pPr>
            <w:r>
              <w:rPr>
                <w:noProof/>
                <w:color w:val="006100"/>
                <w:sz w:val="18"/>
              </w:rPr>
              <w:t>Omandimaksud</w:t>
            </w:r>
          </w:p>
          <w:p w14:paraId="1305793C" w14:textId="77777777" w:rsidR="00356CBA" w:rsidRPr="00E02B5D" w:rsidRDefault="00356CBA" w:rsidP="00DE1EE5">
            <w:pPr>
              <w:numPr>
                <w:ilvl w:val="0"/>
                <w:numId w:val="45"/>
              </w:numPr>
              <w:spacing w:before="120" w:after="0" w:line="259" w:lineRule="auto"/>
              <w:contextualSpacing/>
              <w:jc w:val="both"/>
              <w:rPr>
                <w:rFonts w:eastAsia="Times New Roman" w:cs="Calibri"/>
                <w:noProof/>
                <w:color w:val="006100"/>
                <w:sz w:val="18"/>
                <w:szCs w:val="18"/>
              </w:rPr>
            </w:pPr>
            <w:r>
              <w:rPr>
                <w:noProof/>
                <w:color w:val="006100"/>
                <w:sz w:val="18"/>
              </w:rPr>
              <w:t>Riigivõlgade sissenõudmine (KEDE)</w:t>
            </w:r>
          </w:p>
          <w:p w14:paraId="5408AC44" w14:textId="77777777" w:rsidR="00356CBA" w:rsidRPr="00E02B5D" w:rsidRDefault="00356CBA" w:rsidP="00DE1EE5">
            <w:pPr>
              <w:numPr>
                <w:ilvl w:val="0"/>
                <w:numId w:val="45"/>
              </w:numPr>
              <w:spacing w:before="120" w:after="0" w:line="259" w:lineRule="auto"/>
              <w:contextualSpacing/>
              <w:jc w:val="both"/>
              <w:rPr>
                <w:rFonts w:eastAsia="Times New Roman" w:cs="Calibri"/>
                <w:noProof/>
                <w:color w:val="006100"/>
                <w:sz w:val="18"/>
                <w:szCs w:val="18"/>
              </w:rPr>
            </w:pPr>
            <w:r>
              <w:rPr>
                <w:noProof/>
                <w:color w:val="006100"/>
                <w:sz w:val="18"/>
              </w:rPr>
              <w:t>Siseriiklik tolliseadustik</w:t>
            </w:r>
          </w:p>
          <w:p w14:paraId="6BC592C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b. Sisuhaldussüsteemi ja spetsiaalse veebisaidi loomine maksumaksja teabe jaoks.</w:t>
            </w:r>
          </w:p>
        </w:tc>
      </w:tr>
      <w:tr w:rsidR="00356CBA" w:rsidRPr="003B132A" w14:paraId="7DF38A18"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7CA3B4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337</w:t>
            </w:r>
          </w:p>
        </w:tc>
        <w:tc>
          <w:tcPr>
            <w:tcW w:w="1835" w:type="dxa"/>
            <w:tcBorders>
              <w:top w:val="single" w:sz="4" w:space="0" w:color="auto"/>
              <w:left w:val="nil"/>
              <w:bottom w:val="single" w:sz="4" w:space="0" w:color="auto"/>
              <w:right w:val="single" w:sz="4" w:space="0" w:color="auto"/>
            </w:tcBorders>
            <w:shd w:val="clear" w:color="auto" w:fill="C6EFCE"/>
            <w:noWrap/>
          </w:tcPr>
          <w:p w14:paraId="4450653D"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16985_Kreeka maksupoliitika raamistiku muutmine</w:t>
            </w:r>
          </w:p>
        </w:tc>
        <w:tc>
          <w:tcPr>
            <w:tcW w:w="966" w:type="dxa"/>
            <w:tcBorders>
              <w:top w:val="single" w:sz="4" w:space="0" w:color="auto"/>
              <w:left w:val="nil"/>
              <w:bottom w:val="single" w:sz="4" w:space="0" w:color="auto"/>
              <w:right w:val="single" w:sz="4" w:space="0" w:color="auto"/>
            </w:tcBorders>
            <w:shd w:val="clear" w:color="auto" w:fill="C6EFCE"/>
            <w:noWrap/>
          </w:tcPr>
          <w:p w14:paraId="5B489E3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single" w:sz="4" w:space="0" w:color="auto"/>
              <w:left w:val="nil"/>
              <w:bottom w:val="single" w:sz="4" w:space="0" w:color="auto"/>
              <w:right w:val="single" w:sz="4" w:space="0" w:color="auto"/>
            </w:tcBorders>
            <w:shd w:val="clear" w:color="auto" w:fill="C6EFCE"/>
            <w:noWrap/>
          </w:tcPr>
          <w:p w14:paraId="0BEA81A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Võidelda maksudest kõrvalehoidumise vastu ja edendada elektroonilisi makseid.</w:t>
            </w:r>
          </w:p>
        </w:tc>
        <w:tc>
          <w:tcPr>
            <w:tcW w:w="2439" w:type="dxa"/>
            <w:tcBorders>
              <w:top w:val="single" w:sz="4" w:space="0" w:color="auto"/>
              <w:left w:val="nil"/>
              <w:bottom w:val="single" w:sz="4" w:space="0" w:color="auto"/>
              <w:right w:val="single" w:sz="4" w:space="0" w:color="auto"/>
            </w:tcBorders>
            <w:shd w:val="clear" w:color="auto" w:fill="C6EFCE"/>
            <w:noWrap/>
          </w:tcPr>
          <w:p w14:paraId="3E7C4C5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Elektrooniliste maksete edendamiseks vastu võetud läbivaadatud õigusraamistik, millega tugevdatakse ja kehtestatakse uued MyDATA aruandlusnõuded ning võimaldatakse MyDATA kasutamist käibemaksu eesmärgil. </w:t>
            </w:r>
          </w:p>
          <w:p w14:paraId="418A792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Koopia aruandest füüsilisest isikust ettevõtjate maksustamise reformi võimaluste kohta.</w:t>
            </w:r>
          </w:p>
        </w:tc>
        <w:tc>
          <w:tcPr>
            <w:tcW w:w="977" w:type="dxa"/>
            <w:tcBorders>
              <w:top w:val="single" w:sz="4" w:space="0" w:color="auto"/>
              <w:left w:val="nil"/>
              <w:bottom w:val="single" w:sz="4" w:space="0" w:color="auto"/>
              <w:right w:val="single" w:sz="4" w:space="0" w:color="auto"/>
            </w:tcBorders>
            <w:shd w:val="clear" w:color="auto" w:fill="C6EFCE"/>
            <w:noWrap/>
          </w:tcPr>
          <w:p w14:paraId="7857BB0A"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58AF6CF6"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5CF3FCCC"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14:paraId="1735F96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708" w:type="dxa"/>
            <w:tcBorders>
              <w:top w:val="single" w:sz="4" w:space="0" w:color="auto"/>
              <w:left w:val="nil"/>
              <w:bottom w:val="single" w:sz="4" w:space="0" w:color="auto"/>
              <w:right w:val="single" w:sz="4" w:space="0" w:color="auto"/>
            </w:tcBorders>
            <w:shd w:val="clear" w:color="auto" w:fill="C6EFCE"/>
            <w:noWrap/>
          </w:tcPr>
          <w:p w14:paraId="0CAC947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2023</w:t>
            </w:r>
          </w:p>
        </w:tc>
        <w:tc>
          <w:tcPr>
            <w:tcW w:w="3213" w:type="dxa"/>
            <w:tcBorders>
              <w:top w:val="single" w:sz="4" w:space="0" w:color="auto"/>
              <w:left w:val="nil"/>
              <w:bottom w:val="single" w:sz="4" w:space="0" w:color="auto"/>
              <w:right w:val="single" w:sz="4" w:space="0" w:color="auto"/>
            </w:tcBorders>
            <w:shd w:val="clear" w:color="auto" w:fill="C6EFCE"/>
            <w:noWrap/>
          </w:tcPr>
          <w:p w14:paraId="53C97D97" w14:textId="51341A7C"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Esmaste ja teiseste õigusaktide jõustumine, et </w:t>
            </w:r>
          </w:p>
          <w:p w14:paraId="73E3DF32" w14:textId="77777777" w:rsidR="00356CBA" w:rsidRPr="00E02B5D" w:rsidRDefault="00356CBA" w:rsidP="00D16F13">
            <w:pPr>
              <w:spacing w:after="0" w:line="240" w:lineRule="auto"/>
              <w:rPr>
                <w:noProof/>
              </w:rPr>
            </w:pPr>
            <w:r>
              <w:rPr>
                <w:noProof/>
                <w:color w:val="006100"/>
                <w:sz w:val="18"/>
              </w:rPr>
              <w:t xml:space="preserve">i) laiendada laialdaselt elektrooniliste otsemaksete kohustuslikku aktsepteerimist jaeturul; </w:t>
            </w:r>
          </w:p>
          <w:p w14:paraId="07F67D19" w14:textId="4FAA63B2" w:rsidR="00356CBA" w:rsidRPr="00E02B5D" w:rsidRDefault="00356CBA" w:rsidP="00D16F13">
            <w:pPr>
              <w:spacing w:after="0" w:line="240" w:lineRule="auto"/>
              <w:rPr>
                <w:noProof/>
              </w:rPr>
            </w:pPr>
            <w:r>
              <w:rPr>
                <w:noProof/>
                <w:color w:val="006100"/>
                <w:sz w:val="18"/>
              </w:rPr>
              <w:t xml:space="preserve">ii) viia makseteenuse pakkujate teabejagamise nõuded kooskõlla Kreeka keskpanga määratlustega; </w:t>
            </w:r>
          </w:p>
          <w:p w14:paraId="1629EC58" w14:textId="77777777" w:rsidR="00356CBA" w:rsidRPr="00E02B5D" w:rsidRDefault="00356CBA" w:rsidP="00D16F13">
            <w:pPr>
              <w:spacing w:after="0" w:line="240" w:lineRule="auto"/>
              <w:rPr>
                <w:noProof/>
              </w:rPr>
            </w:pPr>
            <w:r>
              <w:rPr>
                <w:noProof/>
                <w:color w:val="006100"/>
                <w:sz w:val="18"/>
              </w:rPr>
              <w:t>iii) kehtestada ettevõtjatele (sh füüsilisest isikust ettevõtjatele) uued aruandluskohustused, mida kohaldatakse käibedeklaratsioonide suhtes; ning</w:t>
            </w:r>
          </w:p>
          <w:p w14:paraId="615CB1A6" w14:textId="77777777" w:rsidR="00356CBA" w:rsidRPr="00E02B5D" w:rsidRDefault="00356CBA" w:rsidP="00D16F13">
            <w:pPr>
              <w:spacing w:after="0" w:line="240" w:lineRule="auto"/>
              <w:rPr>
                <w:noProof/>
              </w:rPr>
            </w:pPr>
            <w:r>
              <w:rPr>
                <w:noProof/>
                <w:color w:val="006100"/>
                <w:sz w:val="18"/>
              </w:rPr>
              <w:t>iv) Füüsilisest isikust ettevõtjate maksustamise reformi võimalusi käsitleva aruande lõpuleviimine.</w:t>
            </w:r>
          </w:p>
          <w:p w14:paraId="3C182AA9" w14:textId="77777777" w:rsidR="00356CBA" w:rsidRPr="00AD4052" w:rsidRDefault="00356CBA" w:rsidP="00D16F13">
            <w:pPr>
              <w:spacing w:after="0" w:line="240" w:lineRule="auto"/>
              <w:rPr>
                <w:rFonts w:eastAsia="Times New Roman" w:cs="Calibri"/>
                <w:noProof/>
                <w:color w:val="006100"/>
                <w:sz w:val="18"/>
                <w:szCs w:val="18"/>
                <w:lang w:eastAsia="en-GB"/>
              </w:rPr>
            </w:pPr>
          </w:p>
          <w:p w14:paraId="06296AD1" w14:textId="77777777" w:rsidR="00356CBA" w:rsidRPr="00AD4052" w:rsidRDefault="00356CBA" w:rsidP="00D16F13">
            <w:pPr>
              <w:spacing w:after="0" w:line="240" w:lineRule="auto"/>
              <w:rPr>
                <w:rFonts w:eastAsia="Times New Roman" w:cs="Calibri"/>
                <w:noProof/>
                <w:color w:val="006100"/>
                <w:sz w:val="18"/>
                <w:szCs w:val="18"/>
                <w:lang w:eastAsia="en-GB"/>
              </w:rPr>
            </w:pPr>
          </w:p>
        </w:tc>
      </w:tr>
      <w:tr w:rsidR="00356CBA" w:rsidRPr="003B132A" w14:paraId="4415C7F1"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0305C77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338</w:t>
            </w:r>
          </w:p>
        </w:tc>
        <w:tc>
          <w:tcPr>
            <w:tcW w:w="1835" w:type="dxa"/>
            <w:tcBorders>
              <w:top w:val="single" w:sz="4" w:space="0" w:color="auto"/>
              <w:left w:val="nil"/>
              <w:bottom w:val="single" w:sz="4" w:space="0" w:color="auto"/>
              <w:right w:val="single" w:sz="4" w:space="0" w:color="auto"/>
            </w:tcBorders>
            <w:shd w:val="clear" w:color="auto" w:fill="C6EFCE"/>
            <w:noWrap/>
          </w:tcPr>
          <w:p w14:paraId="0FC0CBF6"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16985_Kreeka maksupoliitika raamistiku muutmine</w:t>
            </w:r>
          </w:p>
        </w:tc>
        <w:tc>
          <w:tcPr>
            <w:tcW w:w="966" w:type="dxa"/>
            <w:tcBorders>
              <w:top w:val="single" w:sz="4" w:space="0" w:color="auto"/>
              <w:left w:val="nil"/>
              <w:bottom w:val="single" w:sz="4" w:space="0" w:color="auto"/>
              <w:right w:val="single" w:sz="4" w:space="0" w:color="auto"/>
            </w:tcBorders>
            <w:shd w:val="clear" w:color="auto" w:fill="C6EFCE"/>
            <w:noWrap/>
          </w:tcPr>
          <w:p w14:paraId="725D5FA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single" w:sz="4" w:space="0" w:color="auto"/>
              <w:left w:val="nil"/>
              <w:bottom w:val="single" w:sz="4" w:space="0" w:color="auto"/>
              <w:right w:val="single" w:sz="4" w:space="0" w:color="auto"/>
            </w:tcBorders>
            <w:shd w:val="clear" w:color="auto" w:fill="C6EFCE"/>
            <w:noWrap/>
          </w:tcPr>
          <w:p w14:paraId="032B7ED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Reformida füüsilisest isikust ettevõtjate maksustamist ja tempelmaksu.</w:t>
            </w:r>
          </w:p>
        </w:tc>
        <w:tc>
          <w:tcPr>
            <w:tcW w:w="2439" w:type="dxa"/>
            <w:tcBorders>
              <w:top w:val="single" w:sz="4" w:space="0" w:color="auto"/>
              <w:left w:val="nil"/>
              <w:bottom w:val="single" w:sz="4" w:space="0" w:color="auto"/>
              <w:right w:val="single" w:sz="4" w:space="0" w:color="auto"/>
            </w:tcBorders>
            <w:shd w:val="clear" w:color="auto" w:fill="C6EFCE"/>
            <w:noWrap/>
          </w:tcPr>
          <w:p w14:paraId="36AE74B2"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Füüsilisest isikust ettevõtjate maksustamise ja tempelmaksu digimaksuga asendamise kohta vastu võetud läbivaadatud õigusraamistik.</w:t>
            </w:r>
          </w:p>
        </w:tc>
        <w:tc>
          <w:tcPr>
            <w:tcW w:w="977" w:type="dxa"/>
            <w:tcBorders>
              <w:top w:val="single" w:sz="4" w:space="0" w:color="auto"/>
              <w:left w:val="nil"/>
              <w:bottom w:val="single" w:sz="4" w:space="0" w:color="auto"/>
              <w:right w:val="single" w:sz="4" w:space="0" w:color="auto"/>
            </w:tcBorders>
            <w:shd w:val="clear" w:color="auto" w:fill="C6EFCE"/>
            <w:noWrap/>
          </w:tcPr>
          <w:p w14:paraId="5DBFA209"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1BB82E28"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03CF63D1"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14:paraId="4634EDA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kv</w:t>
            </w:r>
          </w:p>
        </w:tc>
        <w:tc>
          <w:tcPr>
            <w:tcW w:w="708" w:type="dxa"/>
            <w:tcBorders>
              <w:top w:val="single" w:sz="4" w:space="0" w:color="auto"/>
              <w:left w:val="nil"/>
              <w:bottom w:val="single" w:sz="4" w:space="0" w:color="auto"/>
              <w:right w:val="single" w:sz="4" w:space="0" w:color="auto"/>
            </w:tcBorders>
            <w:shd w:val="clear" w:color="auto" w:fill="C6EFCE"/>
            <w:noWrap/>
          </w:tcPr>
          <w:p w14:paraId="778D869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2024</w:t>
            </w:r>
          </w:p>
        </w:tc>
        <w:tc>
          <w:tcPr>
            <w:tcW w:w="3213" w:type="dxa"/>
            <w:tcBorders>
              <w:top w:val="single" w:sz="4" w:space="0" w:color="auto"/>
              <w:left w:val="nil"/>
              <w:bottom w:val="single" w:sz="4" w:space="0" w:color="auto"/>
              <w:right w:val="single" w:sz="4" w:space="0" w:color="auto"/>
            </w:tcBorders>
            <w:shd w:val="clear" w:color="auto" w:fill="C6EFCE"/>
            <w:noWrap/>
          </w:tcPr>
          <w:p w14:paraId="0B70484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Jõustuvad esmased ja teisesed õigusaktid, millega reformitakse füüsilisest isikust ettevõtjate maksustamist ja võimaldatakse järk-järgult vähendada füüsilisest isikust ettevõtjate üldmaksu (τύλος επιτηδεύματος). See hõlmab uute kohustuslike aruandlusnõuete kehtestamist selle kohta, kuidas MyDATA kaudu kulusid ja tulusid deklareeritakse.</w:t>
            </w:r>
          </w:p>
          <w:p w14:paraId="6D91E9AA" w14:textId="77777777" w:rsidR="00356CBA" w:rsidRPr="00AD4052" w:rsidRDefault="00356CBA" w:rsidP="00D16F13">
            <w:pPr>
              <w:spacing w:after="0" w:line="240" w:lineRule="auto"/>
              <w:rPr>
                <w:rFonts w:eastAsia="Times New Roman" w:cs="Calibri"/>
                <w:noProof/>
                <w:color w:val="006100"/>
                <w:sz w:val="18"/>
                <w:szCs w:val="18"/>
                <w:lang w:eastAsia="en-GB"/>
              </w:rPr>
            </w:pPr>
          </w:p>
          <w:p w14:paraId="11BE141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Jõustunud on esmased ja teisesed õigusaktid, millega asendatakse kehtiv tempelmaks uue digitaalmaksuga.</w:t>
            </w:r>
          </w:p>
        </w:tc>
      </w:tr>
      <w:tr w:rsidR="00356CBA" w:rsidRPr="003B132A" w14:paraId="39897E1F"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2A43F9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339</w:t>
            </w:r>
          </w:p>
        </w:tc>
        <w:tc>
          <w:tcPr>
            <w:tcW w:w="1835" w:type="dxa"/>
            <w:tcBorders>
              <w:top w:val="single" w:sz="4" w:space="0" w:color="auto"/>
              <w:left w:val="nil"/>
              <w:bottom w:val="single" w:sz="4" w:space="0" w:color="auto"/>
              <w:right w:val="single" w:sz="4" w:space="0" w:color="auto"/>
            </w:tcBorders>
            <w:shd w:val="clear" w:color="auto" w:fill="C6EFCE"/>
            <w:noWrap/>
          </w:tcPr>
          <w:p w14:paraId="42296CC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16985_Kreeka maksupoliitika raamistiku muutmine</w:t>
            </w:r>
          </w:p>
        </w:tc>
        <w:tc>
          <w:tcPr>
            <w:tcW w:w="966" w:type="dxa"/>
            <w:tcBorders>
              <w:top w:val="single" w:sz="4" w:space="0" w:color="auto"/>
              <w:left w:val="nil"/>
              <w:bottom w:val="single" w:sz="4" w:space="0" w:color="auto"/>
              <w:right w:val="single" w:sz="4" w:space="0" w:color="auto"/>
            </w:tcBorders>
            <w:shd w:val="clear" w:color="auto" w:fill="C6EFCE"/>
            <w:noWrap/>
          </w:tcPr>
          <w:p w14:paraId="4A3F336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single" w:sz="4" w:space="0" w:color="auto"/>
              <w:left w:val="nil"/>
              <w:bottom w:val="single" w:sz="4" w:space="0" w:color="auto"/>
              <w:right w:val="single" w:sz="4" w:space="0" w:color="auto"/>
            </w:tcBorders>
            <w:shd w:val="clear" w:color="auto" w:fill="C6EFCE"/>
            <w:noWrap/>
          </w:tcPr>
          <w:p w14:paraId="75A5100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Tugevdada avaliku sektori tulude sõltumatu asutuse (IAPR) tegevusautonoomiat</w:t>
            </w:r>
          </w:p>
        </w:tc>
        <w:tc>
          <w:tcPr>
            <w:tcW w:w="2439" w:type="dxa"/>
            <w:tcBorders>
              <w:top w:val="single" w:sz="4" w:space="0" w:color="auto"/>
              <w:left w:val="nil"/>
              <w:bottom w:val="single" w:sz="4" w:space="0" w:color="auto"/>
              <w:right w:val="single" w:sz="4" w:space="0" w:color="auto"/>
            </w:tcBorders>
            <w:shd w:val="clear" w:color="auto" w:fill="C6EFCE"/>
            <w:noWrap/>
          </w:tcPr>
          <w:p w14:paraId="58659DA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Läbivaadatud õigusraamistik, et selgitada IAPRi ja digitaalse juhtimise ministeeriumi pädevusi.</w:t>
            </w:r>
          </w:p>
          <w:p w14:paraId="4D5F3032" w14:textId="77777777" w:rsidR="00356CBA" w:rsidRPr="00AD4052" w:rsidRDefault="00356CBA" w:rsidP="00D16F13">
            <w:pPr>
              <w:spacing w:after="0" w:line="240" w:lineRule="auto"/>
              <w:rPr>
                <w:rFonts w:eastAsia="Times New Roman" w:cs="Calibri"/>
                <w:noProof/>
                <w:color w:val="006100"/>
                <w:sz w:val="18"/>
                <w:szCs w:val="18"/>
                <w:lang w:eastAsia="en-GB"/>
              </w:rPr>
            </w:pPr>
          </w:p>
          <w:p w14:paraId="57C8BE0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IAPRi otsus, millega määratakse kindlaks IAPRi uued peamised tulemusnäitajad.</w:t>
            </w:r>
          </w:p>
          <w:p w14:paraId="4B2F513C" w14:textId="77777777" w:rsidR="00356CBA" w:rsidRPr="00AD4052" w:rsidRDefault="00356CBA" w:rsidP="00D16F13">
            <w:pPr>
              <w:spacing w:after="0" w:line="240" w:lineRule="auto"/>
              <w:rPr>
                <w:rFonts w:eastAsia="Times New Roman" w:cs="Calibri"/>
                <w:noProof/>
                <w:color w:val="006100"/>
                <w:sz w:val="18"/>
                <w:szCs w:val="18"/>
                <w:lang w:eastAsia="en-GB"/>
              </w:rPr>
            </w:pPr>
          </w:p>
          <w:p w14:paraId="714C4F3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Rakendusaruanne teenustaseme kokkuleppe rakendamise kohta.</w:t>
            </w:r>
          </w:p>
        </w:tc>
        <w:tc>
          <w:tcPr>
            <w:tcW w:w="977" w:type="dxa"/>
            <w:tcBorders>
              <w:top w:val="single" w:sz="4" w:space="0" w:color="auto"/>
              <w:left w:val="nil"/>
              <w:bottom w:val="single" w:sz="4" w:space="0" w:color="auto"/>
              <w:right w:val="single" w:sz="4" w:space="0" w:color="auto"/>
            </w:tcBorders>
            <w:shd w:val="clear" w:color="auto" w:fill="C6EFCE"/>
            <w:noWrap/>
          </w:tcPr>
          <w:p w14:paraId="178740A8"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3AC81A83"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29ADF73F"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14:paraId="11F2F5B2"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kv</w:t>
            </w:r>
          </w:p>
        </w:tc>
        <w:tc>
          <w:tcPr>
            <w:tcW w:w="708" w:type="dxa"/>
            <w:tcBorders>
              <w:top w:val="single" w:sz="4" w:space="0" w:color="auto"/>
              <w:left w:val="nil"/>
              <w:bottom w:val="single" w:sz="4" w:space="0" w:color="auto"/>
              <w:right w:val="single" w:sz="4" w:space="0" w:color="auto"/>
            </w:tcBorders>
            <w:shd w:val="clear" w:color="auto" w:fill="C6EFCE"/>
            <w:noWrap/>
          </w:tcPr>
          <w:p w14:paraId="30C85DE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2024</w:t>
            </w:r>
          </w:p>
        </w:tc>
        <w:tc>
          <w:tcPr>
            <w:tcW w:w="3213" w:type="dxa"/>
            <w:tcBorders>
              <w:top w:val="single" w:sz="4" w:space="0" w:color="auto"/>
              <w:left w:val="nil"/>
              <w:bottom w:val="single" w:sz="4" w:space="0" w:color="auto"/>
              <w:right w:val="single" w:sz="4" w:space="0" w:color="auto"/>
            </w:tcBorders>
            <w:shd w:val="clear" w:color="auto" w:fill="C6EFCE"/>
            <w:noWrap/>
          </w:tcPr>
          <w:p w14:paraId="11C7D95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Toetavate õigusaktide jõustumine ja ulatusliku teenustaseme kokkuleppe allkirjastamine, mis kinnitab vastutust ja vahendite jaotust IAPRi ja digijuhtimise ministeeriumi vahel seoses andmetöötlus- ja salvestustarkvara litsentside, veebiteenuste ja andmebaaside haldamisega.</w:t>
            </w:r>
          </w:p>
          <w:p w14:paraId="3AE89CD7" w14:textId="77777777" w:rsidR="00356CBA" w:rsidRPr="00AD4052" w:rsidRDefault="00356CBA" w:rsidP="00D16F13">
            <w:pPr>
              <w:spacing w:after="0" w:line="240" w:lineRule="auto"/>
              <w:rPr>
                <w:rFonts w:eastAsia="Times New Roman" w:cs="Calibri"/>
                <w:noProof/>
                <w:color w:val="006100"/>
                <w:sz w:val="18"/>
                <w:szCs w:val="18"/>
                <w:lang w:eastAsia="en-GB"/>
              </w:rPr>
            </w:pPr>
          </w:p>
          <w:p w14:paraId="08D5C89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IAPRi otsus, millega määratakse kindlaks IAPRi uued peamised tulemusnäitajad, sealhulgas auditi tõhususe kohta; ning ii) võtta kasutusele iga-aastased klientide rahulolu uuringud.</w:t>
            </w:r>
          </w:p>
          <w:p w14:paraId="0C7CEC3A" w14:textId="77777777" w:rsidR="00356CBA" w:rsidRPr="00AD4052" w:rsidRDefault="00356CBA" w:rsidP="00D16F13">
            <w:pPr>
              <w:spacing w:after="0" w:line="240" w:lineRule="auto"/>
              <w:rPr>
                <w:rFonts w:eastAsia="Times New Roman" w:cs="Calibri"/>
                <w:noProof/>
                <w:color w:val="006100"/>
                <w:sz w:val="18"/>
                <w:szCs w:val="18"/>
                <w:lang w:eastAsia="en-GB"/>
              </w:rPr>
            </w:pPr>
          </w:p>
          <w:p w14:paraId="2F7F165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IAPRi iga-aastane rakendusaruanne IAPRi ja digitaalse juhtimise ministeeriumi vahelise teenustaseme kokkuleppe rakendamise kohta.</w:t>
            </w:r>
          </w:p>
        </w:tc>
      </w:tr>
      <w:tr w:rsidR="00356CBA" w:rsidRPr="003B132A" w14:paraId="0DA09873"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6AB835A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340</w:t>
            </w:r>
          </w:p>
        </w:tc>
        <w:tc>
          <w:tcPr>
            <w:tcW w:w="1835" w:type="dxa"/>
            <w:tcBorders>
              <w:top w:val="single" w:sz="4" w:space="0" w:color="auto"/>
              <w:left w:val="nil"/>
              <w:bottom w:val="single" w:sz="4" w:space="0" w:color="auto"/>
              <w:right w:val="single" w:sz="4" w:space="0" w:color="auto"/>
            </w:tcBorders>
            <w:shd w:val="clear" w:color="auto" w:fill="C6EFCE"/>
            <w:noWrap/>
          </w:tcPr>
          <w:p w14:paraId="37EFA2C2"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12-4.1. Maksude muutmine majanduskasvu soodustavamaks ning maksuhalduse ja maksude kogumise parandamine – 16985_Kreeka maksupoliitika raamistiku muutmine</w:t>
            </w:r>
          </w:p>
        </w:tc>
        <w:tc>
          <w:tcPr>
            <w:tcW w:w="966" w:type="dxa"/>
            <w:tcBorders>
              <w:top w:val="single" w:sz="4" w:space="0" w:color="auto"/>
              <w:left w:val="nil"/>
              <w:bottom w:val="single" w:sz="4" w:space="0" w:color="auto"/>
              <w:right w:val="single" w:sz="4" w:space="0" w:color="auto"/>
            </w:tcBorders>
            <w:shd w:val="clear" w:color="auto" w:fill="C6EFCE"/>
            <w:noWrap/>
          </w:tcPr>
          <w:p w14:paraId="7F43CAC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1894" w:type="dxa"/>
            <w:tcBorders>
              <w:top w:val="single" w:sz="4" w:space="0" w:color="auto"/>
              <w:left w:val="nil"/>
              <w:bottom w:val="single" w:sz="4" w:space="0" w:color="auto"/>
              <w:right w:val="single" w:sz="4" w:space="0" w:color="auto"/>
            </w:tcBorders>
            <w:shd w:val="clear" w:color="auto" w:fill="C6EFCE"/>
            <w:noWrap/>
          </w:tcPr>
          <w:p w14:paraId="66C85B56"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Võidelda maksudest kõrvalehoidumise vastu, kasutades tulumaksuga maksustamisel MyDATAt. </w:t>
            </w:r>
          </w:p>
        </w:tc>
        <w:tc>
          <w:tcPr>
            <w:tcW w:w="2439" w:type="dxa"/>
            <w:tcBorders>
              <w:top w:val="single" w:sz="4" w:space="0" w:color="auto"/>
              <w:left w:val="nil"/>
              <w:bottom w:val="single" w:sz="4" w:space="0" w:color="auto"/>
              <w:right w:val="single" w:sz="4" w:space="0" w:color="auto"/>
            </w:tcBorders>
            <w:shd w:val="clear" w:color="auto" w:fill="C6EFCE"/>
            <w:noWrap/>
          </w:tcPr>
          <w:p w14:paraId="2F64E11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Läbivaadatud õigusraamistik võeti vastu, et kehtestada uued myDATA-aruandluse nõuded ja lubada myDATA kasutamist tulumaksuga maksustamise eesmärgil.</w:t>
            </w:r>
          </w:p>
        </w:tc>
        <w:tc>
          <w:tcPr>
            <w:tcW w:w="977" w:type="dxa"/>
            <w:tcBorders>
              <w:top w:val="single" w:sz="4" w:space="0" w:color="auto"/>
              <w:left w:val="nil"/>
              <w:bottom w:val="single" w:sz="4" w:space="0" w:color="auto"/>
              <w:right w:val="single" w:sz="4" w:space="0" w:color="auto"/>
            </w:tcBorders>
            <w:shd w:val="clear" w:color="auto" w:fill="C6EFCE"/>
            <w:noWrap/>
          </w:tcPr>
          <w:p w14:paraId="4C1AEF17"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40531BC0"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4F5C58C9"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14:paraId="24C6EE2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708" w:type="dxa"/>
            <w:tcBorders>
              <w:top w:val="single" w:sz="4" w:space="0" w:color="auto"/>
              <w:left w:val="nil"/>
              <w:bottom w:val="single" w:sz="4" w:space="0" w:color="auto"/>
              <w:right w:val="single" w:sz="4" w:space="0" w:color="auto"/>
            </w:tcBorders>
            <w:shd w:val="clear" w:color="auto" w:fill="C6EFCE"/>
            <w:noWrap/>
          </w:tcPr>
          <w:p w14:paraId="7EAB7E3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2024</w:t>
            </w:r>
          </w:p>
        </w:tc>
        <w:tc>
          <w:tcPr>
            <w:tcW w:w="3213" w:type="dxa"/>
            <w:tcBorders>
              <w:top w:val="single" w:sz="4" w:space="0" w:color="auto"/>
              <w:left w:val="nil"/>
              <w:bottom w:val="single" w:sz="4" w:space="0" w:color="auto"/>
              <w:right w:val="single" w:sz="4" w:space="0" w:color="auto"/>
            </w:tcBorders>
            <w:shd w:val="clear" w:color="auto" w:fill="C6EFCE"/>
            <w:noWrap/>
          </w:tcPr>
          <w:p w14:paraId="1417318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Esmaste ja teiseste õigusaktide jõustumine </w:t>
            </w:r>
          </w:p>
          <w:p w14:paraId="58D488A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i) võimaldatakse kasutada äriühinguid (sh füüsilisest isikust ettevõtjaid) puudutavat MyDATA-aruandlust tuludeklaratsioonide esitamiseks; ning </w:t>
            </w:r>
          </w:p>
          <w:p w14:paraId="6C8C0CE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ii) vaadata läbi maksumaksjatele mõeldud stiimulid kviitungite taotlemiseks, sealhulgas kehtestada läbipaistev, kiire ja kasutajasõbralik meetod, et maksumaksja saaks neid soodustusi, ning suurendada kodanike teadlikkust nendest stiimulitest.</w:t>
            </w:r>
          </w:p>
          <w:p w14:paraId="53D781EF" w14:textId="77777777" w:rsidR="00356CBA" w:rsidRPr="00AD4052" w:rsidRDefault="00356CBA" w:rsidP="00D16F13">
            <w:pPr>
              <w:spacing w:after="0" w:line="240" w:lineRule="auto"/>
              <w:rPr>
                <w:rFonts w:eastAsia="Times New Roman" w:cs="Calibri"/>
                <w:noProof/>
                <w:color w:val="006100"/>
                <w:sz w:val="18"/>
                <w:szCs w:val="18"/>
                <w:lang w:eastAsia="en-GB"/>
              </w:rPr>
            </w:pPr>
          </w:p>
        </w:tc>
      </w:tr>
    </w:tbl>
    <w:p w14:paraId="084D627C" w14:textId="77777777" w:rsidR="00356CBA" w:rsidRPr="00AD4052" w:rsidRDefault="00356CBA" w:rsidP="00645BC7">
      <w:pPr>
        <w:spacing w:before="120" w:after="120" w:line="240" w:lineRule="auto"/>
        <w:ind w:left="709"/>
        <w:jc w:val="both"/>
        <w:rPr>
          <w:rFonts w:ascii="Times New Roman" w:hAnsi="Times New Roman" w:cs="Times New Roman"/>
          <w:noProof/>
          <w:sz w:val="24"/>
        </w:rPr>
        <w:sectPr w:rsidR="00356CBA" w:rsidRPr="00AD4052" w:rsidSect="00271D33">
          <w:headerReference w:type="even" r:id="rId266"/>
          <w:headerReference w:type="default" r:id="rId267"/>
          <w:footerReference w:type="even" r:id="rId268"/>
          <w:footerReference w:type="default" r:id="rId269"/>
          <w:headerReference w:type="first" r:id="rId270"/>
          <w:footerReference w:type="first" r:id="rId271"/>
          <w:pgSz w:w="16839" w:h="11907" w:orient="landscape"/>
          <w:pgMar w:top="720" w:right="720" w:bottom="720" w:left="720" w:header="709" w:footer="75" w:gutter="0"/>
          <w:cols w:space="720"/>
          <w:docGrid w:linePitch="360"/>
        </w:sectPr>
      </w:pPr>
    </w:p>
    <w:p w14:paraId="1BC7EF6A" w14:textId="77777777" w:rsidR="00356CBA" w:rsidRPr="00E02B5D" w:rsidRDefault="00356CBA"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M. KOMPONENT 4.2. AJAKOHASTADA AVALIKKU HALDUST, SEALHULGAS AVALIKU SEKTORI INVESTEERINGUTE RAKENDAMISE KIIRENDAMISE, RIIGIHANKERAAMISTIKU PARANDAMISE, SUUTLIKKUSE SUURENDAMISE MEETMETE JA KORRUPTSIOONIVASTASE VÕITLUSE KAUDU</w:t>
      </w:r>
    </w:p>
    <w:p w14:paraId="60386A1B"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see komponent hõlmab nii laiaulatuslikke reforme kui ka investeeringuid avaliku halduse toimimisse, et parandada poliitika kujundamist ja rakendamist. See komponent hõlmab meetmeid avaliku halduse ajakohastamiseks konkreetsete meetmete abil, et tugevdada poliitika kavandamist ja koordineerimist ning inimressursside haldamist, samuti riikliku katastri lõpuleviimiseks, mis peaks tagama tõhusa kinnistusraamatusüsteemi ja tagama õiguskindluse omandiõiguste valdkonnas. Muude meetmete eesmärk on tegeleda avaliku sektori investeeringuteks (sealhulgas korruptsiooniks) valmistumise puudumisega tegelemine ja veelgi tõhustada avaliku sektori finantsjuhtimise valdkonda. Need reformid ja investeeringud toetavad selliste probleemide lahendamist, mis on seotud digitaalse avaliku haldusega. Selle komponendiga toetatakse avaliku ja erasektori investeeringuid käsitlevate riigipõhiste soovituste (riigipõhine soovitus 3 2020) ja majanduse toimimist parandavate struktuurireformide (riigipõhine soovitus 4 2020) täitmist ning katastrireformi lõpuleviimist, mida on jätkatud tõhustatud järelevalve raames (2022. aasta riigipõhine soovitus nr 3 ja 2023. aasta riigipõhine soovitus nr 3).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6F4B7B47" w14:textId="77777777" w:rsidR="00356CBA" w:rsidRPr="00E02B5D" w:rsidRDefault="00356CBA" w:rsidP="00645BC7">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M.1. </w:t>
      </w:r>
      <w:r>
        <w:rPr>
          <w:noProof/>
        </w:rPr>
        <w:tab/>
      </w:r>
      <w:r>
        <w:rPr>
          <w:rFonts w:ascii="Times New Roman" w:hAnsi="Times New Roman"/>
          <w:b/>
          <w:noProof/>
          <w:sz w:val="24"/>
          <w:u w:val="single"/>
        </w:rPr>
        <w:t>Tagastamatu rahalise toetusega seotud reformide ja investeeringute kirjeldus</w:t>
      </w:r>
    </w:p>
    <w:p w14:paraId="3DC53B18"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Avaliku halduse reformimine (meetme ID 16972)</w:t>
      </w:r>
    </w:p>
    <w:p w14:paraId="5278DB90"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jätkata jõupingutusi avaliku halduse ajakohastamiseks ja selle inimressurssidesse investeerimiseks, rakendades järgmisi meetmeid:</w:t>
      </w:r>
    </w:p>
    <w:p w14:paraId="018C06F9" w14:textId="77777777" w:rsidR="00356CBA" w:rsidRPr="00E02B5D" w:rsidRDefault="00356CBA" w:rsidP="00DE1EE5">
      <w:pPr>
        <w:numPr>
          <w:ilvl w:val="0"/>
          <w:numId w:val="5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muudetud õigusraamistiku jõustumine, et ühtlustada ülesannete jaotust kesk-, piirkondliku ja kohaliku tasandi ning vastavate juhtimisraamistike vahel; </w:t>
      </w:r>
    </w:p>
    <w:p w14:paraId="73F421E5" w14:textId="77777777" w:rsidR="00356CBA" w:rsidRPr="00E02B5D" w:rsidRDefault="00356CBA" w:rsidP="00DE1EE5">
      <w:pPr>
        <w:numPr>
          <w:ilvl w:val="0"/>
          <w:numId w:val="5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luua tehisintellektil põhinev strateegiline tööjõu planeerimise raamistik; </w:t>
      </w:r>
    </w:p>
    <w:p w14:paraId="77C54B2B" w14:textId="77777777" w:rsidR="00356CBA" w:rsidRPr="00E02B5D" w:rsidRDefault="00356CBA" w:rsidP="00DE1EE5">
      <w:pPr>
        <w:numPr>
          <w:ilvl w:val="0"/>
          <w:numId w:val="5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kaasajastada värbamismenetlusi ajakohastatud seaduse (seadus 4765/2021) alusel, mis võimaldab riigiteenistujate valiku nõukogul (ASEP) viia valikumenetlusi läbi täielikult digitaliseeritud viisil;</w:t>
      </w:r>
    </w:p>
    <w:p w14:paraId="66E1BB76" w14:textId="77777777" w:rsidR="00356CBA" w:rsidRPr="00E02B5D" w:rsidRDefault="00356CBA" w:rsidP="00DE1EE5">
      <w:pPr>
        <w:numPr>
          <w:ilvl w:val="0"/>
          <w:numId w:val="5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Avaliku halduse oskuste täiendamine/ümberõpe vähemalt 250 000 osalejaga riigiteenistujate koolituse läbimise kaudu; </w:t>
      </w:r>
    </w:p>
    <w:p w14:paraId="7CE18E08" w14:textId="77777777" w:rsidR="00356CBA" w:rsidRPr="00E02B5D" w:rsidRDefault="00356CBA" w:rsidP="00DE1EE5">
      <w:pPr>
        <w:numPr>
          <w:ilvl w:val="0"/>
          <w:numId w:val="5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võtta kasutusele riigiteenistujate preemiasüsteem, mis on seotud eesmärkide seadmise juhtimissüsteemiga, mis on täielikult kooskõlas ühtse palgaastmestikuga (seadus 4354/2015), ilma erandit kehtestamata. Kuni 6 000 riigiteenistujale suunatud katseskeemi tulemused aitavad kaasa suuremale uuringule, et anda juhiseid 31. detsembriks 2023 kehtestatud preemiasüsteemi loomiseks.</w:t>
      </w:r>
    </w:p>
    <w:p w14:paraId="7412C5E2"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rakendamine viiakse lõpule 31. detsembriks 2025.</w:t>
      </w:r>
    </w:p>
    <w:p w14:paraId="0F3E6E68"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Võitlus ebaseadusliku kaubanduse vastu ja intellektuaalomandi kaitse (meetme ID 16703)</w:t>
      </w:r>
    </w:p>
    <w:p w14:paraId="691E56A2"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tugevdada võitlust ebaseadusliku kaubanduse vastu, tugevdades asutustevahelist turukorraldusüksust (DIMEA) töötajate koolitamise, asjakohaste IT-süsteemide ja seadmetega. Reformi rakendamine viiakse lõpule 31. detsembriks 2025.</w:t>
      </w:r>
    </w:p>
    <w:p w14:paraId="4BEE704C"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Riikliku korruptsioonivastase raamistiku tugevdamine (meetme ID 16952)</w:t>
      </w:r>
    </w:p>
    <w:p w14:paraId="1556FF95" w14:textId="66A908D3"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avastada ja ennetada korruptsiooni ning see koosneb järgmistest riikliku läbipaistvusasutuse rakendatavatest meetmetest: i) tugevdada auditiraamistikku pettuste ja korruptsiooni avastamiseks; ii) regulatiivsed sekkumised peamistes poliitikavaldkondades, nimelt rikkumisest teatajate kaitse, lobitöö ja huvide konfliktid; iii) sisekontrollisüsteemi tugevdamine ja riikliku eetikanõustajate võrgustiku loomine avalikus halduses; iv)</w:t>
      </w:r>
      <w:r w:rsidR="00C23759">
        <w:rPr>
          <w:rFonts w:ascii="Times New Roman" w:hAnsi="Times New Roman"/>
          <w:noProof/>
          <w:sz w:val="24"/>
        </w:rPr>
        <w:t> </w:t>
      </w:r>
      <w:r>
        <w:rPr>
          <w:rFonts w:ascii="Times New Roman" w:hAnsi="Times New Roman"/>
          <w:noProof/>
          <w:sz w:val="24"/>
        </w:rPr>
        <w:t>eetikakoodeksite väljatöötamine ning distsiplinaarmenetluste läbivaatamine; v) algatused pettuste ja korruptsiooni vastase teadlikkuse tõstmiseks; vi) riikliku korruptsioonivastase tegevuskava (aastateks 2022–2025) vastuvõtmine; ning vii) ameti digi- ja taristusuutlikkuse rahastamise projektid. Reformi rakendamine viiakse lõpule 31. detsembriks 2025.</w:t>
      </w:r>
    </w:p>
    <w:p w14:paraId="4597C727"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Riigiabi võrgustiku tõhustamine (meetme ID 16701)</w:t>
      </w:r>
    </w:p>
    <w:p w14:paraId="6ABFFCB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Selle reformiga vaadatakse läbi Kreeka riigiabi õigusraamistik ja tugevdatakse ministeeriumide riigiabi üksuste võrgustiku suutlikkust, eelkõige riigiabi keskse IT-süsteemi ajakohastamise kaudu, millega luuakse digitaalne riigiabijuhtumite andmebaas, intraneti sideplatvorm ja andmeanalüüsi vahendid. Reformi rakendamine viiakse lõpule 31. detsembriks 2024.</w:t>
      </w:r>
    </w:p>
    <w:p w14:paraId="624E87EA"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Rahapesu ja terrorismi rahastamise tõkestamise raamistiku tõhustamine (meetme ID 16702)</w:t>
      </w:r>
    </w:p>
    <w:p w14:paraId="79C105E1"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käigus rakendatakse finantskuritegevuse tõkestamise kontekstis kohaldatavaid õigusakte, mis on seotud rahapesu ja terrorismi rahastamise vastase võitlusega. See hõlmab digitaalse platvormi loomist kohtu-, järelevalve- ja õiguskaitseasutuste valduses olevate statistiliste andmete kogumiseks ning tegelikult kasu saavaid omanikke käsitleva teabe registreerimise eriregistri täiustamist. Reformi rakendamine viiakse lõpule 30. juuni 2024.</w:t>
      </w:r>
    </w:p>
    <w:p w14:paraId="7D0B7BD3"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Raamatupidamisreform (meetme ID 16974)</w:t>
      </w:r>
    </w:p>
    <w:p w14:paraId="3C9A4DDB"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Reformiga rakendatakse järk-järgulist üleminekut muudetud kassapõhiselt raamatupidamisarvestuselt tekkepõhisele raamatupidamisarvestusele ja konsolideeritud finantsaruandlusele valitsemissektoris. See hõlmab tekkepõhise raamatupidamisarvestuse põhimõtete vastuvõtmist, asjaomaste töötajate koolitamist ning valitsuse ettevõtte ressursiplaneerimise (GOV-ERP) kavandamist ja kasutuselevõtmist. Uue IT-süsteemi eesmärk on praeguse fiskaalpoliitika integreeritud infosüsteemi (OPSDP) laiendamine ja tehnoloogiline ajakohastamine, et rahuldada riigi rahanduse juhtimise vajadusi keskhalduses. Tulemuseks on uus integreeritud finantsjuhtimise infosüsteem (GOV-ERP). Reformi rakendamine viiakse lõpule 31. detsembriks 2025.</w:t>
      </w:r>
    </w:p>
    <w:p w14:paraId="06A99C4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Riigi omanduses olevate ettevõtete tänapäevane institutsiooniline raamistik (meetme ID 16657)</w:t>
      </w:r>
    </w:p>
    <w:p w14:paraId="33DE3CB2"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Reformiga kehtestatakse avalik-õiguslike ettevõtete ja organisatsioonide tegevuse ja juhtimise tänapäevane õigusraamistik. Selles määratakse kindlaks äriühingu üldjuhtimise suunised ja riigiettevõtete juhtimise erieeskirjad, näiteks esimehe, tegevjuhtide ja tegevdirektorite ametisse nimetamine juhatuse poolt, ning sätted siseauditi komiteede loomise kohta, et tagada läbipaistvus. Reformiga luuakse ka digitaalne register, kuhu kantakse kõik ettevõtted, organisatsioonid ja muud juriidilised isikud, milles riik osaleb, edendades riigi osaluse tõhusat jälgimist ja kontrolli. Reformi rakendamine viiakse lõpule 31. detsembriks 2022.</w:t>
      </w:r>
    </w:p>
    <w:p w14:paraId="6FCB42C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Tõhus korruptsioonivastane võitlus (meetme ID 16978)</w:t>
      </w:r>
    </w:p>
    <w:p w14:paraId="63CD4BB1" w14:textId="76345FB6"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Reformiga viiakse läbi rida muudatusi Kreeka õigusraamistikus, et parandada õiguslikku reageerimist korruptsioonile. Täpsemalt hõlmab see nelja valdkonda: i) varadeklaratsioonid; ii)</w:t>
      </w:r>
      <w:r w:rsidR="00C23759">
        <w:rPr>
          <w:rFonts w:ascii="Times New Roman" w:hAnsi="Times New Roman"/>
          <w:noProof/>
          <w:sz w:val="24"/>
        </w:rPr>
        <w:t> </w:t>
      </w:r>
      <w:r>
        <w:rPr>
          <w:rFonts w:ascii="Times New Roman" w:hAnsi="Times New Roman"/>
          <w:noProof/>
          <w:sz w:val="24"/>
        </w:rPr>
        <w:t>liidu õiguse rikkumisest teatavate isikute kaitse; iii) kriminaalseadustik ja kriminaalmenetluse seadustik; ning iv) erakondi käsitlevate õigusaktide kodifitseerimine. Reformi rakendamine viiakse lõpule 30. september 2022.</w:t>
      </w:r>
    </w:p>
    <w:p w14:paraId="55DDB41E"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Eelarvehalduse ja -järelevalve ümberkujundamine juhtimises; elektrooniline arvepidamine (meetme ID 16705)</w:t>
      </w:r>
    </w:p>
    <w:p w14:paraId="3553D58A" w14:textId="4D829EFC"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Investeeringuga parandatakse avaliku sektori finantsjuhtimise tõhusust, a) luues keskvalitsuse jaoks ajakohase ja täielikult toimiva riigiettevõtete ressursiplaneerimise süsteemi (ERP); b)</w:t>
      </w:r>
      <w:r w:rsidR="00C23759">
        <w:rPr>
          <w:rFonts w:ascii="Times New Roman" w:hAnsi="Times New Roman"/>
          <w:noProof/>
          <w:sz w:val="24"/>
        </w:rPr>
        <w:t> </w:t>
      </w:r>
      <w:r>
        <w:rPr>
          <w:rFonts w:ascii="Times New Roman" w:hAnsi="Times New Roman"/>
          <w:noProof/>
          <w:sz w:val="24"/>
        </w:rPr>
        <w:t>laiendades valitsemissektori üksuste jaoks ERP süsteemide toimimist, c) kiirendades e-arvete kasutuselevõttu lepingu sõlmimisele järgnevates riigihankemenetlustes. Investeeringu rakendamine viiakse lõpule 31. detsembriks 2025.</w:t>
      </w:r>
    </w:p>
    <w:p w14:paraId="6C33E586"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Kreeka saadetiste hoiu- ja laenufondi ajakohastamine (meetme ID 16940)</w:t>
      </w:r>
    </w:p>
    <w:p w14:paraId="1DF93015"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Investeeringuga suurendatakse Kreeka saadetiste hoiu- ja laenufondi (CDLF) tegevuse tõhusust, suurendades selle digitaalset suutlikkust, eelkõige järgmiste allprojektide lõpuleviimise kaudu: i) laenude ning nendega seotud toimikute ja arhiivide digiteerimine ning nende lisamine uude dokumendihaldussüsteemi; ii) integreeritud infosüsteemi (IIS) rakendamine, iii) ettevõtte ressursiplaneerimise infosüsteemi (ERP) tarnimine; iv) hallatud trükiteenuste osutamine; ning v) personalijuhtimise süsteem. Reformi rakendamine viiakse lõpule 30. juuni 2025.</w:t>
      </w:r>
    </w:p>
    <w:p w14:paraId="7BB64667"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Riigihangete valdkonna professionaalsemaks muutmine (meetme ID 16711)</w:t>
      </w:r>
    </w:p>
    <w:p w14:paraId="1AB7E724" w14:textId="77777777" w:rsidR="00356CBA" w:rsidRPr="00E02B5D" w:rsidRDefault="00356CB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eesmärk on parandada Kreeka riigihangete raamistikku ja toetada praeguste puuduste kõrvaldamist. Reform hõlmab riikliku riigihangete strateegia 2021–2025 kõigi nelja samba rakendamist: i) riigihangete õigusraamistiku reform, sealhulgas teiseste õigusaktide jõustumine, et täielikult rakendada uut riigihangete õigusraamistikku, meetmed õigusraamistiku edasiseks lihtsustamiseks ja parandamiseks ning riigihangete süsteemi tõhusa rakendamise ja vastupidavuse tagamiseks; ii) riigihangete valdkonna digiüleminek ja täielikult elektroonilised e-riigihanked k, sealhulgas infosüsteemide hindamine ja ümberkujundamine, andmeanalüüs ning avaliku ja erasektori koostoime (toetatakse meetme „16736 Uued riigihangete süsteemid“ meetmetega); iii) laiemad strateegilised eesmärgid ja poliitilised algatused, nagu keskkonnahoidlikud hanked, Procure2Innovate, taristu ajakohastamine, VKEde juurdepääs hangetele, hanked kui võimendav vahend, ressursside tõhus kasutamine ja sotsiaalsed hanked); iv) riigihangete juhtimisraamistik (järelevalve, rakendamise järelevalve, auditeerimine ja riigihangetega seotud töötajate professionaalsemaks muutmine;</w:t>
      </w:r>
    </w:p>
    <w:p w14:paraId="1F9A96D3" w14:textId="0898EDE1" w:rsidR="00892295" w:rsidRDefault="00356CBA" w:rsidP="00892295">
      <w:pPr>
        <w:spacing w:before="120" w:after="120" w:line="240" w:lineRule="auto"/>
        <w:jc w:val="both"/>
        <w:rPr>
          <w:rFonts w:ascii="Times New Roman" w:hAnsi="Times New Roman"/>
          <w:noProof/>
          <w:sz w:val="24"/>
        </w:rPr>
      </w:pPr>
      <w:r>
        <w:rPr>
          <w:rFonts w:ascii="Times New Roman" w:hAnsi="Times New Roman"/>
          <w:noProof/>
          <w:sz w:val="24"/>
        </w:rPr>
        <w:t xml:space="preserve">Seda toetab veelgi riigihangetega seotud riigiteenistujate koolitamine ja juhendamine, nende spetsialistide sertifitseerimismenetluste vastuvõtmine, erinevate ametialaste töösuundade loomine ja stiimulite paketi vastuvõtmine, selliste töötajate kvalifikatsioonid/karjäär; </w:t>
      </w:r>
      <w:r>
        <w:rPr>
          <w:rFonts w:ascii="Times New Roman" w:hAnsi="Times New Roman"/>
          <w:noProof/>
          <w:sz w:val="24"/>
        </w:rPr>
        <w:br w:type="page"/>
      </w:r>
    </w:p>
    <w:p w14:paraId="1C2AFE29" w14:textId="324BC392" w:rsidR="00356CBA" w:rsidRPr="00E02B5D" w:rsidRDefault="00356CB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ning viia lõpule põhjalik uuring tsentraliseeritud hankemenetlusi läbi viivate avaliku sektori hankijate struktuuride ja kohustuste ümberkorraldamise kohta. Stimuleerimiskava peab olema täielikus kooskõlas ühtse palgasüsteemiga (seadus nr 4354/2015) ilma erandit kehtestamata.</w:t>
      </w:r>
    </w:p>
    <w:p w14:paraId="38653992"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rakendamine viiakse lõpule 31. detsembriks 2025.</w:t>
      </w:r>
    </w:p>
    <w:p w14:paraId="7749792E"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Poliitika kavandamise ja koordineerimise tõhustamine (meetme ID 16981)</w:t>
      </w:r>
    </w:p>
    <w:p w14:paraId="58BAD651"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Reformiga tugevdatakse keskvalitsuse poliitika koordineerimist, kavandamist ja arendamist. Rakendatavad erimeetmed on i) järelevalvemehhanismi loomine, et jälgida edusamme teiseste õigusaktide vastuvõtmisel esmaste õigusaktide kohaselt; ii) elektroonilise platvormi loomine, et hõlbustada iga seaduseelnõu täiendava mõjuhinnangu koostamist; ning iii) riigiteenistujatele suunatud koolitusprogrammi ja sellega seotud akrediteerimismenetluse käivitamine, mille eesmärk on parandada koostatud mõjuhinnangute kvaliteeti. Koolitusprogrammi käivitamiseks peab olema kantud vähemalt 100 riigiteenistujat, mis toimub 2022. aasta neljandas kvartalis. Reformi rakendamine viiakse lõpule 30. juuniks 2023.</w:t>
      </w:r>
    </w:p>
    <w:p w14:paraId="12BCBDF7"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 Riikliku katastri täitmine (meetme ID: 16986)</w:t>
      </w:r>
    </w:p>
    <w:p w14:paraId="6DD06CB7" w14:textId="77777777" w:rsidR="00356CBA" w:rsidRPr="00E02B5D" w:rsidRDefault="00356CB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Reformiga viiakse lõpule riiklik kataster, et parandada Kreeka ettevõtluskeskkonda, suurendades kinnisvaratehingute tõhusust ja õiguskindlust seoses omandiõigusega. 2023. aasta oktoobri seisuga on Kreekas kaardistatud 79 % omandiõigustest. Täpsemalt viiakse reformiga lõpule katastriüksuste kaardistamine kogu Kreekas, nimelt üles laadides üles kogumisel või töötlemisel olevad omandiõigused. Lisaks toob reform kaasa täieliku ülemineku vanalt kinnisvara registreerimiselt hüpoteegibüroode vana struktuuri kaudu uuele asutusele „Hellenic Cadastre“. 2023. aasta oktoobri seisuga on avatud ja toimivad 14 piirkondlikku katastriametit. Reformiga avatakse ja muudetakse toimivaks kõik 17 piirkondlikku katastriametit Kreekas ning luuakse täielikult toimiv filiaalide süsteem kooskõlas seadusega nr 4512/2018 kogu Kreeka territooriumil. Reformi rakendamine viiakse lõpule 30. juuni 2025.</w:t>
      </w:r>
    </w:p>
    <w:p w14:paraId="6FE7AD53" w14:textId="77777777" w:rsidR="00356CBA" w:rsidRPr="00AD4052" w:rsidRDefault="00356CBA" w:rsidP="00645BC7">
      <w:pPr>
        <w:spacing w:before="120" w:after="120" w:line="240" w:lineRule="auto"/>
        <w:ind w:left="709"/>
        <w:jc w:val="both"/>
        <w:rPr>
          <w:rFonts w:ascii="Times New Roman" w:hAnsi="Times New Roman" w:cs="Times New Roman"/>
          <w:i/>
          <w:iCs/>
          <w:noProof/>
          <w:color w:val="4F81BD"/>
          <w:sz w:val="24"/>
        </w:rPr>
      </w:pPr>
    </w:p>
    <w:p w14:paraId="25F14B4E" w14:textId="77777777" w:rsidR="00356CBA" w:rsidRPr="00AD4052" w:rsidRDefault="00356CBA" w:rsidP="00645BC7">
      <w:pPr>
        <w:spacing w:before="120" w:after="120" w:line="240" w:lineRule="auto"/>
        <w:ind w:left="709"/>
        <w:jc w:val="both"/>
        <w:rPr>
          <w:rFonts w:ascii="Times New Roman" w:hAnsi="Times New Roman" w:cs="Times New Roman"/>
          <w:noProof/>
          <w:sz w:val="24"/>
        </w:rPr>
      </w:pPr>
    </w:p>
    <w:p w14:paraId="34E2B672" w14:textId="77777777" w:rsidR="00356CBA" w:rsidRPr="00AD4052" w:rsidRDefault="00356CBA" w:rsidP="00645BC7">
      <w:pPr>
        <w:spacing w:before="120" w:after="120" w:line="240" w:lineRule="auto"/>
        <w:ind w:left="709"/>
        <w:jc w:val="both"/>
        <w:rPr>
          <w:rFonts w:ascii="Times New Roman" w:hAnsi="Times New Roman" w:cs="Times New Roman"/>
          <w:noProof/>
          <w:sz w:val="24"/>
        </w:rPr>
        <w:sectPr w:rsidR="00356CBA" w:rsidRPr="00AD4052" w:rsidSect="00271D33">
          <w:headerReference w:type="even" r:id="rId272"/>
          <w:headerReference w:type="default" r:id="rId273"/>
          <w:footerReference w:type="even" r:id="rId274"/>
          <w:footerReference w:type="default" r:id="rId275"/>
          <w:headerReference w:type="first" r:id="rId276"/>
          <w:footerReference w:type="first" r:id="rId277"/>
          <w:pgSz w:w="11907" w:h="16839"/>
          <w:pgMar w:top="1134" w:right="1417" w:bottom="1134" w:left="1417" w:header="709" w:footer="709" w:gutter="0"/>
          <w:cols w:space="720"/>
          <w:docGrid w:linePitch="360"/>
        </w:sectPr>
      </w:pPr>
    </w:p>
    <w:p w14:paraId="787DF559" w14:textId="77777777" w:rsidR="00356CBA" w:rsidRPr="00E02B5D" w:rsidRDefault="00356CBA" w:rsidP="00645BC7">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M.2. </w:t>
      </w:r>
      <w:r>
        <w:rPr>
          <w:noProof/>
        </w:rPr>
        <w:tab/>
      </w:r>
      <w:r>
        <w:rPr>
          <w:rFonts w:ascii="Times New Roman" w:hAnsi="Times New Roman"/>
          <w:b/>
          <w:noProof/>
          <w:sz w:val="24"/>
          <w:u w:val="single"/>
        </w:rPr>
        <w:t>Tagastamatu rahalise toetuse eesmärgid, sihid, näitajad ning seire ja rakendamise ajakava</w:t>
      </w:r>
    </w:p>
    <w:p w14:paraId="133A518B" w14:textId="77777777" w:rsidR="00356CBA" w:rsidRPr="00AD4052" w:rsidRDefault="00356CBA" w:rsidP="00584C80">
      <w:pPr>
        <w:rPr>
          <w:noProof/>
        </w:rPr>
      </w:pPr>
    </w:p>
    <w:p w14:paraId="3F56FEDD" w14:textId="77777777" w:rsidR="00356CBA" w:rsidRDefault="00356CBA" w:rsidP="00645BC7">
      <w:pPr>
        <w:keepNext/>
        <w:keepLines/>
        <w:spacing w:before="40" w:after="0" w:line="240" w:lineRule="auto"/>
        <w:jc w:val="both"/>
        <w:outlineLvl w:val="4"/>
        <w:rPr>
          <w:rFonts w:ascii="Cambria" w:hAnsi="Cambria"/>
          <w:noProof/>
          <w:color w:val="365F91"/>
          <w:sz w:val="24"/>
        </w:rPr>
      </w:pPr>
      <w:r>
        <w:rPr>
          <w:rFonts w:ascii="Cambria" w:hAnsi="Cambria"/>
          <w:noProof/>
          <w:color w:val="365F91"/>
          <w:sz w:val="24"/>
        </w:rPr>
        <w:t xml:space="preserve">Põhireform 9: Avaliku halduse reformimine </w:t>
      </w:r>
    </w:p>
    <w:p w14:paraId="077C3510" w14:textId="77777777" w:rsidR="00C63536" w:rsidRPr="00E02B5D" w:rsidRDefault="00C63536" w:rsidP="00645BC7">
      <w:pPr>
        <w:keepNext/>
        <w:keepLines/>
        <w:spacing w:before="40" w:after="0" w:line="240" w:lineRule="auto"/>
        <w:jc w:val="both"/>
        <w:outlineLvl w:val="4"/>
        <w:rPr>
          <w:rFonts w:ascii="Cambria" w:eastAsia="Times New Roman" w:hAnsi="Cambria"/>
          <w:noProof/>
          <w:color w:val="365F91"/>
          <w:sz w:val="24"/>
          <w:lang w:val="en-GB"/>
        </w:rPr>
      </w:pPr>
    </w:p>
    <w:tbl>
      <w:tblPr>
        <w:tblW w:w="16438" w:type="dxa"/>
        <w:jc w:val="center"/>
        <w:tblLook w:val="04A0" w:firstRow="1" w:lastRow="0" w:firstColumn="1" w:lastColumn="0" w:noHBand="0" w:noVBand="1"/>
      </w:tblPr>
      <w:tblGrid>
        <w:gridCol w:w="1116"/>
        <w:gridCol w:w="1750"/>
        <w:gridCol w:w="966"/>
        <w:gridCol w:w="2008"/>
        <w:gridCol w:w="1810"/>
        <w:gridCol w:w="1623"/>
        <w:gridCol w:w="966"/>
        <w:gridCol w:w="906"/>
        <w:gridCol w:w="846"/>
        <w:gridCol w:w="827"/>
        <w:gridCol w:w="3620"/>
      </w:tblGrid>
      <w:tr w:rsidR="007B4D63" w:rsidRPr="003B132A" w14:paraId="0E7454FB" w14:textId="77777777" w:rsidTr="00C23759">
        <w:trPr>
          <w:trHeight w:val="648"/>
          <w:tblHeade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0C52F2" w14:textId="2719FED1"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C23759">
              <w:rPr>
                <w:rFonts w:ascii="Times New Roman" w:hAnsi="Times New Roman"/>
                <w:b/>
                <w:noProof/>
                <w:sz w:val="18"/>
              </w:rPr>
              <w:t>-</w:t>
            </w:r>
            <w:r>
              <w:rPr>
                <w:rFonts w:ascii="Times New Roman" w:hAnsi="Times New Roman"/>
                <w:b/>
                <w:noProof/>
                <w:sz w:val="18"/>
              </w:rPr>
              <w:t>number</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D6E73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7189B1"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2008" w:type="dxa"/>
            <w:vMerge w:val="restart"/>
            <w:tcBorders>
              <w:top w:val="single" w:sz="4" w:space="0" w:color="auto"/>
              <w:left w:val="nil"/>
              <w:bottom w:val="single" w:sz="4" w:space="0" w:color="auto"/>
              <w:right w:val="single" w:sz="4" w:space="0" w:color="auto"/>
            </w:tcBorders>
            <w:shd w:val="clear" w:color="auto" w:fill="BDD7EE"/>
            <w:vAlign w:val="center"/>
            <w:hideMark/>
          </w:tcPr>
          <w:p w14:paraId="6BBC1B2C"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6B58F4"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Kvalitatiivsed näitajad </w:t>
            </w:r>
            <w:r>
              <w:rPr>
                <w:rFonts w:ascii="Times New Roman" w:hAnsi="Times New Roman"/>
                <w:noProof/>
              </w:rPr>
              <w:t xml:space="preserve"> </w:t>
            </w:r>
            <w:r>
              <w:rPr>
                <w:rFonts w:ascii="Times New Roman" w:hAnsi="Times New Roman"/>
                <w:b/>
                <w:noProof/>
                <w:sz w:val="18"/>
              </w:rPr>
              <w:t>(eesmärkide puhul)</w:t>
            </w:r>
          </w:p>
        </w:tc>
        <w:tc>
          <w:tcPr>
            <w:tcW w:w="3495" w:type="dxa"/>
            <w:gridSpan w:val="3"/>
            <w:tcBorders>
              <w:top w:val="single" w:sz="4" w:space="0" w:color="auto"/>
              <w:left w:val="nil"/>
              <w:bottom w:val="single" w:sz="4" w:space="0" w:color="auto"/>
              <w:right w:val="single" w:sz="4" w:space="0" w:color="auto"/>
            </w:tcBorders>
            <w:shd w:val="clear" w:color="auto" w:fill="BDD7EE"/>
            <w:vAlign w:val="center"/>
            <w:hideMark/>
          </w:tcPr>
          <w:p w14:paraId="734046C1"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Kvantitatiivsed näitajad </w:t>
            </w:r>
            <w:r>
              <w:rPr>
                <w:rFonts w:ascii="Times New Roman" w:hAnsi="Times New Roman"/>
                <w:noProof/>
              </w:rPr>
              <w:t xml:space="preserve"> </w:t>
            </w:r>
            <w:r>
              <w:rPr>
                <w:rFonts w:ascii="Times New Roman" w:hAnsi="Times New Roman"/>
                <w:b/>
                <w:noProof/>
                <w:sz w:val="18"/>
              </w:rPr>
              <w:t>(sihtide puhul)</w:t>
            </w:r>
          </w:p>
        </w:tc>
        <w:tc>
          <w:tcPr>
            <w:tcW w:w="1673" w:type="dxa"/>
            <w:gridSpan w:val="2"/>
            <w:tcBorders>
              <w:top w:val="single" w:sz="4" w:space="0" w:color="auto"/>
              <w:left w:val="nil"/>
              <w:bottom w:val="single" w:sz="4" w:space="0" w:color="auto"/>
              <w:right w:val="single" w:sz="4" w:space="0" w:color="auto"/>
            </w:tcBorders>
            <w:shd w:val="clear" w:color="auto" w:fill="BDD7EE"/>
            <w:vAlign w:val="center"/>
            <w:hideMark/>
          </w:tcPr>
          <w:p w14:paraId="03E74A36"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16A2E7"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1E25DE45" w14:textId="77777777" w:rsidTr="00C23759">
        <w:trPr>
          <w:trHeight w:val="562"/>
          <w:tblHeader/>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1FECEB97"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5F16C17E"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0709DD1D"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207448F3"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14:paraId="281F5A96"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62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5E2EAD5"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tcBorders>
              <w:top w:val="nil"/>
              <w:left w:val="nil"/>
              <w:bottom w:val="single" w:sz="4" w:space="0" w:color="auto"/>
              <w:right w:val="single" w:sz="4" w:space="0" w:color="auto"/>
            </w:tcBorders>
            <w:shd w:val="clear" w:color="auto" w:fill="BDD7EE"/>
            <w:vAlign w:val="center"/>
            <w:hideMark/>
          </w:tcPr>
          <w:p w14:paraId="7D57CC03"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tcBorders>
              <w:top w:val="nil"/>
              <w:left w:val="nil"/>
              <w:bottom w:val="single" w:sz="4" w:space="0" w:color="auto"/>
              <w:right w:val="single" w:sz="4" w:space="0" w:color="auto"/>
            </w:tcBorders>
            <w:shd w:val="clear" w:color="auto" w:fill="BDD7EE"/>
            <w:vAlign w:val="center"/>
            <w:hideMark/>
          </w:tcPr>
          <w:p w14:paraId="2C3A78BE"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46" w:type="dxa"/>
            <w:tcBorders>
              <w:top w:val="nil"/>
              <w:left w:val="nil"/>
              <w:bottom w:val="single" w:sz="4" w:space="0" w:color="auto"/>
              <w:right w:val="single" w:sz="4" w:space="0" w:color="auto"/>
            </w:tcBorders>
            <w:shd w:val="clear" w:color="auto" w:fill="BDD7EE"/>
            <w:vAlign w:val="center"/>
            <w:hideMark/>
          </w:tcPr>
          <w:p w14:paraId="5A36C8FE"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827" w:type="dxa"/>
            <w:tcBorders>
              <w:top w:val="nil"/>
              <w:left w:val="nil"/>
              <w:bottom w:val="single" w:sz="4" w:space="0" w:color="auto"/>
              <w:right w:val="single" w:sz="4" w:space="0" w:color="auto"/>
            </w:tcBorders>
            <w:shd w:val="clear" w:color="auto" w:fill="BDD7EE"/>
            <w:vAlign w:val="center"/>
            <w:hideMark/>
          </w:tcPr>
          <w:p w14:paraId="02C9AC6B"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620" w:type="dxa"/>
            <w:vMerge/>
            <w:tcBorders>
              <w:top w:val="single" w:sz="4" w:space="0" w:color="auto"/>
              <w:bottom w:val="single" w:sz="4" w:space="0" w:color="auto"/>
              <w:right w:val="single" w:sz="4" w:space="0" w:color="auto"/>
            </w:tcBorders>
            <w:vAlign w:val="center"/>
            <w:hideMark/>
          </w:tcPr>
          <w:p w14:paraId="0DE826D1"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5BEFEF1E" w14:textId="77777777" w:rsidTr="00C23759">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DCCCC5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205</w:t>
            </w:r>
          </w:p>
        </w:tc>
        <w:tc>
          <w:tcPr>
            <w:tcW w:w="1750" w:type="dxa"/>
            <w:tcBorders>
              <w:top w:val="single" w:sz="4" w:space="0" w:color="auto"/>
              <w:left w:val="nil"/>
              <w:bottom w:val="single" w:sz="4" w:space="0" w:color="auto"/>
              <w:right w:val="single" w:sz="4" w:space="0" w:color="auto"/>
            </w:tcBorders>
            <w:shd w:val="clear" w:color="auto" w:fill="C6EFCE"/>
            <w:noWrap/>
          </w:tcPr>
          <w:p w14:paraId="24C8063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16972_Avaliku halduse reformimine</w:t>
            </w:r>
          </w:p>
        </w:tc>
        <w:tc>
          <w:tcPr>
            <w:tcW w:w="966" w:type="dxa"/>
            <w:tcBorders>
              <w:top w:val="single" w:sz="4" w:space="0" w:color="auto"/>
              <w:left w:val="nil"/>
              <w:bottom w:val="single" w:sz="4" w:space="0" w:color="auto"/>
              <w:right w:val="single" w:sz="4" w:space="0" w:color="auto"/>
            </w:tcBorders>
            <w:shd w:val="clear" w:color="auto" w:fill="C6EFCE"/>
            <w:noWrap/>
          </w:tcPr>
          <w:p w14:paraId="28A23E7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008" w:type="dxa"/>
            <w:tcBorders>
              <w:top w:val="single" w:sz="4" w:space="0" w:color="auto"/>
              <w:left w:val="nil"/>
              <w:bottom w:val="single" w:sz="4" w:space="0" w:color="auto"/>
              <w:right w:val="single" w:sz="4" w:space="0" w:color="auto"/>
            </w:tcBorders>
            <w:shd w:val="clear" w:color="auto" w:fill="C6EFCE"/>
            <w:noWrap/>
          </w:tcPr>
          <w:p w14:paraId="7342818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Avalik haldus – tulemustasu süsteemi käivitamine</w:t>
            </w:r>
          </w:p>
          <w:p w14:paraId="59707B13"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810" w:type="dxa"/>
            <w:tcBorders>
              <w:top w:val="single" w:sz="4" w:space="0" w:color="auto"/>
              <w:left w:val="nil"/>
              <w:bottom w:val="single" w:sz="4" w:space="0" w:color="auto"/>
              <w:right w:val="single" w:sz="4" w:space="0" w:color="auto"/>
            </w:tcBorders>
            <w:shd w:val="clear" w:color="auto" w:fill="C6EFCE"/>
            <w:noWrap/>
          </w:tcPr>
          <w:p w14:paraId="4B2E702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Esmase õigusakti jõustumine, millega luuakse katseline premeerimissüsteem. </w:t>
            </w:r>
          </w:p>
        </w:tc>
        <w:tc>
          <w:tcPr>
            <w:tcW w:w="1623" w:type="dxa"/>
            <w:tcBorders>
              <w:top w:val="single" w:sz="4" w:space="0" w:color="auto"/>
              <w:left w:val="nil"/>
              <w:bottom w:val="single" w:sz="4" w:space="0" w:color="auto"/>
              <w:right w:val="single" w:sz="4" w:space="0" w:color="auto"/>
            </w:tcBorders>
            <w:shd w:val="clear" w:color="auto" w:fill="C6EFCE"/>
            <w:noWrap/>
          </w:tcPr>
          <w:p w14:paraId="4F906EDD"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72F9FC0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7B47BB3D"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09E713A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827" w:type="dxa"/>
            <w:tcBorders>
              <w:top w:val="nil"/>
              <w:left w:val="nil"/>
              <w:bottom w:val="single" w:sz="4" w:space="0" w:color="auto"/>
              <w:right w:val="single" w:sz="4" w:space="0" w:color="auto"/>
            </w:tcBorders>
            <w:shd w:val="clear" w:color="auto" w:fill="C6EFCE"/>
            <w:noWrap/>
          </w:tcPr>
          <w:p w14:paraId="00EA280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3620" w:type="dxa"/>
            <w:tcBorders>
              <w:top w:val="single" w:sz="4" w:space="0" w:color="auto"/>
              <w:left w:val="nil"/>
              <w:bottom w:val="single" w:sz="4" w:space="0" w:color="auto"/>
              <w:right w:val="single" w:sz="4" w:space="0" w:color="auto"/>
            </w:tcBorders>
            <w:shd w:val="clear" w:color="auto" w:fill="C6EFCE"/>
            <w:noWrap/>
          </w:tcPr>
          <w:p w14:paraId="320DF15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Jõustub esmane õigusakt tulemustasu süsteemi käivitamiseks kindlaksmääratud arvu katseüksuste ja kuni 6 000 riigiteenistuja jaoks, mida võetakse arvesse laiemas reformis, millega kehtestatakse eesmärkide seadmise juhtimissüsteem (vt eesmärk – 2023. aasta neljas kvartal). Katseprojekt hõlmab taaste- ja vastupidavuskava rakendamisega seotud riigiteenistujaid. Süsteemi põhijooned peavad olema kooskõlas ühtse palgaastmestikuga (seadus nr 4354/2015).</w:t>
            </w:r>
          </w:p>
        </w:tc>
      </w:tr>
      <w:tr w:rsidR="00356CBA" w:rsidRPr="003B132A" w14:paraId="47E15C2D"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1EB541C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206</w:t>
            </w:r>
          </w:p>
        </w:tc>
        <w:tc>
          <w:tcPr>
            <w:tcW w:w="1750" w:type="dxa"/>
            <w:tcBorders>
              <w:top w:val="nil"/>
              <w:left w:val="nil"/>
              <w:bottom w:val="single" w:sz="4" w:space="0" w:color="auto"/>
              <w:right w:val="single" w:sz="4" w:space="0" w:color="auto"/>
            </w:tcBorders>
            <w:shd w:val="clear" w:color="auto" w:fill="C6EFCE"/>
            <w:noWrap/>
          </w:tcPr>
          <w:p w14:paraId="2AAA4D3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16972_Avaliku halduse reformimine</w:t>
            </w:r>
          </w:p>
        </w:tc>
        <w:tc>
          <w:tcPr>
            <w:tcW w:w="966" w:type="dxa"/>
            <w:tcBorders>
              <w:top w:val="nil"/>
              <w:left w:val="nil"/>
              <w:bottom w:val="single" w:sz="4" w:space="0" w:color="auto"/>
              <w:right w:val="single" w:sz="4" w:space="0" w:color="auto"/>
            </w:tcBorders>
            <w:shd w:val="clear" w:color="auto" w:fill="C6EFCE"/>
            <w:noWrap/>
          </w:tcPr>
          <w:p w14:paraId="6260CE2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008" w:type="dxa"/>
            <w:tcBorders>
              <w:top w:val="nil"/>
              <w:left w:val="nil"/>
              <w:bottom w:val="single" w:sz="4" w:space="0" w:color="auto"/>
              <w:right w:val="single" w:sz="4" w:space="0" w:color="auto"/>
            </w:tcBorders>
            <w:shd w:val="clear" w:color="auto" w:fill="C6EFCE"/>
            <w:noWrap/>
          </w:tcPr>
          <w:p w14:paraId="36D0CD1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Avalik haldus – õigusraamistik volituste selgitamiseks</w:t>
            </w:r>
          </w:p>
        </w:tc>
        <w:tc>
          <w:tcPr>
            <w:tcW w:w="1810" w:type="dxa"/>
            <w:tcBorders>
              <w:top w:val="nil"/>
              <w:left w:val="nil"/>
              <w:bottom w:val="single" w:sz="4" w:space="0" w:color="auto"/>
              <w:right w:val="single" w:sz="4" w:space="0" w:color="auto"/>
            </w:tcBorders>
            <w:shd w:val="clear" w:color="auto" w:fill="C6EFCE"/>
            <w:noWrap/>
          </w:tcPr>
          <w:p w14:paraId="0357A91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Selliste õigusnormide jõustumine, millega muudetakse kesk-, piirkondliku ja kohaliku tasandi valitsemissektori üksuste õigusraamistikku. </w:t>
            </w:r>
          </w:p>
        </w:tc>
        <w:tc>
          <w:tcPr>
            <w:tcW w:w="1623" w:type="dxa"/>
            <w:tcBorders>
              <w:top w:val="nil"/>
              <w:left w:val="nil"/>
              <w:bottom w:val="single" w:sz="4" w:space="0" w:color="auto"/>
              <w:right w:val="single" w:sz="4" w:space="0" w:color="auto"/>
            </w:tcBorders>
            <w:shd w:val="clear" w:color="auto" w:fill="C6EFCE"/>
            <w:noWrap/>
          </w:tcPr>
          <w:p w14:paraId="54FDCB3D"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276AC9BD"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46CA24B0"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14:paraId="53EE434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827" w:type="dxa"/>
            <w:tcBorders>
              <w:top w:val="nil"/>
              <w:left w:val="nil"/>
              <w:bottom w:val="single" w:sz="4" w:space="0" w:color="auto"/>
              <w:right w:val="single" w:sz="4" w:space="0" w:color="auto"/>
            </w:tcBorders>
            <w:shd w:val="clear" w:color="auto" w:fill="C6EFCE"/>
            <w:noWrap/>
          </w:tcPr>
          <w:p w14:paraId="76982F1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3620" w:type="dxa"/>
            <w:tcBorders>
              <w:top w:val="nil"/>
              <w:left w:val="nil"/>
              <w:bottom w:val="single" w:sz="4" w:space="0" w:color="auto"/>
              <w:right w:val="single" w:sz="4" w:space="0" w:color="auto"/>
            </w:tcBorders>
            <w:shd w:val="clear" w:color="auto" w:fill="C6EFCE"/>
            <w:noWrap/>
          </w:tcPr>
          <w:p w14:paraId="4752A06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Muudetud esmaste ja teiseste õigusaktide jõustumine, et luua mitmetasandilise valitsemise jaotussüsteem, mille eesmärk on selgitada kõigi avaliku halduse tasandite vastutust ja käsitleda kattuvusi. Läbivaadatud õigusraamistikus sätestatakse iga üksuse vastutusvaldkonnad, mis on seotud planeerimise ja rakendamisega, sealhulgas selliste funktsioonidega nagu ressursside tagamine ning järelevalve- ja hindamiskohustused.</w:t>
            </w:r>
          </w:p>
        </w:tc>
      </w:tr>
      <w:tr w:rsidR="00356CBA" w:rsidRPr="003B132A" w14:paraId="6350578F"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2B99F76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207</w:t>
            </w:r>
          </w:p>
        </w:tc>
        <w:tc>
          <w:tcPr>
            <w:tcW w:w="1750" w:type="dxa"/>
            <w:tcBorders>
              <w:top w:val="nil"/>
              <w:left w:val="nil"/>
              <w:bottom w:val="single" w:sz="4" w:space="0" w:color="auto"/>
              <w:right w:val="single" w:sz="4" w:space="0" w:color="auto"/>
            </w:tcBorders>
            <w:shd w:val="clear" w:color="auto" w:fill="C6EFCE"/>
            <w:noWrap/>
          </w:tcPr>
          <w:p w14:paraId="4CB3ED3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16972_Avaliku halduse reformimine</w:t>
            </w:r>
          </w:p>
        </w:tc>
        <w:tc>
          <w:tcPr>
            <w:tcW w:w="966" w:type="dxa"/>
            <w:tcBorders>
              <w:top w:val="nil"/>
              <w:left w:val="nil"/>
              <w:bottom w:val="single" w:sz="4" w:space="0" w:color="auto"/>
              <w:right w:val="single" w:sz="4" w:space="0" w:color="auto"/>
            </w:tcBorders>
            <w:shd w:val="clear" w:color="auto" w:fill="C6EFCE"/>
            <w:noWrap/>
          </w:tcPr>
          <w:p w14:paraId="2DA08B4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008" w:type="dxa"/>
            <w:tcBorders>
              <w:top w:val="nil"/>
              <w:left w:val="nil"/>
              <w:bottom w:val="single" w:sz="4" w:space="0" w:color="auto"/>
              <w:right w:val="single" w:sz="4" w:space="0" w:color="auto"/>
            </w:tcBorders>
            <w:shd w:val="clear" w:color="auto" w:fill="C6EFCE"/>
            <w:noWrap/>
          </w:tcPr>
          <w:p w14:paraId="030B3DD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Avalik haldus – uus premeerimissüsteem</w:t>
            </w:r>
          </w:p>
        </w:tc>
        <w:tc>
          <w:tcPr>
            <w:tcW w:w="1810" w:type="dxa"/>
            <w:tcBorders>
              <w:top w:val="nil"/>
              <w:left w:val="nil"/>
              <w:bottom w:val="single" w:sz="4" w:space="0" w:color="auto"/>
              <w:right w:val="single" w:sz="4" w:space="0" w:color="auto"/>
            </w:tcBorders>
            <w:shd w:val="clear" w:color="auto" w:fill="C6EFCE"/>
            <w:noWrap/>
          </w:tcPr>
          <w:p w14:paraId="61512DC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Premeerimissüsteemi kehtestavate esmaste õigusaktide jõustumine.</w:t>
            </w:r>
          </w:p>
        </w:tc>
        <w:tc>
          <w:tcPr>
            <w:tcW w:w="1623" w:type="dxa"/>
            <w:tcBorders>
              <w:top w:val="nil"/>
              <w:left w:val="nil"/>
              <w:bottom w:val="single" w:sz="4" w:space="0" w:color="auto"/>
              <w:right w:val="single" w:sz="4" w:space="0" w:color="auto"/>
            </w:tcBorders>
            <w:shd w:val="clear" w:color="auto" w:fill="C6EFCE"/>
            <w:noWrap/>
          </w:tcPr>
          <w:p w14:paraId="02566472"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47582D86"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1CD74BC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0A837AA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27" w:type="dxa"/>
            <w:tcBorders>
              <w:top w:val="nil"/>
              <w:left w:val="nil"/>
              <w:bottom w:val="single" w:sz="4" w:space="0" w:color="auto"/>
              <w:right w:val="single" w:sz="4" w:space="0" w:color="auto"/>
            </w:tcBorders>
            <w:shd w:val="clear" w:color="auto" w:fill="C6EFCE"/>
            <w:noWrap/>
          </w:tcPr>
          <w:p w14:paraId="7103F15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2023</w:t>
            </w:r>
          </w:p>
        </w:tc>
        <w:tc>
          <w:tcPr>
            <w:tcW w:w="3620" w:type="dxa"/>
            <w:tcBorders>
              <w:top w:val="nil"/>
              <w:left w:val="nil"/>
              <w:bottom w:val="single" w:sz="4" w:space="0" w:color="auto"/>
              <w:right w:val="single" w:sz="4" w:space="0" w:color="auto"/>
            </w:tcBorders>
            <w:shd w:val="clear" w:color="auto" w:fill="C6EFCE"/>
            <w:noWrap/>
          </w:tcPr>
          <w:p w14:paraId="3F4F613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Esmase õigusakti jõustumine, millega kehtestatakse eesmärkide seadmise juhtimissüsteem, mille eesmärk on premeerida avaliku sektori organisatsioone erapooletult ja järjepidevalt pärast eelnevalt seatud eesmärkide saavutamist. Süsteemi põhijooned peavad olema kooskõlas ühtse palgaastmestikuga (seadus nr 4354/2015).</w:t>
            </w:r>
          </w:p>
        </w:tc>
      </w:tr>
      <w:tr w:rsidR="00356CBA" w:rsidRPr="003B132A" w14:paraId="3A2D56EC"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1C3C031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208</w:t>
            </w:r>
          </w:p>
        </w:tc>
        <w:tc>
          <w:tcPr>
            <w:tcW w:w="1750" w:type="dxa"/>
            <w:tcBorders>
              <w:top w:val="nil"/>
              <w:left w:val="nil"/>
              <w:bottom w:val="single" w:sz="4" w:space="0" w:color="auto"/>
              <w:right w:val="single" w:sz="4" w:space="0" w:color="auto"/>
            </w:tcBorders>
            <w:shd w:val="clear" w:color="auto" w:fill="C6EFCE"/>
            <w:noWrap/>
          </w:tcPr>
          <w:p w14:paraId="454F195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16972_Avaliku halduse reformimine</w:t>
            </w:r>
          </w:p>
        </w:tc>
        <w:tc>
          <w:tcPr>
            <w:tcW w:w="966" w:type="dxa"/>
            <w:tcBorders>
              <w:top w:val="nil"/>
              <w:left w:val="nil"/>
              <w:bottom w:val="single" w:sz="4" w:space="0" w:color="auto"/>
              <w:right w:val="single" w:sz="4" w:space="0" w:color="auto"/>
            </w:tcBorders>
            <w:shd w:val="clear" w:color="auto" w:fill="C6EFCE"/>
            <w:noWrap/>
          </w:tcPr>
          <w:p w14:paraId="068B065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Siht</w:t>
            </w:r>
          </w:p>
        </w:tc>
        <w:tc>
          <w:tcPr>
            <w:tcW w:w="2008" w:type="dxa"/>
            <w:tcBorders>
              <w:top w:val="nil"/>
              <w:left w:val="nil"/>
              <w:bottom w:val="single" w:sz="4" w:space="0" w:color="auto"/>
              <w:right w:val="single" w:sz="4" w:space="0" w:color="auto"/>
            </w:tcBorders>
            <w:shd w:val="clear" w:color="auto" w:fill="C6EFCE"/>
            <w:noWrap/>
          </w:tcPr>
          <w:p w14:paraId="1E7F80F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Avalik haldus – riigiteenistujate koolituse läbimine</w:t>
            </w:r>
          </w:p>
          <w:p w14:paraId="1C8253A7" w14:textId="77777777" w:rsidR="00356CBA" w:rsidRPr="00AD4052" w:rsidRDefault="00356CBA">
            <w:pPr>
              <w:spacing w:after="0" w:line="240" w:lineRule="auto"/>
              <w:rPr>
                <w:rFonts w:eastAsia="Times New Roman" w:cs="Calibri"/>
                <w:noProof/>
                <w:color w:val="006100"/>
                <w:sz w:val="18"/>
                <w:szCs w:val="18"/>
                <w:lang w:eastAsia="en-GB"/>
              </w:rPr>
            </w:pPr>
          </w:p>
          <w:p w14:paraId="4ECFE6B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Värbamismenetluste ja strateegilise personaliplaneerimisega seotud meetmete lõpuleviimine</w:t>
            </w:r>
          </w:p>
        </w:tc>
        <w:tc>
          <w:tcPr>
            <w:tcW w:w="1810" w:type="dxa"/>
            <w:tcBorders>
              <w:top w:val="nil"/>
              <w:left w:val="nil"/>
              <w:bottom w:val="single" w:sz="4" w:space="0" w:color="auto"/>
              <w:right w:val="single" w:sz="4" w:space="0" w:color="auto"/>
            </w:tcBorders>
            <w:shd w:val="clear" w:color="auto" w:fill="C6EFCE"/>
            <w:noWrap/>
          </w:tcPr>
          <w:p w14:paraId="18D1D08C" w14:textId="77777777" w:rsidR="00356CBA" w:rsidRPr="00AD4052" w:rsidRDefault="00356CBA">
            <w:pPr>
              <w:spacing w:after="0" w:line="240" w:lineRule="auto"/>
              <w:rPr>
                <w:rFonts w:eastAsia="Times New Roman" w:cs="Calibri"/>
                <w:noProof/>
                <w:color w:val="006100"/>
                <w:sz w:val="18"/>
                <w:szCs w:val="18"/>
                <w:lang w:eastAsia="en-GB"/>
              </w:rPr>
            </w:pPr>
          </w:p>
        </w:tc>
        <w:tc>
          <w:tcPr>
            <w:tcW w:w="1623" w:type="dxa"/>
            <w:tcBorders>
              <w:top w:val="nil"/>
              <w:left w:val="nil"/>
              <w:bottom w:val="single" w:sz="4" w:space="0" w:color="auto"/>
              <w:right w:val="single" w:sz="4" w:space="0" w:color="auto"/>
            </w:tcBorders>
            <w:shd w:val="clear" w:color="auto" w:fill="C6EFCE"/>
            <w:noWrap/>
          </w:tcPr>
          <w:p w14:paraId="443A3FD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Koolitusprogrammi läbinud osalejate arv.</w:t>
            </w:r>
          </w:p>
        </w:tc>
        <w:tc>
          <w:tcPr>
            <w:tcW w:w="966" w:type="dxa"/>
            <w:tcBorders>
              <w:top w:val="nil"/>
              <w:left w:val="nil"/>
              <w:bottom w:val="single" w:sz="4" w:space="0" w:color="auto"/>
              <w:right w:val="single" w:sz="4" w:space="0" w:color="auto"/>
            </w:tcBorders>
            <w:shd w:val="clear" w:color="auto" w:fill="C6EFCE"/>
            <w:noWrap/>
          </w:tcPr>
          <w:p w14:paraId="09AFB85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0</w:t>
            </w:r>
          </w:p>
        </w:tc>
        <w:tc>
          <w:tcPr>
            <w:tcW w:w="906" w:type="dxa"/>
            <w:tcBorders>
              <w:top w:val="nil"/>
              <w:left w:val="nil"/>
              <w:bottom w:val="single" w:sz="4" w:space="0" w:color="auto"/>
              <w:right w:val="single" w:sz="4" w:space="0" w:color="auto"/>
            </w:tcBorders>
            <w:shd w:val="clear" w:color="auto" w:fill="C6EFCE"/>
            <w:noWrap/>
          </w:tcPr>
          <w:p w14:paraId="353F423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250 000</w:t>
            </w:r>
          </w:p>
        </w:tc>
        <w:tc>
          <w:tcPr>
            <w:tcW w:w="846" w:type="dxa"/>
            <w:tcBorders>
              <w:top w:val="nil"/>
              <w:left w:val="nil"/>
              <w:bottom w:val="single" w:sz="4" w:space="0" w:color="auto"/>
              <w:right w:val="single" w:sz="4" w:space="0" w:color="auto"/>
            </w:tcBorders>
            <w:shd w:val="clear" w:color="auto" w:fill="C6EFCE"/>
            <w:noWrap/>
          </w:tcPr>
          <w:p w14:paraId="56DBE75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27" w:type="dxa"/>
            <w:tcBorders>
              <w:top w:val="nil"/>
              <w:left w:val="nil"/>
              <w:bottom w:val="single" w:sz="4" w:space="0" w:color="auto"/>
              <w:right w:val="single" w:sz="4" w:space="0" w:color="auto"/>
            </w:tcBorders>
            <w:shd w:val="clear" w:color="auto" w:fill="C6EFCE"/>
            <w:noWrap/>
          </w:tcPr>
          <w:p w14:paraId="4D46A04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3620" w:type="dxa"/>
            <w:tcBorders>
              <w:top w:val="nil"/>
              <w:left w:val="nil"/>
              <w:bottom w:val="single" w:sz="4" w:space="0" w:color="auto"/>
              <w:right w:val="single" w:sz="4" w:space="0" w:color="auto"/>
            </w:tcBorders>
            <w:shd w:val="clear" w:color="auto" w:fill="C6EFCE"/>
            <w:noWrap/>
          </w:tcPr>
          <w:p w14:paraId="29800CC1" w14:textId="0D5E6DF1"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Vähemalt 250 000 osalejaga riigiteenistujate ümberõppe ja oskuste täiendamise koolituste läbimine. </w:t>
            </w:r>
          </w:p>
          <w:p w14:paraId="307601B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Selliste meetmete lõpuleviimine, mille eesmärk on i) ajakohastada värbamismenetlusi ajakohastatud tugiseaduse (seadus 4765/2021) alusel, mis käsitleb avalikku personalivaliku kõrgeimat nõukogu (ASEP); ning ii) luua strateegiline tööjõu planeerimise raamistik, kasutades tehisintellektil põhinevat vahendit.</w:t>
            </w:r>
          </w:p>
        </w:tc>
      </w:tr>
    </w:tbl>
    <w:p w14:paraId="786C7C77" w14:textId="77777777" w:rsidR="00356CBA" w:rsidRPr="00AD4052" w:rsidRDefault="00356CBA" w:rsidP="00645BC7">
      <w:pPr>
        <w:spacing w:before="120" w:after="120" w:line="240" w:lineRule="auto"/>
        <w:jc w:val="both"/>
        <w:rPr>
          <w:rFonts w:ascii="Times New Roman" w:hAnsi="Times New Roman" w:cs="Times New Roman"/>
          <w:noProof/>
          <w:sz w:val="24"/>
          <w:szCs w:val="24"/>
        </w:rPr>
      </w:pPr>
    </w:p>
    <w:p w14:paraId="74EFCE2C"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19: Rahapesu ja korruptsiooni vastane võitlus</w:t>
      </w:r>
    </w:p>
    <w:p w14:paraId="2EC57262" w14:textId="77777777" w:rsidR="00356CBA" w:rsidRPr="00E02B5D" w:rsidRDefault="00356CBA" w:rsidP="00DE1EE5">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Rahapesu ja terrorismi rahastamise tõkestamise raamistiku tõhustamine (ID: 16702)</w:t>
      </w:r>
    </w:p>
    <w:p w14:paraId="67C1F1F1" w14:textId="77777777" w:rsidR="00356CBA" w:rsidRPr="00E02B5D" w:rsidRDefault="00356CBA" w:rsidP="00DE1EE5">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Võitlus ebaseadusliku kaubanduse vastu ja intellektuaalomandi kaitse (ID: 16703)</w:t>
      </w:r>
    </w:p>
    <w:p w14:paraId="166B8A50" w14:textId="77777777" w:rsidR="00356CBA" w:rsidRPr="00E02B5D" w:rsidRDefault="00356CBA" w:rsidP="00DE1EE5">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Riikliku korruptsioonivastase raamistiku tugevdamine (ID: 16952)</w:t>
      </w:r>
    </w:p>
    <w:p w14:paraId="36A5D7C9" w14:textId="77777777" w:rsidR="00356CBA" w:rsidRPr="00E02B5D" w:rsidRDefault="00356CBA" w:rsidP="00DE1EE5">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Tõhus korruptsioonivastane võitlus (ID: 16978)</w:t>
      </w:r>
    </w:p>
    <w:p w14:paraId="467624E7" w14:textId="77777777" w:rsidR="00356CBA" w:rsidRPr="00E02B5D" w:rsidRDefault="00356CBA" w:rsidP="00645BC7">
      <w:pPr>
        <w:spacing w:before="120" w:after="120" w:line="240" w:lineRule="auto"/>
        <w:jc w:val="both"/>
        <w:rPr>
          <w:rFonts w:ascii="Times New Roman" w:hAnsi="Times New Roman" w:cs="Times New Roman"/>
          <w:noProof/>
          <w:sz w:val="24"/>
          <w:szCs w:val="24"/>
          <w:lang w:val="en-GB"/>
        </w:rPr>
        <w:sectPr w:rsidR="00356CBA" w:rsidRPr="00E02B5D" w:rsidSect="0030238F">
          <w:headerReference w:type="even" r:id="rId278"/>
          <w:headerReference w:type="default" r:id="rId279"/>
          <w:footerReference w:type="even" r:id="rId280"/>
          <w:footerReference w:type="default" r:id="rId281"/>
          <w:headerReference w:type="first" r:id="rId282"/>
          <w:footerReference w:type="first" r:id="rId283"/>
          <w:pgSz w:w="16839" w:h="11907" w:orient="landscape"/>
          <w:pgMar w:top="720" w:right="720" w:bottom="720" w:left="720" w:header="709" w:footer="0" w:gutter="0"/>
          <w:cols w:space="720"/>
          <w:docGrid w:linePitch="360"/>
        </w:sectPr>
      </w:pPr>
    </w:p>
    <w:p w14:paraId="3D728563" w14:textId="77777777" w:rsidR="00356CBA" w:rsidRPr="00E02B5D" w:rsidRDefault="00356CBA" w:rsidP="00645BC7">
      <w:pPr>
        <w:spacing w:before="120" w:after="120" w:line="240" w:lineRule="auto"/>
        <w:jc w:val="both"/>
        <w:rPr>
          <w:rFonts w:ascii="Times New Roman" w:hAnsi="Times New Roman" w:cs="Times New Roman"/>
          <w:noProof/>
          <w:sz w:val="24"/>
          <w:szCs w:val="24"/>
          <w:lang w:val="en-GB"/>
        </w:rPr>
      </w:pPr>
    </w:p>
    <w:tbl>
      <w:tblPr>
        <w:tblW w:w="15871" w:type="dxa"/>
        <w:jc w:val="center"/>
        <w:tblLook w:val="04A0" w:firstRow="1" w:lastRow="0" w:firstColumn="1" w:lastColumn="0" w:noHBand="0" w:noVBand="1"/>
      </w:tblPr>
      <w:tblGrid>
        <w:gridCol w:w="1116"/>
        <w:gridCol w:w="1797"/>
        <w:gridCol w:w="966"/>
        <w:gridCol w:w="1774"/>
        <w:gridCol w:w="1945"/>
        <w:gridCol w:w="977"/>
        <w:gridCol w:w="966"/>
        <w:gridCol w:w="906"/>
        <w:gridCol w:w="851"/>
        <w:gridCol w:w="708"/>
        <w:gridCol w:w="3865"/>
      </w:tblGrid>
      <w:tr w:rsidR="00356CBA" w:rsidRPr="003B132A" w14:paraId="4EE2DDFE" w14:textId="77777777" w:rsidTr="00C23759">
        <w:trPr>
          <w:trHeight w:val="774"/>
          <w:tblHeader/>
          <w:jc w:val="center"/>
        </w:trPr>
        <w:tc>
          <w:tcPr>
            <w:tcW w:w="111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D740E23" w14:textId="719701EF"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C23759">
              <w:rPr>
                <w:rFonts w:ascii="Times New Roman" w:hAnsi="Times New Roman"/>
                <w:b/>
                <w:noProof/>
                <w:sz w:val="18"/>
              </w:rPr>
              <w:t>-</w:t>
            </w:r>
            <w:r>
              <w:rPr>
                <w:rFonts w:ascii="Times New Roman" w:hAnsi="Times New Roman"/>
                <w:b/>
                <w:noProof/>
                <w:sz w:val="18"/>
              </w:rPr>
              <w:t>number</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84F597E"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728E528"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74" w:type="dxa"/>
            <w:vMerge w:val="restart"/>
            <w:tcBorders>
              <w:top w:val="single" w:sz="4" w:space="0" w:color="auto"/>
              <w:left w:val="nil"/>
              <w:bottom w:val="single" w:sz="4" w:space="0" w:color="000000"/>
              <w:right w:val="single" w:sz="4" w:space="0" w:color="auto"/>
            </w:tcBorders>
            <w:shd w:val="clear" w:color="auto" w:fill="BDD7EE"/>
            <w:vAlign w:val="center"/>
            <w:hideMark/>
          </w:tcPr>
          <w:p w14:paraId="36EBF3B8"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4F19890"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Kvalitatiivsed näitajad </w:t>
            </w:r>
            <w:r>
              <w:rPr>
                <w:rFonts w:ascii="Times New Roman" w:hAnsi="Times New Roman"/>
                <w:noProof/>
              </w:rPr>
              <w:t xml:space="preserve"> </w:t>
            </w:r>
            <w:r>
              <w:rPr>
                <w:rFonts w:ascii="Times New Roman" w:hAnsi="Times New Roman"/>
                <w:b/>
                <w:noProof/>
                <w:sz w:val="18"/>
              </w:rPr>
              <w:t>(eesmärkide puhul)</w:t>
            </w:r>
          </w:p>
        </w:tc>
        <w:tc>
          <w:tcPr>
            <w:tcW w:w="2849" w:type="dxa"/>
            <w:gridSpan w:val="3"/>
            <w:tcBorders>
              <w:top w:val="single" w:sz="4" w:space="0" w:color="auto"/>
              <w:left w:val="nil"/>
              <w:bottom w:val="single" w:sz="4" w:space="0" w:color="auto"/>
              <w:right w:val="single" w:sz="4" w:space="0" w:color="auto"/>
            </w:tcBorders>
            <w:shd w:val="clear" w:color="auto" w:fill="BDD7EE"/>
            <w:vAlign w:val="center"/>
            <w:hideMark/>
          </w:tcPr>
          <w:p w14:paraId="13768111"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Kvantitatiivsed näitajad </w:t>
            </w:r>
            <w:r>
              <w:rPr>
                <w:rFonts w:ascii="Times New Roman" w:hAnsi="Times New Roman"/>
                <w:noProof/>
              </w:rPr>
              <w:t xml:space="preserve"> </w:t>
            </w:r>
            <w:r>
              <w:rPr>
                <w:rFonts w:ascii="Times New Roman" w:hAnsi="Times New Roman"/>
                <w:b/>
                <w:noProof/>
                <w:sz w:val="18"/>
              </w:rPr>
              <w:t>(sihtide puhul)</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444217DB"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8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9A0C9E"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356CBA" w:rsidRPr="00E02B5D" w14:paraId="16E4C4A6" w14:textId="77777777" w:rsidTr="00C23759">
        <w:trPr>
          <w:trHeight w:val="532"/>
          <w:jc w:val="center"/>
        </w:trPr>
        <w:tc>
          <w:tcPr>
            <w:tcW w:w="1116" w:type="dxa"/>
            <w:vMerge/>
            <w:tcBorders>
              <w:top w:val="single" w:sz="4" w:space="0" w:color="auto"/>
              <w:left w:val="single" w:sz="4" w:space="0" w:color="auto"/>
              <w:bottom w:val="single" w:sz="4" w:space="0" w:color="000000"/>
              <w:right w:val="single" w:sz="4" w:space="0" w:color="auto"/>
            </w:tcBorders>
            <w:vAlign w:val="center"/>
            <w:hideMark/>
          </w:tcPr>
          <w:p w14:paraId="706B35E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14:paraId="5BFF0C6C"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14:paraId="628C65AC"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774" w:type="dxa"/>
            <w:vMerge/>
            <w:tcBorders>
              <w:top w:val="single" w:sz="4" w:space="0" w:color="auto"/>
              <w:left w:val="nil"/>
              <w:bottom w:val="single" w:sz="4" w:space="0" w:color="000000"/>
              <w:right w:val="single" w:sz="4" w:space="0" w:color="auto"/>
            </w:tcBorders>
            <w:vAlign w:val="center"/>
            <w:hideMark/>
          </w:tcPr>
          <w:p w14:paraId="3F255A8A"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170F3EEC"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77" w:type="dxa"/>
            <w:tcBorders>
              <w:top w:val="nil"/>
              <w:left w:val="nil"/>
              <w:bottom w:val="single" w:sz="4" w:space="0" w:color="auto"/>
              <w:right w:val="single" w:sz="4" w:space="0" w:color="auto"/>
            </w:tcBorders>
            <w:shd w:val="clear" w:color="auto" w:fill="BDD7EE"/>
            <w:vAlign w:val="center"/>
            <w:hideMark/>
          </w:tcPr>
          <w:p w14:paraId="3EED8E98"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tcBorders>
              <w:top w:val="nil"/>
              <w:left w:val="nil"/>
              <w:bottom w:val="single" w:sz="4" w:space="0" w:color="auto"/>
              <w:right w:val="single" w:sz="4" w:space="0" w:color="auto"/>
            </w:tcBorders>
            <w:shd w:val="clear" w:color="auto" w:fill="BDD7EE"/>
            <w:vAlign w:val="center"/>
            <w:hideMark/>
          </w:tcPr>
          <w:p w14:paraId="3A84332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tcBorders>
              <w:top w:val="nil"/>
              <w:left w:val="nil"/>
              <w:bottom w:val="single" w:sz="4" w:space="0" w:color="auto"/>
              <w:right w:val="single" w:sz="4" w:space="0" w:color="auto"/>
            </w:tcBorders>
            <w:shd w:val="clear" w:color="auto" w:fill="BDD7EE"/>
            <w:vAlign w:val="center"/>
            <w:hideMark/>
          </w:tcPr>
          <w:p w14:paraId="7CAB92D8"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51" w:type="dxa"/>
            <w:tcBorders>
              <w:top w:val="nil"/>
              <w:left w:val="nil"/>
              <w:bottom w:val="single" w:sz="4" w:space="0" w:color="auto"/>
              <w:right w:val="single" w:sz="4" w:space="0" w:color="auto"/>
            </w:tcBorders>
            <w:shd w:val="clear" w:color="auto" w:fill="BDD7EE"/>
            <w:vAlign w:val="center"/>
            <w:hideMark/>
          </w:tcPr>
          <w:p w14:paraId="5D2D5856"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8" w:type="dxa"/>
            <w:tcBorders>
              <w:top w:val="nil"/>
              <w:left w:val="nil"/>
              <w:bottom w:val="single" w:sz="4" w:space="0" w:color="auto"/>
              <w:right w:val="single" w:sz="4" w:space="0" w:color="auto"/>
            </w:tcBorders>
            <w:shd w:val="clear" w:color="auto" w:fill="BDD7EE"/>
            <w:vAlign w:val="center"/>
            <w:hideMark/>
          </w:tcPr>
          <w:p w14:paraId="2FA2BC6D"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865" w:type="dxa"/>
            <w:vMerge/>
            <w:tcBorders>
              <w:top w:val="single" w:sz="4" w:space="0" w:color="auto"/>
              <w:left w:val="single" w:sz="4" w:space="0" w:color="auto"/>
              <w:bottom w:val="single" w:sz="4" w:space="0" w:color="auto"/>
              <w:right w:val="single" w:sz="4" w:space="0" w:color="auto"/>
            </w:tcBorders>
            <w:vAlign w:val="center"/>
            <w:hideMark/>
          </w:tcPr>
          <w:p w14:paraId="11236BA1"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356CBA" w:rsidRPr="003B132A" w14:paraId="3E136397"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6158E0E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209</w:t>
            </w:r>
          </w:p>
        </w:tc>
        <w:tc>
          <w:tcPr>
            <w:tcW w:w="1797" w:type="dxa"/>
            <w:tcBorders>
              <w:top w:val="nil"/>
              <w:left w:val="nil"/>
              <w:bottom w:val="single" w:sz="4" w:space="0" w:color="auto"/>
              <w:right w:val="single" w:sz="4" w:space="0" w:color="auto"/>
            </w:tcBorders>
            <w:shd w:val="clear" w:color="auto" w:fill="C6EFCE"/>
            <w:noWrap/>
          </w:tcPr>
          <w:p w14:paraId="29B80A0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16978_Tõhus korruptsioonivastane võitlus</w:t>
            </w:r>
          </w:p>
        </w:tc>
        <w:tc>
          <w:tcPr>
            <w:tcW w:w="966" w:type="dxa"/>
            <w:tcBorders>
              <w:top w:val="nil"/>
              <w:left w:val="nil"/>
              <w:bottom w:val="single" w:sz="4" w:space="0" w:color="auto"/>
              <w:right w:val="single" w:sz="4" w:space="0" w:color="auto"/>
            </w:tcBorders>
            <w:shd w:val="clear" w:color="auto" w:fill="C6EFCE"/>
            <w:noWrap/>
          </w:tcPr>
          <w:p w14:paraId="1464A24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774" w:type="dxa"/>
            <w:tcBorders>
              <w:top w:val="nil"/>
              <w:left w:val="nil"/>
              <w:bottom w:val="single" w:sz="4" w:space="0" w:color="auto"/>
              <w:right w:val="single" w:sz="4" w:space="0" w:color="auto"/>
            </w:tcBorders>
            <w:shd w:val="clear" w:color="auto" w:fill="C6EFCE"/>
            <w:noWrap/>
          </w:tcPr>
          <w:p w14:paraId="73B2566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Varade deklareerimine ja erakonnad</w:t>
            </w:r>
          </w:p>
        </w:tc>
        <w:tc>
          <w:tcPr>
            <w:tcW w:w="1945" w:type="dxa"/>
            <w:tcBorders>
              <w:top w:val="nil"/>
              <w:left w:val="nil"/>
              <w:bottom w:val="single" w:sz="4" w:space="0" w:color="auto"/>
              <w:right w:val="single" w:sz="4" w:space="0" w:color="auto"/>
            </w:tcBorders>
            <w:shd w:val="clear" w:color="auto" w:fill="C6EFCE"/>
            <w:noWrap/>
          </w:tcPr>
          <w:p w14:paraId="1BAAB598" w14:textId="77777777" w:rsidR="00356CBA" w:rsidRPr="00E02B5D" w:rsidRDefault="00356CBA">
            <w:pPr>
              <w:spacing w:after="0" w:line="240" w:lineRule="auto"/>
              <w:rPr>
                <w:rFonts w:eastAsia="Times New Roman" w:cs="Calibri"/>
                <w:noProof/>
                <w:sz w:val="18"/>
                <w:szCs w:val="18"/>
              </w:rPr>
            </w:pPr>
            <w:r>
              <w:rPr>
                <w:noProof/>
                <w:color w:val="006100"/>
                <w:sz w:val="18"/>
              </w:rPr>
              <w:t>Uute õigusaktide jõustumine</w:t>
            </w:r>
          </w:p>
        </w:tc>
        <w:tc>
          <w:tcPr>
            <w:tcW w:w="977" w:type="dxa"/>
            <w:tcBorders>
              <w:top w:val="nil"/>
              <w:left w:val="nil"/>
              <w:bottom w:val="single" w:sz="4" w:space="0" w:color="auto"/>
              <w:right w:val="single" w:sz="4" w:space="0" w:color="auto"/>
            </w:tcBorders>
            <w:shd w:val="clear" w:color="auto" w:fill="C6EFCE"/>
            <w:noWrap/>
          </w:tcPr>
          <w:p w14:paraId="7F0556F7"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0AE63E4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3DEF65F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24283FA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708" w:type="dxa"/>
            <w:tcBorders>
              <w:top w:val="nil"/>
              <w:left w:val="nil"/>
              <w:bottom w:val="single" w:sz="4" w:space="0" w:color="auto"/>
              <w:right w:val="single" w:sz="4" w:space="0" w:color="auto"/>
            </w:tcBorders>
            <w:shd w:val="clear" w:color="auto" w:fill="C6EFCE"/>
            <w:noWrap/>
          </w:tcPr>
          <w:p w14:paraId="371DB71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3865" w:type="dxa"/>
            <w:tcBorders>
              <w:top w:val="nil"/>
              <w:left w:val="nil"/>
              <w:bottom w:val="single" w:sz="4" w:space="0" w:color="auto"/>
              <w:right w:val="single" w:sz="4" w:space="0" w:color="auto"/>
            </w:tcBorders>
            <w:shd w:val="clear" w:color="auto" w:fill="C6EFCE"/>
            <w:noWrap/>
          </w:tcPr>
          <w:p w14:paraId="0A06B32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Uute õigusaktide jõustumine seoses järgmisega: i) Varadeklaratsioonid; ii) ning erakondi käsitlevate õigusaktide kodifitseerimine. </w:t>
            </w:r>
          </w:p>
        </w:tc>
      </w:tr>
      <w:tr w:rsidR="00356CBA" w:rsidRPr="003B132A" w14:paraId="49850913"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08E066D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210</w:t>
            </w:r>
          </w:p>
        </w:tc>
        <w:tc>
          <w:tcPr>
            <w:tcW w:w="1797" w:type="dxa"/>
            <w:tcBorders>
              <w:top w:val="nil"/>
              <w:left w:val="nil"/>
              <w:bottom w:val="single" w:sz="4" w:space="0" w:color="auto"/>
              <w:right w:val="single" w:sz="4" w:space="0" w:color="auto"/>
            </w:tcBorders>
            <w:shd w:val="clear" w:color="auto" w:fill="C6EFCE"/>
            <w:noWrap/>
          </w:tcPr>
          <w:p w14:paraId="23D5BE1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16952_Riikliku korruptsioonivastase raamistiku tugevdamine sihipäraste meetmete abil avastamise, ennetamise ja teadlikkuse suurendamise valdkonnas</w:t>
            </w:r>
          </w:p>
        </w:tc>
        <w:tc>
          <w:tcPr>
            <w:tcW w:w="966" w:type="dxa"/>
            <w:tcBorders>
              <w:top w:val="nil"/>
              <w:left w:val="nil"/>
              <w:bottom w:val="single" w:sz="4" w:space="0" w:color="auto"/>
              <w:right w:val="single" w:sz="4" w:space="0" w:color="auto"/>
            </w:tcBorders>
            <w:shd w:val="clear" w:color="auto" w:fill="C6EFCE"/>
            <w:noWrap/>
          </w:tcPr>
          <w:p w14:paraId="59EA417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774" w:type="dxa"/>
            <w:tcBorders>
              <w:top w:val="nil"/>
              <w:left w:val="nil"/>
              <w:bottom w:val="single" w:sz="4" w:space="0" w:color="auto"/>
              <w:right w:val="single" w:sz="4" w:space="0" w:color="auto"/>
            </w:tcBorders>
            <w:shd w:val="clear" w:color="auto" w:fill="C6EFCE"/>
            <w:noWrap/>
          </w:tcPr>
          <w:p w14:paraId="0ADF16A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Riiklik korruptsioonivastane tegevuskava</w:t>
            </w:r>
          </w:p>
        </w:tc>
        <w:tc>
          <w:tcPr>
            <w:tcW w:w="1945" w:type="dxa"/>
            <w:tcBorders>
              <w:top w:val="nil"/>
              <w:left w:val="nil"/>
              <w:bottom w:val="single" w:sz="4" w:space="0" w:color="auto"/>
              <w:right w:val="single" w:sz="4" w:space="0" w:color="auto"/>
            </w:tcBorders>
            <w:shd w:val="clear" w:color="auto" w:fill="C6EFCE"/>
            <w:noWrap/>
          </w:tcPr>
          <w:p w14:paraId="2B75C28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Riikliku korruptsioonivastase tegevuskava 2022-2025 vastuvõtmine riikliku läbipaistvusasutuse poolt</w:t>
            </w:r>
          </w:p>
        </w:tc>
        <w:tc>
          <w:tcPr>
            <w:tcW w:w="977" w:type="dxa"/>
            <w:tcBorders>
              <w:top w:val="nil"/>
              <w:left w:val="nil"/>
              <w:bottom w:val="single" w:sz="4" w:space="0" w:color="auto"/>
              <w:right w:val="single" w:sz="4" w:space="0" w:color="auto"/>
            </w:tcBorders>
            <w:shd w:val="clear" w:color="auto" w:fill="C6EFCE"/>
            <w:noWrap/>
          </w:tcPr>
          <w:p w14:paraId="5FB4095C"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18D7EC3C"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2E8E7D29" w14:textId="77777777" w:rsidR="00356CBA" w:rsidRPr="00AD4052" w:rsidRDefault="00356CBA">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14:paraId="2B644CB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708" w:type="dxa"/>
            <w:tcBorders>
              <w:top w:val="nil"/>
              <w:left w:val="nil"/>
              <w:bottom w:val="single" w:sz="4" w:space="0" w:color="auto"/>
              <w:right w:val="single" w:sz="4" w:space="0" w:color="auto"/>
            </w:tcBorders>
            <w:shd w:val="clear" w:color="auto" w:fill="C6EFCE"/>
            <w:noWrap/>
          </w:tcPr>
          <w:p w14:paraId="41DEB7A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3865" w:type="dxa"/>
            <w:tcBorders>
              <w:top w:val="nil"/>
              <w:left w:val="nil"/>
              <w:bottom w:val="single" w:sz="4" w:space="0" w:color="auto"/>
              <w:right w:val="single" w:sz="4" w:space="0" w:color="auto"/>
            </w:tcBorders>
            <w:shd w:val="clear" w:color="auto" w:fill="C6EFCE"/>
            <w:noWrap/>
          </w:tcPr>
          <w:p w14:paraId="183878F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Riiklik läbipaistvusasutus võtab vastu riikliku korruptsioonivastase tegevuskava aastateks 2022-2025, milles täpsustatakse: i) meetmed läbipaistvuse ja vastutuse suurendamiseks avalikus halduses; ii) suunatud sekkumised korruptsiooni avastamiseks ja ennetamiseks suure riskiga valdkondades (sealhulgas näiteks tervishoid, riigi rahandus, investeeringud); iii) vajalikud regulatiivsed sekkumised valitud poliitikavaldkondades.</w:t>
            </w:r>
          </w:p>
        </w:tc>
      </w:tr>
      <w:tr w:rsidR="00356CBA" w:rsidRPr="003B132A" w14:paraId="51B17C04"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0FB9EEF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211</w:t>
            </w:r>
          </w:p>
        </w:tc>
        <w:tc>
          <w:tcPr>
            <w:tcW w:w="1797" w:type="dxa"/>
            <w:tcBorders>
              <w:top w:val="nil"/>
              <w:left w:val="nil"/>
              <w:bottom w:val="single" w:sz="4" w:space="0" w:color="auto"/>
              <w:right w:val="single" w:sz="4" w:space="0" w:color="auto"/>
            </w:tcBorders>
            <w:shd w:val="clear" w:color="auto" w:fill="C6EFCE"/>
            <w:noWrap/>
          </w:tcPr>
          <w:p w14:paraId="6B11B4D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16952_Riikliku korruptsioonivastase raamistiku tugevdamine sihipäraste meetmete abil avastamise, ennetamise ja teadlikkuse suurendamise valdkonnas</w:t>
            </w:r>
          </w:p>
        </w:tc>
        <w:tc>
          <w:tcPr>
            <w:tcW w:w="966" w:type="dxa"/>
            <w:tcBorders>
              <w:top w:val="nil"/>
              <w:left w:val="nil"/>
              <w:bottom w:val="single" w:sz="4" w:space="0" w:color="auto"/>
              <w:right w:val="single" w:sz="4" w:space="0" w:color="auto"/>
            </w:tcBorders>
            <w:shd w:val="clear" w:color="auto" w:fill="C6EFCE"/>
            <w:noWrap/>
          </w:tcPr>
          <w:p w14:paraId="2152F1D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774" w:type="dxa"/>
            <w:tcBorders>
              <w:top w:val="nil"/>
              <w:left w:val="nil"/>
              <w:bottom w:val="single" w:sz="4" w:space="0" w:color="auto"/>
              <w:right w:val="single" w:sz="4" w:space="0" w:color="auto"/>
            </w:tcBorders>
            <w:shd w:val="clear" w:color="auto" w:fill="C6EFCE"/>
            <w:noWrap/>
          </w:tcPr>
          <w:p w14:paraId="0614DA9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Sisekontrolliseaduse rakendamine</w:t>
            </w:r>
          </w:p>
        </w:tc>
        <w:tc>
          <w:tcPr>
            <w:tcW w:w="1945" w:type="dxa"/>
            <w:tcBorders>
              <w:top w:val="nil"/>
              <w:left w:val="nil"/>
              <w:bottom w:val="single" w:sz="4" w:space="0" w:color="auto"/>
              <w:right w:val="single" w:sz="4" w:space="0" w:color="auto"/>
            </w:tcBorders>
            <w:shd w:val="clear" w:color="auto" w:fill="C6EFCE"/>
            <w:noWrap/>
          </w:tcPr>
          <w:p w14:paraId="691294A4" w14:textId="462CE818" w:rsidR="00356CBA" w:rsidRPr="00E02B5D" w:rsidRDefault="00356CBA">
            <w:pPr>
              <w:spacing w:after="0" w:line="240" w:lineRule="auto"/>
              <w:rPr>
                <w:rFonts w:eastAsia="Times New Roman" w:cs="Calibri"/>
                <w:noProof/>
                <w:color w:val="006100"/>
                <w:sz w:val="18"/>
                <w:szCs w:val="18"/>
              </w:rPr>
            </w:pPr>
            <w:r>
              <w:rPr>
                <w:noProof/>
                <w:color w:val="006100"/>
                <w:sz w:val="18"/>
              </w:rPr>
              <w:t>Riikliku läbipaistvusasutuse aruanne loodud sisekontrollisüsteemide kohta</w:t>
            </w:r>
          </w:p>
          <w:p w14:paraId="08DD43DA" w14:textId="68B1BEDD" w:rsidR="00356CBA" w:rsidRPr="00E02B5D" w:rsidRDefault="00356CBA">
            <w:pPr>
              <w:spacing w:after="0" w:line="240" w:lineRule="auto"/>
              <w:rPr>
                <w:rFonts w:eastAsia="Times New Roman" w:cs="Calibri"/>
                <w:noProof/>
                <w:color w:val="006100"/>
                <w:sz w:val="18"/>
                <w:szCs w:val="18"/>
              </w:rPr>
            </w:pPr>
            <w:r>
              <w:rPr>
                <w:noProof/>
                <w:color w:val="006100"/>
                <w:sz w:val="18"/>
              </w:rPr>
              <w:t>-</w:t>
            </w:r>
            <w:r w:rsidR="00C23759">
              <w:rPr>
                <w:noProof/>
                <w:color w:val="006100"/>
                <w:sz w:val="18"/>
              </w:rPr>
              <w:t xml:space="preserve"> </w:t>
            </w:r>
            <w:r>
              <w:rPr>
                <w:noProof/>
                <w:color w:val="006100"/>
                <w:sz w:val="18"/>
              </w:rPr>
              <w:t>Väljaantud õigusaktid</w:t>
            </w:r>
          </w:p>
          <w:p w14:paraId="2B80C7B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Ministrite ühisotsus </w:t>
            </w:r>
          </w:p>
        </w:tc>
        <w:tc>
          <w:tcPr>
            <w:tcW w:w="977" w:type="dxa"/>
            <w:tcBorders>
              <w:top w:val="nil"/>
              <w:left w:val="nil"/>
              <w:bottom w:val="single" w:sz="4" w:space="0" w:color="auto"/>
              <w:right w:val="single" w:sz="4" w:space="0" w:color="auto"/>
            </w:tcBorders>
            <w:shd w:val="clear" w:color="auto" w:fill="C6EFCE"/>
            <w:noWrap/>
          </w:tcPr>
          <w:p w14:paraId="067B19FE"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3BA0DC92"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253AA8D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566B940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708" w:type="dxa"/>
            <w:tcBorders>
              <w:top w:val="nil"/>
              <w:left w:val="nil"/>
              <w:bottom w:val="single" w:sz="4" w:space="0" w:color="auto"/>
              <w:right w:val="single" w:sz="4" w:space="0" w:color="auto"/>
            </w:tcBorders>
            <w:shd w:val="clear" w:color="auto" w:fill="C6EFCE"/>
            <w:noWrap/>
          </w:tcPr>
          <w:p w14:paraId="781B71B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3865" w:type="dxa"/>
            <w:tcBorders>
              <w:top w:val="nil"/>
              <w:left w:val="nil"/>
              <w:bottom w:val="single" w:sz="4" w:space="0" w:color="auto"/>
              <w:right w:val="single" w:sz="4" w:space="0" w:color="auto"/>
            </w:tcBorders>
            <w:shd w:val="clear" w:color="auto" w:fill="C6EFCE"/>
            <w:noWrap/>
          </w:tcPr>
          <w:p w14:paraId="4FE56B4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Avaliku halduse sisekontrolli käsitleva uue seaduse rakendamine, sealhulgas: i) siseauditi üksuste loomine ministeeriumites; ii) õigusaktide väljaandmine siseauditi üksuste ja auditikomiteede asutamiseks kohalikes valitsusüksustes (1. ja 2. kraad), ülikoolides, haiglates – terviseüksustes, sõltumatutes asutustes ja kohalike valitsusüksuste juriidilistes üksustes; iii) ministrite ühise otsuse tegemine, millega kehtestatakse kriteeriumid siseauditi üksuste koostööks välisekspertidega.</w:t>
            </w:r>
          </w:p>
          <w:p w14:paraId="2F50F322" w14:textId="77777777" w:rsidR="00356CBA" w:rsidRPr="00AD4052" w:rsidRDefault="00356CBA">
            <w:pPr>
              <w:spacing w:after="0" w:line="240" w:lineRule="auto"/>
              <w:rPr>
                <w:rFonts w:eastAsia="Times New Roman" w:cs="Calibri"/>
                <w:noProof/>
                <w:color w:val="006100"/>
                <w:sz w:val="18"/>
                <w:szCs w:val="18"/>
                <w:lang w:eastAsia="en-GB"/>
              </w:rPr>
            </w:pPr>
          </w:p>
          <w:p w14:paraId="4F8C3A9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Riiklik läbipaistvusasutus pakub koostöös siseministeeriumiga valitsemissektori üksustele järelevalvet ja juhiseid sidusa ja toimiva sisekontrollisüsteemi loomiseks. Riiklik läbipaistvusasutus hõlbustab sisekontrollisüsteemi põhielementidega seotud enesehindamise katselist läbiviimist. Kreeka kontrollikoda on lisanud oma iga-aastasesse töökavasse auditid, mille eesmärk on hinnata valitsemissektori üksuste sisekontrolli korda. </w:t>
            </w:r>
          </w:p>
        </w:tc>
      </w:tr>
      <w:tr w:rsidR="00356CBA" w:rsidRPr="003B132A" w14:paraId="2960A67F"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20EF7D4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212</w:t>
            </w:r>
          </w:p>
        </w:tc>
        <w:tc>
          <w:tcPr>
            <w:tcW w:w="1797" w:type="dxa"/>
            <w:tcBorders>
              <w:top w:val="nil"/>
              <w:left w:val="nil"/>
              <w:bottom w:val="single" w:sz="4" w:space="0" w:color="auto"/>
              <w:right w:val="single" w:sz="4" w:space="0" w:color="auto"/>
            </w:tcBorders>
            <w:shd w:val="clear" w:color="auto" w:fill="C6EFCE"/>
            <w:noWrap/>
          </w:tcPr>
          <w:p w14:paraId="1EA5956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16702_Rahapesu ja terrorismi rahastamise tõkestamise raamistiku tõhustamine</w:t>
            </w:r>
          </w:p>
        </w:tc>
        <w:tc>
          <w:tcPr>
            <w:tcW w:w="966" w:type="dxa"/>
            <w:tcBorders>
              <w:top w:val="nil"/>
              <w:left w:val="nil"/>
              <w:bottom w:val="single" w:sz="4" w:space="0" w:color="auto"/>
              <w:right w:val="single" w:sz="4" w:space="0" w:color="auto"/>
            </w:tcBorders>
            <w:shd w:val="clear" w:color="auto" w:fill="C6EFCE"/>
            <w:noWrap/>
          </w:tcPr>
          <w:p w14:paraId="5161B2B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774" w:type="dxa"/>
            <w:tcBorders>
              <w:top w:val="nil"/>
              <w:left w:val="nil"/>
              <w:bottom w:val="single" w:sz="4" w:space="0" w:color="auto"/>
              <w:right w:val="single" w:sz="4" w:space="0" w:color="auto"/>
            </w:tcBorders>
            <w:shd w:val="clear" w:color="auto" w:fill="C6EFCE"/>
            <w:noWrap/>
          </w:tcPr>
          <w:p w14:paraId="2C11DA9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Tõhustatud rahapesuvastane raamistik ja terrorismi rahastamise vastane võitlus</w:t>
            </w:r>
          </w:p>
        </w:tc>
        <w:tc>
          <w:tcPr>
            <w:tcW w:w="1945" w:type="dxa"/>
            <w:tcBorders>
              <w:top w:val="nil"/>
              <w:left w:val="nil"/>
              <w:bottom w:val="single" w:sz="4" w:space="0" w:color="auto"/>
              <w:right w:val="single" w:sz="4" w:space="0" w:color="auto"/>
            </w:tcBorders>
            <w:shd w:val="clear" w:color="auto" w:fill="C6EFCE"/>
            <w:noWrap/>
          </w:tcPr>
          <w:p w14:paraId="43FBB0F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Käivitatud statistiliste andmete kogumise platvorm; tegelikult kasusaavate omanike eriregistri parandamine on lõpule viidud</w:t>
            </w:r>
          </w:p>
        </w:tc>
        <w:tc>
          <w:tcPr>
            <w:tcW w:w="977" w:type="dxa"/>
            <w:tcBorders>
              <w:top w:val="nil"/>
              <w:left w:val="nil"/>
              <w:bottom w:val="single" w:sz="4" w:space="0" w:color="auto"/>
              <w:right w:val="single" w:sz="4" w:space="0" w:color="auto"/>
            </w:tcBorders>
            <w:shd w:val="clear" w:color="auto" w:fill="C6EFCE"/>
            <w:noWrap/>
          </w:tcPr>
          <w:p w14:paraId="29C0D2F7" w14:textId="77777777" w:rsidR="00356CBA" w:rsidRPr="00E02B5D" w:rsidRDefault="00356CBA">
            <w:pPr>
              <w:spacing w:after="0" w:line="240" w:lineRule="auto"/>
              <w:rPr>
                <w:rFonts w:eastAsia="Times New Roman" w:cs="Calibri"/>
                <w:noProof/>
                <w:color w:val="006100"/>
                <w:sz w:val="18"/>
                <w:szCs w:val="18"/>
              </w:rPr>
            </w:pPr>
            <w:r>
              <w:rPr>
                <w:rFonts w:ascii="Times New Roman" w:hAnsi="Times New Roman"/>
                <w:noProof/>
                <w:sz w:val="24"/>
              </w:rPr>
              <w:t xml:space="preserve"> </w:t>
            </w:r>
          </w:p>
        </w:tc>
        <w:tc>
          <w:tcPr>
            <w:tcW w:w="966" w:type="dxa"/>
            <w:tcBorders>
              <w:top w:val="nil"/>
              <w:left w:val="nil"/>
              <w:bottom w:val="single" w:sz="4" w:space="0" w:color="auto"/>
              <w:right w:val="single" w:sz="4" w:space="0" w:color="auto"/>
            </w:tcBorders>
            <w:shd w:val="clear" w:color="auto" w:fill="C6EFCE"/>
            <w:noWrap/>
          </w:tcPr>
          <w:p w14:paraId="656A2266" w14:textId="77777777" w:rsidR="00356CBA" w:rsidRPr="00E02B5D" w:rsidRDefault="00356CBA">
            <w:pPr>
              <w:spacing w:after="0" w:line="240" w:lineRule="auto"/>
              <w:rPr>
                <w:rFonts w:eastAsia="Times New Roman" w:cs="Calibri"/>
                <w:noProof/>
                <w:color w:val="006100"/>
                <w:sz w:val="18"/>
                <w:szCs w:val="18"/>
              </w:rPr>
            </w:pPr>
            <w:r>
              <w:rPr>
                <w:rFonts w:ascii="Times New Roman" w:hAnsi="Times New Roman"/>
                <w:noProof/>
                <w:sz w:val="24"/>
              </w:rPr>
              <w:t xml:space="preserve"> </w:t>
            </w:r>
          </w:p>
        </w:tc>
        <w:tc>
          <w:tcPr>
            <w:tcW w:w="906" w:type="dxa"/>
            <w:tcBorders>
              <w:top w:val="nil"/>
              <w:left w:val="nil"/>
              <w:bottom w:val="single" w:sz="4" w:space="0" w:color="auto"/>
              <w:right w:val="single" w:sz="4" w:space="0" w:color="auto"/>
            </w:tcBorders>
            <w:shd w:val="clear" w:color="auto" w:fill="C6EFCE"/>
            <w:noWrap/>
          </w:tcPr>
          <w:p w14:paraId="33B686A3"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7C57DE0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708" w:type="dxa"/>
            <w:tcBorders>
              <w:top w:val="nil"/>
              <w:left w:val="nil"/>
              <w:bottom w:val="single" w:sz="4" w:space="0" w:color="auto"/>
              <w:right w:val="single" w:sz="4" w:space="0" w:color="auto"/>
            </w:tcBorders>
            <w:shd w:val="clear" w:color="auto" w:fill="C6EFCE"/>
            <w:noWrap/>
          </w:tcPr>
          <w:p w14:paraId="51EE737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3865" w:type="dxa"/>
            <w:tcBorders>
              <w:top w:val="nil"/>
              <w:left w:val="nil"/>
              <w:bottom w:val="single" w:sz="4" w:space="0" w:color="auto"/>
              <w:right w:val="single" w:sz="4" w:space="0" w:color="auto"/>
            </w:tcBorders>
            <w:shd w:val="clear" w:color="auto" w:fill="C6EFCE"/>
            <w:noWrap/>
          </w:tcPr>
          <w:p w14:paraId="43D04E8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i) Riiklike pädevate asutuste (st kohtu-, järelevalve- ja õiguskaitseasutuste) käsutuses olevate statistiliste andmete kogumise platvormi käivitamine, mida haldab Kreeka rahandusministeeriumi finantspoliitika direktoraat, mis tegutseb keskse koordineerimisüksusena vastavalt seadusele 4557/2018 (riiklik rahapesuvastane seadus); ii) tegelike tulusaajate keskregistri (K.M.P.D.) täiustamine seaduse 4557/2018 artikli 20 alusel, et hõlbustada pädevate asutuste otsest juurdepääsu sellisele teabele ja ühenduse loomist ELi liikmesriikide vastavate registritega asjaomase ELi platvormi kaudu. K.M.P.D. asub digitaalse juhtimise ministeeriumi infosüsteemide ja digitaalse juhtimise peasekretariaadis kooskõlas seaduse 4557/2018 artikliga 20 veebipõhise elektroonilise rakenduse kaudu.</w:t>
            </w:r>
          </w:p>
        </w:tc>
      </w:tr>
      <w:tr w:rsidR="00356CBA" w:rsidRPr="003B132A" w14:paraId="558D4344" w14:textId="77777777" w:rsidTr="00C23759">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7BE024B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213</w:t>
            </w:r>
          </w:p>
        </w:tc>
        <w:tc>
          <w:tcPr>
            <w:tcW w:w="1797" w:type="dxa"/>
            <w:tcBorders>
              <w:top w:val="nil"/>
              <w:left w:val="nil"/>
              <w:bottom w:val="single" w:sz="4" w:space="0" w:color="auto"/>
              <w:right w:val="single" w:sz="4" w:space="0" w:color="auto"/>
            </w:tcBorders>
            <w:shd w:val="clear" w:color="auto" w:fill="C6EFCE"/>
            <w:noWrap/>
          </w:tcPr>
          <w:p w14:paraId="60EE2EE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16703_Võitlus ebaseadusliku kaubanduse vastu ja intellektuaalomandi kaitse</w:t>
            </w:r>
          </w:p>
        </w:tc>
        <w:tc>
          <w:tcPr>
            <w:tcW w:w="966" w:type="dxa"/>
            <w:tcBorders>
              <w:top w:val="nil"/>
              <w:left w:val="nil"/>
              <w:bottom w:val="single" w:sz="4" w:space="0" w:color="auto"/>
              <w:right w:val="single" w:sz="4" w:space="0" w:color="auto"/>
            </w:tcBorders>
            <w:shd w:val="clear" w:color="auto" w:fill="C6EFCE"/>
            <w:noWrap/>
          </w:tcPr>
          <w:p w14:paraId="2C89BE9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774" w:type="dxa"/>
            <w:tcBorders>
              <w:top w:val="nil"/>
              <w:left w:val="nil"/>
              <w:bottom w:val="single" w:sz="4" w:space="0" w:color="auto"/>
              <w:right w:val="single" w:sz="4" w:space="0" w:color="auto"/>
            </w:tcBorders>
            <w:shd w:val="clear" w:color="auto" w:fill="C6EFCE"/>
            <w:noWrap/>
          </w:tcPr>
          <w:p w14:paraId="3B607D1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Võitlus ebaseadusliku kaubanduse vastu – IT-süsteem ja kontrolljaamad</w:t>
            </w:r>
          </w:p>
        </w:tc>
        <w:tc>
          <w:tcPr>
            <w:tcW w:w="1945" w:type="dxa"/>
            <w:tcBorders>
              <w:top w:val="nil"/>
              <w:left w:val="nil"/>
              <w:bottom w:val="single" w:sz="4" w:space="0" w:color="auto"/>
              <w:right w:val="single" w:sz="4" w:space="0" w:color="auto"/>
            </w:tcBorders>
            <w:shd w:val="clear" w:color="auto" w:fill="C6EFCE"/>
            <w:noWrap/>
          </w:tcPr>
          <w:p w14:paraId="7FAADE7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IT-süsteem toimib ja 10 uut täielikult varustatud juhtimisposti (sealhulgas vajalikud seadmed) on täielikult töökorras.</w:t>
            </w:r>
          </w:p>
        </w:tc>
        <w:tc>
          <w:tcPr>
            <w:tcW w:w="977" w:type="dxa"/>
            <w:tcBorders>
              <w:top w:val="nil"/>
              <w:left w:val="nil"/>
              <w:bottom w:val="single" w:sz="4" w:space="0" w:color="auto"/>
              <w:right w:val="single" w:sz="4" w:space="0" w:color="auto"/>
            </w:tcBorders>
            <w:shd w:val="clear" w:color="auto" w:fill="C6EFCE"/>
            <w:noWrap/>
          </w:tcPr>
          <w:p w14:paraId="5924C37C"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726C407D"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3DF2F073" w14:textId="77777777" w:rsidR="00356CBA" w:rsidRPr="00AD4052" w:rsidRDefault="00356CBA">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14:paraId="2BFF3B2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708" w:type="dxa"/>
            <w:tcBorders>
              <w:top w:val="nil"/>
              <w:left w:val="nil"/>
              <w:bottom w:val="single" w:sz="4" w:space="0" w:color="auto"/>
              <w:right w:val="single" w:sz="4" w:space="0" w:color="auto"/>
            </w:tcBorders>
            <w:shd w:val="clear" w:color="auto" w:fill="C6EFCE"/>
            <w:noWrap/>
          </w:tcPr>
          <w:p w14:paraId="798C222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3865" w:type="dxa"/>
            <w:tcBorders>
              <w:top w:val="nil"/>
              <w:left w:val="nil"/>
              <w:bottom w:val="single" w:sz="4" w:space="0" w:color="auto"/>
              <w:right w:val="single" w:sz="4" w:space="0" w:color="auto"/>
            </w:tcBorders>
            <w:shd w:val="clear" w:color="auto" w:fill="C6EFCE"/>
            <w:noWrap/>
          </w:tcPr>
          <w:p w14:paraId="1007F33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Kasutusele võetakse integreeritud ja koostalitlusvõimeline infosüsteem, mis võimaldab kogu riigis teostatavate kontrollide tõhusat juhtimist, et võidelda inimkaubanduse vastu ning kontrollida kaupade ja teenuste liikumist nii sise- kui ka väliskaubanduses. Selleks et tagada uue infosüsteemi täielik kasutamine, tugevdatakse turujärelevalve asutustevahelise üksuse (DIMEA) tegevussuutlikkust, sealhulgas perifeerset taristut, juurdepääsuga vajalikele logistikaseadmetele, mis on ühendatud infosüsteemi turujärelevalve andmebaasiga, võimaldades nende kasutamist kohapealsetes kontrollides ja trahvide kohest määramist. </w:t>
            </w:r>
          </w:p>
          <w:p w14:paraId="1C0B2B6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Vajalike seadmetega (sh kolme skanneriga (HXM MobileScanTM või samaväärne)) uute juhtimisjaamade loomine, et võidelda ebaseadusliku kaubanduse vastu 10 kokkupandud hoones (ISOBOX).</w:t>
            </w:r>
          </w:p>
          <w:p w14:paraId="738BCEE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IT-süsteemide ja -seadmete toimimist käsitleva vajaliku personalikoolituse läbimine.</w:t>
            </w:r>
          </w:p>
        </w:tc>
      </w:tr>
    </w:tbl>
    <w:p w14:paraId="275A6F55" w14:textId="77777777" w:rsidR="00356CBA" w:rsidRPr="00AD4052" w:rsidRDefault="00356CBA" w:rsidP="00645BC7">
      <w:pPr>
        <w:spacing w:before="120" w:after="120" w:line="240" w:lineRule="auto"/>
        <w:jc w:val="both"/>
        <w:rPr>
          <w:rFonts w:ascii="Times New Roman" w:hAnsi="Times New Roman" w:cs="Times New Roman"/>
          <w:noProof/>
          <w:sz w:val="24"/>
          <w:szCs w:val="24"/>
        </w:rPr>
      </w:pPr>
    </w:p>
    <w:p w14:paraId="536DCB5F"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20: Avaliku halduse tugevdamine</w:t>
      </w:r>
    </w:p>
    <w:p w14:paraId="361FDDE5" w14:textId="77777777" w:rsidR="00356CBA" w:rsidRPr="00E02B5D" w:rsidRDefault="00356CBA" w:rsidP="00DE1EE5">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GOV-ERP (ID: 16705)</w:t>
      </w:r>
    </w:p>
    <w:p w14:paraId="7F90609F" w14:textId="77777777" w:rsidR="00356CBA" w:rsidRPr="00E02B5D" w:rsidRDefault="00356CBA" w:rsidP="00DE1EE5">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Raamatupidamisreform (ID: 16974)</w:t>
      </w:r>
    </w:p>
    <w:p w14:paraId="60D7AA12" w14:textId="77777777" w:rsidR="00356CBA" w:rsidRPr="00E02B5D" w:rsidRDefault="00356CBA" w:rsidP="00DE1EE5">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Kaasaegne institutsionaalne raamistik riigile kuuluvatele ettevõtetele (ID: 16657)</w:t>
      </w:r>
    </w:p>
    <w:p w14:paraId="4CA46D8C" w14:textId="77777777" w:rsidR="00356CBA" w:rsidRPr="00E02B5D" w:rsidRDefault="00356CBA" w:rsidP="00DE1EE5">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Tõhustada riigiabi võrgustikku (ID: 16701)</w:t>
      </w:r>
    </w:p>
    <w:p w14:paraId="5B0B7B1C" w14:textId="77777777" w:rsidR="00356CBA" w:rsidRPr="00E02B5D" w:rsidRDefault="00356CBA" w:rsidP="00DE1EE5">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Ajakohastada Kreeka kauba hoiuse- ja laenufondi (ID: 16940)</w:t>
      </w:r>
    </w:p>
    <w:p w14:paraId="627EC68C" w14:textId="77777777" w:rsidR="00356CBA" w:rsidRPr="00E02B5D" w:rsidRDefault="00356CBA" w:rsidP="00DE1EE5">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Riigihangete valdkonna kutseliseks muutmine (ID: 16711)</w:t>
      </w:r>
    </w:p>
    <w:p w14:paraId="3493DFD9" w14:textId="77777777" w:rsidR="00356CBA" w:rsidRPr="00E02B5D" w:rsidRDefault="00356CBA" w:rsidP="00DE1EE5">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Riikliku katastri lõpuleviimine (ID: 16986)</w:t>
      </w:r>
    </w:p>
    <w:p w14:paraId="27FF4C65" w14:textId="77777777" w:rsidR="00356CBA" w:rsidRPr="00E02B5D" w:rsidRDefault="00356CBA" w:rsidP="00645BC7">
      <w:pPr>
        <w:spacing w:after="0" w:line="240" w:lineRule="auto"/>
        <w:ind w:left="720"/>
        <w:jc w:val="both"/>
        <w:rPr>
          <w:rFonts w:ascii="Times New Roman" w:hAnsi="Times New Roman" w:cs="Times New Roman"/>
          <w:noProof/>
          <w:sz w:val="24"/>
          <w:lang w:val="en-GB"/>
        </w:rPr>
      </w:pPr>
    </w:p>
    <w:tbl>
      <w:tblPr>
        <w:tblW w:w="16297" w:type="dxa"/>
        <w:jc w:val="center"/>
        <w:tblLook w:val="04A0" w:firstRow="1" w:lastRow="0" w:firstColumn="1" w:lastColumn="0" w:noHBand="0" w:noVBand="1"/>
      </w:tblPr>
      <w:tblGrid>
        <w:gridCol w:w="1116"/>
        <w:gridCol w:w="2498"/>
        <w:gridCol w:w="1063"/>
        <w:gridCol w:w="2144"/>
        <w:gridCol w:w="1666"/>
        <w:gridCol w:w="1423"/>
        <w:gridCol w:w="1003"/>
        <w:gridCol w:w="906"/>
        <w:gridCol w:w="846"/>
        <w:gridCol w:w="673"/>
        <w:gridCol w:w="2959"/>
      </w:tblGrid>
      <w:tr w:rsidR="007B4D63" w:rsidRPr="003B132A" w14:paraId="4F5C4EA5" w14:textId="77777777" w:rsidTr="00C23759">
        <w:trPr>
          <w:trHeight w:val="640"/>
          <w:tblHeade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2279E3" w14:textId="05F40E9D"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C23759">
              <w:rPr>
                <w:rFonts w:ascii="Times New Roman" w:hAnsi="Times New Roman"/>
                <w:b/>
                <w:noProof/>
                <w:sz w:val="18"/>
              </w:rPr>
              <w:t>-</w:t>
            </w:r>
            <w:r>
              <w:rPr>
                <w:rFonts w:ascii="Times New Roman" w:hAnsi="Times New Roman"/>
                <w:b/>
                <w:noProof/>
                <w:sz w:val="18"/>
              </w:rPr>
              <w:t>number</w:t>
            </w:r>
          </w:p>
        </w:tc>
        <w:tc>
          <w:tcPr>
            <w:tcW w:w="24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AABFF9"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A938A61"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2144" w:type="dxa"/>
            <w:vMerge w:val="restart"/>
            <w:tcBorders>
              <w:top w:val="single" w:sz="4" w:space="0" w:color="auto"/>
              <w:left w:val="nil"/>
              <w:bottom w:val="single" w:sz="4" w:space="0" w:color="auto"/>
              <w:right w:val="single" w:sz="4" w:space="0" w:color="auto"/>
            </w:tcBorders>
            <w:shd w:val="clear" w:color="auto" w:fill="BDD7EE"/>
            <w:vAlign w:val="center"/>
            <w:hideMark/>
          </w:tcPr>
          <w:p w14:paraId="59305353"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F977D0"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Kvalitatiivsed näitajad </w:t>
            </w:r>
            <w:r>
              <w:rPr>
                <w:rFonts w:ascii="Times New Roman" w:hAnsi="Times New Roman"/>
                <w:noProof/>
              </w:rPr>
              <w:t xml:space="preserve"> </w:t>
            </w:r>
            <w:r>
              <w:rPr>
                <w:rFonts w:ascii="Times New Roman" w:hAnsi="Times New Roman"/>
                <w:b/>
                <w:noProof/>
                <w:sz w:val="18"/>
              </w:rPr>
              <w:t>(eesmärkide puhul)</w:t>
            </w:r>
          </w:p>
        </w:tc>
        <w:tc>
          <w:tcPr>
            <w:tcW w:w="3332" w:type="dxa"/>
            <w:gridSpan w:val="3"/>
            <w:tcBorders>
              <w:top w:val="single" w:sz="4" w:space="0" w:color="auto"/>
              <w:left w:val="nil"/>
              <w:bottom w:val="single" w:sz="4" w:space="0" w:color="auto"/>
              <w:right w:val="single" w:sz="4" w:space="0" w:color="auto"/>
            </w:tcBorders>
            <w:shd w:val="clear" w:color="auto" w:fill="BDD7EE"/>
            <w:vAlign w:val="center"/>
            <w:hideMark/>
          </w:tcPr>
          <w:p w14:paraId="5676262D"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Kvantitatiivsed näitajad </w:t>
            </w:r>
            <w:r>
              <w:rPr>
                <w:rFonts w:ascii="Times New Roman" w:hAnsi="Times New Roman"/>
                <w:noProof/>
              </w:rPr>
              <w:t xml:space="preserve"> </w:t>
            </w:r>
            <w:r>
              <w:rPr>
                <w:rFonts w:ascii="Times New Roman" w:hAnsi="Times New Roman"/>
                <w:b/>
                <w:noProof/>
                <w:sz w:val="18"/>
              </w:rPr>
              <w:t>(sihtide puhul)</w:t>
            </w:r>
          </w:p>
        </w:tc>
        <w:tc>
          <w:tcPr>
            <w:tcW w:w="1519" w:type="dxa"/>
            <w:gridSpan w:val="2"/>
            <w:tcBorders>
              <w:top w:val="single" w:sz="4" w:space="0" w:color="auto"/>
              <w:left w:val="nil"/>
              <w:bottom w:val="single" w:sz="4" w:space="0" w:color="auto"/>
              <w:right w:val="single" w:sz="4" w:space="0" w:color="auto"/>
            </w:tcBorders>
            <w:shd w:val="clear" w:color="auto" w:fill="BDD7EE"/>
            <w:vAlign w:val="center"/>
            <w:hideMark/>
          </w:tcPr>
          <w:p w14:paraId="0DA36E5B"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29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CD6303"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41F94AAD" w14:textId="77777777" w:rsidTr="00C23759">
        <w:trPr>
          <w:trHeight w:val="554"/>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2341E0A4"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3153BF1B"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74D74C3E"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14:paraId="0294D3C6"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228D001D"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42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64A2052"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003" w:type="dxa"/>
            <w:tcBorders>
              <w:top w:val="single" w:sz="4" w:space="0" w:color="auto"/>
              <w:left w:val="nil"/>
              <w:bottom w:val="single" w:sz="4" w:space="0" w:color="auto"/>
              <w:right w:val="single" w:sz="4" w:space="0" w:color="auto"/>
            </w:tcBorders>
            <w:shd w:val="clear" w:color="auto" w:fill="BDD7EE"/>
            <w:vAlign w:val="center"/>
            <w:hideMark/>
          </w:tcPr>
          <w:p w14:paraId="34C6B4B8"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tcBorders>
              <w:top w:val="single" w:sz="4" w:space="0" w:color="auto"/>
              <w:left w:val="nil"/>
              <w:bottom w:val="single" w:sz="4" w:space="0" w:color="auto"/>
              <w:right w:val="single" w:sz="4" w:space="0" w:color="auto"/>
            </w:tcBorders>
            <w:shd w:val="clear" w:color="auto" w:fill="BDD7EE"/>
            <w:vAlign w:val="center"/>
            <w:hideMark/>
          </w:tcPr>
          <w:p w14:paraId="460FC2E5"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14:paraId="65B4B30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673" w:type="dxa"/>
            <w:tcBorders>
              <w:top w:val="single" w:sz="4" w:space="0" w:color="auto"/>
              <w:left w:val="nil"/>
              <w:bottom w:val="single" w:sz="4" w:space="0" w:color="auto"/>
              <w:right w:val="single" w:sz="4" w:space="0" w:color="auto"/>
            </w:tcBorders>
            <w:shd w:val="clear" w:color="auto" w:fill="BDD7EE"/>
            <w:vAlign w:val="center"/>
            <w:hideMark/>
          </w:tcPr>
          <w:p w14:paraId="60457D64"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2959" w:type="dxa"/>
            <w:vMerge/>
            <w:tcBorders>
              <w:top w:val="single" w:sz="4" w:space="0" w:color="auto"/>
              <w:bottom w:val="single" w:sz="4" w:space="0" w:color="auto"/>
              <w:right w:val="single" w:sz="4" w:space="0" w:color="auto"/>
            </w:tcBorders>
            <w:vAlign w:val="center"/>
            <w:hideMark/>
          </w:tcPr>
          <w:p w14:paraId="64E861B5"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21694752"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3B2943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214</w:t>
            </w:r>
          </w:p>
        </w:tc>
        <w:tc>
          <w:tcPr>
            <w:tcW w:w="2498" w:type="dxa"/>
            <w:tcBorders>
              <w:top w:val="single" w:sz="4" w:space="0" w:color="auto"/>
              <w:left w:val="nil"/>
              <w:bottom w:val="single" w:sz="4" w:space="0" w:color="auto"/>
              <w:right w:val="single" w:sz="4" w:space="0" w:color="auto"/>
            </w:tcBorders>
            <w:shd w:val="clear" w:color="auto" w:fill="C6EFCE"/>
            <w:noWrap/>
          </w:tcPr>
          <w:p w14:paraId="44ED7CE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16701_Tõhustatud riigiabi võrgustik</w:t>
            </w:r>
          </w:p>
        </w:tc>
        <w:tc>
          <w:tcPr>
            <w:tcW w:w="1063" w:type="dxa"/>
            <w:tcBorders>
              <w:top w:val="single" w:sz="4" w:space="0" w:color="auto"/>
              <w:left w:val="nil"/>
              <w:bottom w:val="single" w:sz="4" w:space="0" w:color="auto"/>
              <w:right w:val="single" w:sz="4" w:space="0" w:color="auto"/>
            </w:tcBorders>
            <w:shd w:val="clear" w:color="auto" w:fill="C6EFCE"/>
            <w:noWrap/>
          </w:tcPr>
          <w:p w14:paraId="65DE02E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144" w:type="dxa"/>
            <w:tcBorders>
              <w:top w:val="single" w:sz="4" w:space="0" w:color="auto"/>
              <w:left w:val="nil"/>
              <w:bottom w:val="single" w:sz="4" w:space="0" w:color="auto"/>
              <w:right w:val="single" w:sz="4" w:space="0" w:color="auto"/>
            </w:tcBorders>
            <w:shd w:val="clear" w:color="auto" w:fill="C6EFCE"/>
            <w:noWrap/>
          </w:tcPr>
          <w:p w14:paraId="11227FB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Tõhustatud riigiabi võrgustik</w:t>
            </w:r>
          </w:p>
        </w:tc>
        <w:tc>
          <w:tcPr>
            <w:tcW w:w="1666" w:type="dxa"/>
            <w:tcBorders>
              <w:top w:val="single" w:sz="4" w:space="0" w:color="auto"/>
              <w:left w:val="nil"/>
              <w:bottom w:val="single" w:sz="4" w:space="0" w:color="auto"/>
              <w:right w:val="single" w:sz="4" w:space="0" w:color="auto"/>
            </w:tcBorders>
            <w:shd w:val="clear" w:color="auto" w:fill="C6EFCE"/>
            <w:noWrap/>
          </w:tcPr>
          <w:p w14:paraId="73892AA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Tõhustatud riigiabi raamistiku jõustumine</w:t>
            </w:r>
          </w:p>
        </w:tc>
        <w:tc>
          <w:tcPr>
            <w:tcW w:w="1423" w:type="dxa"/>
            <w:tcBorders>
              <w:top w:val="single" w:sz="4" w:space="0" w:color="auto"/>
              <w:left w:val="nil"/>
              <w:bottom w:val="single" w:sz="4" w:space="0" w:color="auto"/>
              <w:right w:val="single" w:sz="4" w:space="0" w:color="auto"/>
            </w:tcBorders>
            <w:shd w:val="clear" w:color="auto" w:fill="C6EFCE"/>
            <w:noWrap/>
          </w:tcPr>
          <w:p w14:paraId="7036067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003" w:type="dxa"/>
            <w:tcBorders>
              <w:top w:val="single" w:sz="4" w:space="0" w:color="auto"/>
              <w:left w:val="nil"/>
              <w:bottom w:val="single" w:sz="4" w:space="0" w:color="auto"/>
              <w:right w:val="single" w:sz="4" w:space="0" w:color="auto"/>
            </w:tcBorders>
            <w:shd w:val="clear" w:color="auto" w:fill="C6EFCE"/>
            <w:noWrap/>
          </w:tcPr>
          <w:p w14:paraId="63A39757"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15F1CBC9"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7823961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73" w:type="dxa"/>
            <w:tcBorders>
              <w:top w:val="single" w:sz="4" w:space="0" w:color="auto"/>
              <w:left w:val="nil"/>
              <w:bottom w:val="single" w:sz="4" w:space="0" w:color="auto"/>
              <w:right w:val="single" w:sz="4" w:space="0" w:color="auto"/>
            </w:tcBorders>
            <w:shd w:val="clear" w:color="auto" w:fill="C6EFCE"/>
            <w:noWrap/>
          </w:tcPr>
          <w:p w14:paraId="0840DEE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2959" w:type="dxa"/>
            <w:tcBorders>
              <w:top w:val="single" w:sz="4" w:space="0" w:color="auto"/>
              <w:left w:val="nil"/>
              <w:bottom w:val="single" w:sz="4" w:space="0" w:color="auto"/>
              <w:right w:val="single" w:sz="4" w:space="0" w:color="auto"/>
            </w:tcBorders>
            <w:shd w:val="clear" w:color="auto" w:fill="C6EFCE"/>
            <w:noWrap/>
          </w:tcPr>
          <w:p w14:paraId="3BB4C7F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Riigiabi keskse võrgustiku (CESANET) tegevust käsitleva riigiabi õigusraamistiku muudatuste jõustumine, et tugevdada keskse riigiabiüksuse ja detsentraliseeritud riigiabi üksuste pädevust</w:t>
            </w:r>
          </w:p>
        </w:tc>
      </w:tr>
      <w:tr w:rsidR="007B4D63" w:rsidRPr="003B132A" w14:paraId="43726A4E" w14:textId="77777777" w:rsidTr="00C23759">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5EE1EBC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215</w:t>
            </w:r>
          </w:p>
        </w:tc>
        <w:tc>
          <w:tcPr>
            <w:tcW w:w="2498" w:type="dxa"/>
            <w:tcBorders>
              <w:top w:val="nil"/>
              <w:left w:val="nil"/>
              <w:bottom w:val="single" w:sz="4" w:space="0" w:color="auto"/>
              <w:right w:val="single" w:sz="4" w:space="0" w:color="auto"/>
            </w:tcBorders>
            <w:shd w:val="clear" w:color="auto" w:fill="C6EFCE"/>
            <w:noWrap/>
          </w:tcPr>
          <w:p w14:paraId="1C1F2D1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16981_Poliitika kavandamise ja kooskõlastamise tõhustamine</w:t>
            </w:r>
          </w:p>
        </w:tc>
        <w:tc>
          <w:tcPr>
            <w:tcW w:w="1063" w:type="dxa"/>
            <w:tcBorders>
              <w:top w:val="nil"/>
              <w:left w:val="nil"/>
              <w:bottom w:val="single" w:sz="4" w:space="0" w:color="auto"/>
              <w:right w:val="single" w:sz="4" w:space="0" w:color="auto"/>
            </w:tcBorders>
            <w:shd w:val="clear" w:color="auto" w:fill="C6EFCE"/>
            <w:noWrap/>
          </w:tcPr>
          <w:p w14:paraId="73110E7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144" w:type="dxa"/>
            <w:tcBorders>
              <w:top w:val="nil"/>
              <w:left w:val="nil"/>
              <w:bottom w:val="single" w:sz="4" w:space="0" w:color="auto"/>
              <w:right w:val="single" w:sz="4" w:space="0" w:color="auto"/>
            </w:tcBorders>
            <w:shd w:val="clear" w:color="auto" w:fill="C6EFCE"/>
            <w:noWrap/>
          </w:tcPr>
          <w:p w14:paraId="7063C50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Poliitika kavandamine ja koordineerimine – mõjuhinnang</w:t>
            </w:r>
          </w:p>
        </w:tc>
        <w:tc>
          <w:tcPr>
            <w:tcW w:w="1666" w:type="dxa"/>
            <w:tcBorders>
              <w:top w:val="nil"/>
              <w:left w:val="nil"/>
              <w:bottom w:val="single" w:sz="4" w:space="0" w:color="auto"/>
              <w:right w:val="single" w:sz="4" w:space="0" w:color="auto"/>
            </w:tcBorders>
            <w:shd w:val="clear" w:color="auto" w:fill="C6EFCE"/>
            <w:noWrap/>
          </w:tcPr>
          <w:p w14:paraId="3E8AEF4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Käivitati koolitusprogramm, milles osales 100 valitud riigiteenistujat.</w:t>
            </w:r>
          </w:p>
        </w:tc>
        <w:tc>
          <w:tcPr>
            <w:tcW w:w="1423" w:type="dxa"/>
            <w:tcBorders>
              <w:top w:val="nil"/>
              <w:left w:val="nil"/>
              <w:bottom w:val="single" w:sz="4" w:space="0" w:color="auto"/>
              <w:right w:val="single" w:sz="4" w:space="0" w:color="auto"/>
            </w:tcBorders>
            <w:shd w:val="clear" w:color="auto" w:fill="C6EFCE"/>
            <w:noWrap/>
          </w:tcPr>
          <w:p w14:paraId="7309ED6D"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003" w:type="dxa"/>
            <w:tcBorders>
              <w:top w:val="nil"/>
              <w:left w:val="nil"/>
              <w:bottom w:val="single" w:sz="4" w:space="0" w:color="auto"/>
              <w:right w:val="single" w:sz="4" w:space="0" w:color="auto"/>
            </w:tcBorders>
            <w:shd w:val="clear" w:color="auto" w:fill="C6EFCE"/>
            <w:noWrap/>
          </w:tcPr>
          <w:p w14:paraId="5EE653C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4527CEF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233C520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73" w:type="dxa"/>
            <w:tcBorders>
              <w:top w:val="nil"/>
              <w:left w:val="nil"/>
              <w:bottom w:val="single" w:sz="4" w:space="0" w:color="auto"/>
              <w:right w:val="single" w:sz="4" w:space="0" w:color="auto"/>
            </w:tcBorders>
            <w:shd w:val="clear" w:color="auto" w:fill="C6EFCE"/>
            <w:noWrap/>
          </w:tcPr>
          <w:p w14:paraId="5C24482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2959" w:type="dxa"/>
            <w:tcBorders>
              <w:top w:val="nil"/>
              <w:left w:val="nil"/>
              <w:bottom w:val="single" w:sz="4" w:space="0" w:color="auto"/>
              <w:right w:val="single" w:sz="4" w:space="0" w:color="auto"/>
            </w:tcBorders>
            <w:shd w:val="clear" w:color="auto" w:fill="C6EFCE"/>
            <w:noWrap/>
          </w:tcPr>
          <w:p w14:paraId="76F22B4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Pärast mõju hindamise elektroonilise platvormi käivitamist käivitatakse koolitusprogramm ja sellega seotud akrediteerimismenetlus, kuhu on kaasatud vähemalt 100 ametnikku, sealhulgas tegevjuhtkonda valitud ametnikud (seadus nr 4622/2019, artikkel 104), et parandada koostatud mõjuhinnangute kvaliteeti ja hõlbustada elektroonilise platvormi kasutamist. </w:t>
            </w:r>
          </w:p>
        </w:tc>
      </w:tr>
      <w:tr w:rsidR="00356CBA" w:rsidRPr="003B132A" w14:paraId="115239DB" w14:textId="77777777" w:rsidTr="00C23759">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1764F866"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216a</w:t>
            </w:r>
          </w:p>
        </w:tc>
        <w:tc>
          <w:tcPr>
            <w:tcW w:w="2498" w:type="dxa"/>
            <w:tcBorders>
              <w:top w:val="nil"/>
              <w:left w:val="nil"/>
              <w:bottom w:val="single" w:sz="4" w:space="0" w:color="auto"/>
              <w:right w:val="single" w:sz="4" w:space="0" w:color="auto"/>
            </w:tcBorders>
            <w:shd w:val="clear" w:color="auto" w:fill="C6EFCE"/>
            <w:noWrap/>
          </w:tcPr>
          <w:p w14:paraId="179A0E2A"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 xml:space="preserve">13-4.2. Ajakohastada avalikku haldust, sealhulgas avaliku sektori investeeringute rakendamise kiirendamise, riigihankeraamistiku parandamise, suutlikkuse suurendamise meetmete ja korruptsioonivastase võitluse kaudu – 16711_Riigihangete valdkonna professionaalsemaks muutmine  </w:t>
            </w:r>
          </w:p>
        </w:tc>
        <w:tc>
          <w:tcPr>
            <w:tcW w:w="1063" w:type="dxa"/>
            <w:tcBorders>
              <w:top w:val="nil"/>
              <w:left w:val="nil"/>
              <w:bottom w:val="single" w:sz="4" w:space="0" w:color="auto"/>
              <w:right w:val="single" w:sz="4" w:space="0" w:color="auto"/>
            </w:tcBorders>
            <w:shd w:val="clear" w:color="auto" w:fill="C6EFCE"/>
            <w:noWrap/>
          </w:tcPr>
          <w:p w14:paraId="0C1E2213"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Eesmärk</w:t>
            </w:r>
          </w:p>
        </w:tc>
        <w:tc>
          <w:tcPr>
            <w:tcW w:w="2144" w:type="dxa"/>
            <w:tcBorders>
              <w:top w:val="nil"/>
              <w:left w:val="nil"/>
              <w:bottom w:val="single" w:sz="4" w:space="0" w:color="auto"/>
              <w:right w:val="single" w:sz="4" w:space="0" w:color="auto"/>
            </w:tcBorders>
            <w:shd w:val="clear" w:color="auto" w:fill="C6EFCE"/>
            <w:noWrap/>
          </w:tcPr>
          <w:p w14:paraId="7B0DEAF2"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Riikliku riigihankestrateegia (2021–2025) muutmine</w:t>
            </w:r>
          </w:p>
        </w:tc>
        <w:tc>
          <w:tcPr>
            <w:tcW w:w="1666" w:type="dxa"/>
            <w:tcBorders>
              <w:top w:val="nil"/>
              <w:left w:val="nil"/>
              <w:bottom w:val="single" w:sz="4" w:space="0" w:color="auto"/>
              <w:right w:val="single" w:sz="4" w:space="0" w:color="auto"/>
            </w:tcBorders>
            <w:shd w:val="clear" w:color="auto" w:fill="C6EFCE"/>
            <w:noWrap/>
          </w:tcPr>
          <w:p w14:paraId="5FFB4105"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Riigihangete riikliku strateegia muudatus jõustub teisese õigusaktiga</w:t>
            </w:r>
          </w:p>
          <w:p w14:paraId="44FA4770" w14:textId="77777777" w:rsidR="00356CBA" w:rsidRPr="00AD4052" w:rsidRDefault="00356CBA" w:rsidP="00D16F13">
            <w:pPr>
              <w:spacing w:line="240" w:lineRule="auto"/>
              <w:rPr>
                <w:rFonts w:eastAsia="Times New Roman" w:cs="Calibri"/>
                <w:noProof/>
                <w:color w:val="006100"/>
                <w:sz w:val="18"/>
                <w:szCs w:val="18"/>
                <w:lang w:eastAsia="en-GB"/>
              </w:rPr>
            </w:pPr>
          </w:p>
        </w:tc>
        <w:tc>
          <w:tcPr>
            <w:tcW w:w="1423" w:type="dxa"/>
            <w:tcBorders>
              <w:top w:val="nil"/>
              <w:left w:val="nil"/>
              <w:bottom w:val="single" w:sz="4" w:space="0" w:color="auto"/>
              <w:right w:val="single" w:sz="4" w:space="0" w:color="auto"/>
            </w:tcBorders>
            <w:shd w:val="clear" w:color="auto" w:fill="C6EFCE"/>
            <w:noWrap/>
          </w:tcPr>
          <w:p w14:paraId="50937FBC" w14:textId="77777777" w:rsidR="00356CBA" w:rsidRPr="00AD4052" w:rsidRDefault="00356CBA" w:rsidP="00D16F13">
            <w:pPr>
              <w:spacing w:line="240" w:lineRule="auto"/>
              <w:rPr>
                <w:rFonts w:eastAsia="Times New Roman" w:cs="Calibri"/>
                <w:noProof/>
                <w:color w:val="006100"/>
                <w:sz w:val="18"/>
                <w:szCs w:val="18"/>
                <w:lang w:eastAsia="en-GB"/>
              </w:rPr>
            </w:pPr>
          </w:p>
        </w:tc>
        <w:tc>
          <w:tcPr>
            <w:tcW w:w="1003" w:type="dxa"/>
            <w:tcBorders>
              <w:top w:val="nil"/>
              <w:left w:val="nil"/>
              <w:bottom w:val="single" w:sz="4" w:space="0" w:color="auto"/>
              <w:right w:val="single" w:sz="4" w:space="0" w:color="auto"/>
            </w:tcBorders>
            <w:shd w:val="clear" w:color="auto" w:fill="C6EFCE"/>
            <w:noWrap/>
          </w:tcPr>
          <w:p w14:paraId="4598264A" w14:textId="77777777" w:rsidR="00356CBA" w:rsidRPr="00AD4052" w:rsidRDefault="00356CBA" w:rsidP="00D16F13">
            <w:pPr>
              <w:spacing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7901BA4C" w14:textId="77777777" w:rsidR="00356CBA" w:rsidRPr="00AD4052" w:rsidRDefault="00356CBA" w:rsidP="00D16F13">
            <w:pPr>
              <w:spacing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14:paraId="5254F882"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4. kv</w:t>
            </w:r>
          </w:p>
        </w:tc>
        <w:tc>
          <w:tcPr>
            <w:tcW w:w="673" w:type="dxa"/>
            <w:tcBorders>
              <w:top w:val="nil"/>
              <w:left w:val="nil"/>
              <w:bottom w:val="single" w:sz="4" w:space="0" w:color="auto"/>
              <w:right w:val="single" w:sz="4" w:space="0" w:color="auto"/>
            </w:tcBorders>
            <w:shd w:val="clear" w:color="auto" w:fill="C6EFCE"/>
            <w:noWrap/>
          </w:tcPr>
          <w:p w14:paraId="20CE79A8"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2023</w:t>
            </w:r>
          </w:p>
        </w:tc>
        <w:tc>
          <w:tcPr>
            <w:tcW w:w="2959" w:type="dxa"/>
            <w:tcBorders>
              <w:top w:val="nil"/>
              <w:left w:val="nil"/>
              <w:bottom w:val="single" w:sz="4" w:space="0" w:color="auto"/>
              <w:right w:val="single" w:sz="4" w:space="0" w:color="auto"/>
            </w:tcBorders>
            <w:shd w:val="clear" w:color="auto" w:fill="C6EFCE"/>
            <w:noWrap/>
          </w:tcPr>
          <w:p w14:paraId="2C1DE11F"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Jõustumine muudetud riikliku riigihankestrateegia (2021–2025) teiseste õigusaktidega</w:t>
            </w:r>
          </w:p>
        </w:tc>
      </w:tr>
      <w:tr w:rsidR="007B4D63" w:rsidRPr="003B132A" w14:paraId="0CF8858B" w14:textId="77777777" w:rsidTr="00C23759">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hideMark/>
          </w:tcPr>
          <w:p w14:paraId="1A824700" w14:textId="464F1E8A" w:rsidR="00356CBA" w:rsidRPr="00E02B5D" w:rsidRDefault="00356CBA">
            <w:pPr>
              <w:spacing w:after="0" w:line="240" w:lineRule="auto"/>
              <w:rPr>
                <w:rFonts w:eastAsia="Times New Roman" w:cs="Calibri"/>
                <w:noProof/>
                <w:color w:val="006100"/>
                <w:sz w:val="18"/>
                <w:szCs w:val="18"/>
              </w:rPr>
            </w:pPr>
            <w:r>
              <w:rPr>
                <w:noProof/>
                <w:color w:val="006100"/>
                <w:sz w:val="18"/>
              </w:rPr>
              <w:t>216</w:t>
            </w:r>
          </w:p>
        </w:tc>
        <w:tc>
          <w:tcPr>
            <w:tcW w:w="2498" w:type="dxa"/>
            <w:tcBorders>
              <w:top w:val="nil"/>
              <w:left w:val="nil"/>
              <w:bottom w:val="single" w:sz="4" w:space="0" w:color="auto"/>
              <w:right w:val="single" w:sz="4" w:space="0" w:color="auto"/>
            </w:tcBorders>
            <w:shd w:val="clear" w:color="auto" w:fill="C6EFCE"/>
            <w:noWrap/>
            <w:hideMark/>
          </w:tcPr>
          <w:p w14:paraId="12EA869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16711_Riigihangete valdkonna professionaalsemaks muutmine</w:t>
            </w:r>
          </w:p>
        </w:tc>
        <w:tc>
          <w:tcPr>
            <w:tcW w:w="1063" w:type="dxa"/>
            <w:tcBorders>
              <w:top w:val="nil"/>
              <w:left w:val="nil"/>
              <w:bottom w:val="single" w:sz="4" w:space="0" w:color="auto"/>
              <w:right w:val="single" w:sz="4" w:space="0" w:color="auto"/>
            </w:tcBorders>
            <w:shd w:val="clear" w:color="auto" w:fill="C6EFCE"/>
            <w:noWrap/>
            <w:hideMark/>
          </w:tcPr>
          <w:p w14:paraId="4A39520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144" w:type="dxa"/>
            <w:tcBorders>
              <w:top w:val="nil"/>
              <w:left w:val="nil"/>
              <w:bottom w:val="single" w:sz="4" w:space="0" w:color="auto"/>
              <w:right w:val="single" w:sz="4" w:space="0" w:color="auto"/>
            </w:tcBorders>
            <w:shd w:val="clear" w:color="auto" w:fill="C6EFCE"/>
            <w:noWrap/>
            <w:hideMark/>
          </w:tcPr>
          <w:p w14:paraId="140C98D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Riigihangete valdkonna professionaalsemaks muutmine – uued õigusaktid</w:t>
            </w:r>
          </w:p>
        </w:tc>
        <w:tc>
          <w:tcPr>
            <w:tcW w:w="1666" w:type="dxa"/>
            <w:tcBorders>
              <w:top w:val="nil"/>
              <w:left w:val="nil"/>
              <w:bottom w:val="single" w:sz="4" w:space="0" w:color="auto"/>
              <w:right w:val="single" w:sz="4" w:space="0" w:color="auto"/>
            </w:tcBorders>
            <w:shd w:val="clear" w:color="auto" w:fill="C6EFCE"/>
            <w:noWrap/>
            <w:hideMark/>
          </w:tcPr>
          <w:p w14:paraId="4250D9E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Jõustusid uued õigusaktid; süvauuring lõpetatud</w:t>
            </w:r>
          </w:p>
        </w:tc>
        <w:tc>
          <w:tcPr>
            <w:tcW w:w="1423" w:type="dxa"/>
            <w:tcBorders>
              <w:top w:val="nil"/>
              <w:left w:val="nil"/>
              <w:bottom w:val="single" w:sz="4" w:space="0" w:color="auto"/>
              <w:right w:val="single" w:sz="4" w:space="0" w:color="auto"/>
            </w:tcBorders>
            <w:shd w:val="clear" w:color="auto" w:fill="C6EFCE"/>
            <w:noWrap/>
            <w:hideMark/>
          </w:tcPr>
          <w:p w14:paraId="32C3822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1003" w:type="dxa"/>
            <w:tcBorders>
              <w:top w:val="nil"/>
              <w:left w:val="nil"/>
              <w:bottom w:val="single" w:sz="4" w:space="0" w:color="auto"/>
              <w:right w:val="single" w:sz="4" w:space="0" w:color="auto"/>
            </w:tcBorders>
            <w:shd w:val="clear" w:color="auto" w:fill="C6EFCE"/>
            <w:noWrap/>
            <w:hideMark/>
          </w:tcPr>
          <w:p w14:paraId="1164DDD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906" w:type="dxa"/>
            <w:tcBorders>
              <w:top w:val="nil"/>
              <w:left w:val="nil"/>
              <w:bottom w:val="single" w:sz="4" w:space="0" w:color="auto"/>
              <w:right w:val="single" w:sz="4" w:space="0" w:color="auto"/>
            </w:tcBorders>
            <w:shd w:val="clear" w:color="auto" w:fill="C6EFCE"/>
            <w:noWrap/>
            <w:hideMark/>
          </w:tcPr>
          <w:p w14:paraId="659F92D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846" w:type="dxa"/>
            <w:tcBorders>
              <w:top w:val="nil"/>
              <w:left w:val="nil"/>
              <w:bottom w:val="single" w:sz="4" w:space="0" w:color="auto"/>
              <w:right w:val="single" w:sz="4" w:space="0" w:color="auto"/>
            </w:tcBorders>
            <w:shd w:val="clear" w:color="auto" w:fill="C6EFCE"/>
            <w:noWrap/>
            <w:hideMark/>
          </w:tcPr>
          <w:p w14:paraId="35D1271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673" w:type="dxa"/>
            <w:tcBorders>
              <w:top w:val="nil"/>
              <w:left w:val="nil"/>
              <w:bottom w:val="single" w:sz="4" w:space="0" w:color="auto"/>
              <w:right w:val="single" w:sz="4" w:space="0" w:color="auto"/>
            </w:tcBorders>
            <w:shd w:val="clear" w:color="auto" w:fill="C6EFCE"/>
            <w:noWrap/>
            <w:hideMark/>
          </w:tcPr>
          <w:p w14:paraId="33D6315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2959" w:type="dxa"/>
            <w:tcBorders>
              <w:top w:val="nil"/>
              <w:left w:val="nil"/>
              <w:bottom w:val="single" w:sz="4" w:space="0" w:color="auto"/>
              <w:right w:val="single" w:sz="4" w:space="0" w:color="auto"/>
            </w:tcBorders>
            <w:shd w:val="clear" w:color="auto" w:fill="C6EFCE"/>
            <w:noWrap/>
            <w:hideMark/>
          </w:tcPr>
          <w:p w14:paraId="3B2EC997" w14:textId="77777777" w:rsidR="00356CBA" w:rsidRPr="00E02B5D" w:rsidRDefault="00356CBA" w:rsidP="00562DE0">
            <w:pPr>
              <w:spacing w:after="0" w:line="240" w:lineRule="auto"/>
              <w:rPr>
                <w:rFonts w:eastAsia="Times New Roman" w:cs="Calibri"/>
                <w:noProof/>
                <w:color w:val="006100"/>
                <w:sz w:val="18"/>
                <w:szCs w:val="18"/>
              </w:rPr>
            </w:pPr>
            <w:r>
              <w:rPr>
                <w:noProof/>
                <w:color w:val="006100"/>
                <w:sz w:val="18"/>
              </w:rPr>
              <w:t>i) Jõustuvad uued õigusaktid, millega nähakse ette professionaalsed töösuunad riigihangetega tegelevatele töötajatele, erioskuste rühmadele ning võetakse vastu rahalised ja mitterahalised stiimulid täielikus kooskõlas ühtse palgaastmestikuga (seadus 4354/2015) ilma erandeid kehtestamata; ii) süvauuringu lõpuleviimine, et korraldada ümber tsentraliseeritud riigihankelepinguid korraldavate asjaomaste asutuste struktuur ja kohustused.</w:t>
            </w:r>
          </w:p>
        </w:tc>
      </w:tr>
      <w:tr w:rsidR="007B4D63" w:rsidRPr="003B132A" w14:paraId="61020C0A" w14:textId="77777777" w:rsidTr="00C23759">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hideMark/>
          </w:tcPr>
          <w:p w14:paraId="3527D740" w14:textId="64536906" w:rsidR="00356CBA" w:rsidRPr="00E02B5D" w:rsidRDefault="00356CBA">
            <w:pPr>
              <w:spacing w:after="0" w:line="240" w:lineRule="auto"/>
              <w:rPr>
                <w:rFonts w:eastAsia="Times New Roman" w:cs="Calibri"/>
                <w:noProof/>
                <w:color w:val="006100"/>
                <w:sz w:val="18"/>
                <w:szCs w:val="18"/>
              </w:rPr>
            </w:pPr>
            <w:r>
              <w:rPr>
                <w:noProof/>
                <w:color w:val="006100"/>
                <w:sz w:val="18"/>
              </w:rPr>
              <w:t>217</w:t>
            </w:r>
          </w:p>
        </w:tc>
        <w:tc>
          <w:tcPr>
            <w:tcW w:w="2498" w:type="dxa"/>
            <w:tcBorders>
              <w:top w:val="nil"/>
              <w:left w:val="nil"/>
              <w:bottom w:val="single" w:sz="4" w:space="0" w:color="auto"/>
              <w:right w:val="single" w:sz="4" w:space="0" w:color="auto"/>
            </w:tcBorders>
            <w:shd w:val="clear" w:color="auto" w:fill="C6EFCE"/>
            <w:noWrap/>
            <w:hideMark/>
          </w:tcPr>
          <w:p w14:paraId="54797D1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16940_Kreeka saadetiste hoiu- ja laenufondi moderniseerimine </w:t>
            </w:r>
          </w:p>
        </w:tc>
        <w:tc>
          <w:tcPr>
            <w:tcW w:w="1063" w:type="dxa"/>
            <w:tcBorders>
              <w:top w:val="nil"/>
              <w:left w:val="nil"/>
              <w:bottom w:val="single" w:sz="4" w:space="0" w:color="auto"/>
              <w:right w:val="single" w:sz="4" w:space="0" w:color="auto"/>
            </w:tcBorders>
            <w:shd w:val="clear" w:color="auto" w:fill="C6EFCE"/>
            <w:noWrap/>
            <w:hideMark/>
          </w:tcPr>
          <w:p w14:paraId="53C139E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144" w:type="dxa"/>
            <w:tcBorders>
              <w:top w:val="nil"/>
              <w:left w:val="nil"/>
              <w:bottom w:val="single" w:sz="4" w:space="0" w:color="auto"/>
              <w:right w:val="single" w:sz="4" w:space="0" w:color="auto"/>
            </w:tcBorders>
            <w:shd w:val="clear" w:color="auto" w:fill="C6EFCE"/>
            <w:noWrap/>
            <w:hideMark/>
          </w:tcPr>
          <w:p w14:paraId="36D6CBC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Kreeka saadetiste hoiu- ja laenufondi Kreeka saadetiste ja hoiu- ja laenufondikõigi allprojektide lõpuleviimine</w:t>
            </w:r>
          </w:p>
        </w:tc>
        <w:tc>
          <w:tcPr>
            <w:tcW w:w="1666" w:type="dxa"/>
            <w:tcBorders>
              <w:top w:val="nil"/>
              <w:left w:val="nil"/>
              <w:bottom w:val="single" w:sz="4" w:space="0" w:color="auto"/>
              <w:right w:val="single" w:sz="4" w:space="0" w:color="auto"/>
            </w:tcBorders>
            <w:shd w:val="clear" w:color="auto" w:fill="C6EFCE"/>
            <w:noWrap/>
            <w:hideMark/>
          </w:tcPr>
          <w:p w14:paraId="6955477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Kreeka kauba hoiuse- ja laenufondi aruanne, mis tõendab allprojektide lõpuleviimist.</w:t>
            </w:r>
          </w:p>
        </w:tc>
        <w:tc>
          <w:tcPr>
            <w:tcW w:w="1423" w:type="dxa"/>
            <w:tcBorders>
              <w:top w:val="nil"/>
              <w:left w:val="nil"/>
              <w:bottom w:val="single" w:sz="4" w:space="0" w:color="auto"/>
              <w:right w:val="single" w:sz="4" w:space="0" w:color="auto"/>
            </w:tcBorders>
            <w:shd w:val="clear" w:color="auto" w:fill="C6EFCE"/>
            <w:noWrap/>
            <w:hideMark/>
          </w:tcPr>
          <w:p w14:paraId="07A4ACAE" w14:textId="77777777" w:rsidR="00356CBA" w:rsidRPr="00AD4052" w:rsidRDefault="00356CBA">
            <w:pPr>
              <w:spacing w:after="0" w:line="240" w:lineRule="auto"/>
              <w:rPr>
                <w:rFonts w:eastAsia="Times New Roman" w:cs="Calibri"/>
                <w:noProof/>
                <w:color w:val="006100"/>
                <w:sz w:val="18"/>
                <w:szCs w:val="18"/>
                <w:lang w:eastAsia="en-GB"/>
              </w:rPr>
            </w:pPr>
          </w:p>
        </w:tc>
        <w:tc>
          <w:tcPr>
            <w:tcW w:w="1003" w:type="dxa"/>
            <w:tcBorders>
              <w:top w:val="nil"/>
              <w:left w:val="nil"/>
              <w:bottom w:val="single" w:sz="4" w:space="0" w:color="auto"/>
              <w:right w:val="single" w:sz="4" w:space="0" w:color="auto"/>
            </w:tcBorders>
            <w:shd w:val="clear" w:color="auto" w:fill="C6EFCE"/>
            <w:noWrap/>
            <w:hideMark/>
          </w:tcPr>
          <w:p w14:paraId="5381450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906" w:type="dxa"/>
            <w:tcBorders>
              <w:top w:val="nil"/>
              <w:left w:val="nil"/>
              <w:bottom w:val="single" w:sz="4" w:space="0" w:color="auto"/>
              <w:right w:val="single" w:sz="4" w:space="0" w:color="auto"/>
            </w:tcBorders>
            <w:shd w:val="clear" w:color="auto" w:fill="C6EFCE"/>
            <w:noWrap/>
            <w:hideMark/>
          </w:tcPr>
          <w:p w14:paraId="2141479A"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hideMark/>
          </w:tcPr>
          <w:p w14:paraId="6064ABA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673" w:type="dxa"/>
            <w:tcBorders>
              <w:top w:val="nil"/>
              <w:left w:val="nil"/>
              <w:bottom w:val="single" w:sz="4" w:space="0" w:color="auto"/>
              <w:right w:val="single" w:sz="4" w:space="0" w:color="auto"/>
            </w:tcBorders>
            <w:shd w:val="clear" w:color="auto" w:fill="C6EFCE"/>
            <w:noWrap/>
            <w:hideMark/>
          </w:tcPr>
          <w:p w14:paraId="111ABF5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959" w:type="dxa"/>
            <w:tcBorders>
              <w:top w:val="nil"/>
              <w:left w:val="nil"/>
              <w:bottom w:val="single" w:sz="4" w:space="0" w:color="auto"/>
              <w:right w:val="single" w:sz="4" w:space="0" w:color="auto"/>
            </w:tcBorders>
            <w:shd w:val="clear" w:color="auto" w:fill="C6EFCE"/>
            <w:noWrap/>
            <w:hideMark/>
          </w:tcPr>
          <w:p w14:paraId="4A2AA4D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Kreeka saadetiste ja hoiu- ja laenufondi aruanne allprojektide lõpuleviimise kohta. i) Kreeka saadetiste ja hoiu- ja laenufondi kõigi allprojektide lõpuleviimine: ii) arhiivide digitaliseerimine ja dokumendihaldussüsteem; iii) integreeritud infosüsteem; iv) ERP infosüsteem; hallatud trükiteenused; v) Personalijuhtimise süsteem.</w:t>
            </w:r>
          </w:p>
        </w:tc>
      </w:tr>
      <w:tr w:rsidR="007B4D63" w:rsidRPr="003B132A" w14:paraId="0146CC1B"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hideMark/>
          </w:tcPr>
          <w:p w14:paraId="2694D039" w14:textId="6EF103A9" w:rsidR="00356CBA" w:rsidRPr="00E02B5D" w:rsidRDefault="00356CBA">
            <w:pPr>
              <w:spacing w:after="0" w:line="240" w:lineRule="auto"/>
              <w:rPr>
                <w:rFonts w:eastAsia="Times New Roman" w:cs="Calibri"/>
                <w:noProof/>
                <w:color w:val="006100"/>
                <w:sz w:val="18"/>
                <w:szCs w:val="18"/>
              </w:rPr>
            </w:pPr>
            <w:r>
              <w:rPr>
                <w:noProof/>
                <w:color w:val="006100"/>
                <w:sz w:val="18"/>
              </w:rPr>
              <w:t>218</w:t>
            </w:r>
          </w:p>
        </w:tc>
        <w:tc>
          <w:tcPr>
            <w:tcW w:w="2498" w:type="dxa"/>
            <w:tcBorders>
              <w:top w:val="single" w:sz="4" w:space="0" w:color="auto"/>
              <w:left w:val="single" w:sz="4" w:space="0" w:color="auto"/>
              <w:bottom w:val="single" w:sz="4" w:space="0" w:color="auto"/>
              <w:right w:val="single" w:sz="4" w:space="0" w:color="auto"/>
            </w:tcBorders>
            <w:shd w:val="clear" w:color="auto" w:fill="C6EFCE"/>
            <w:noWrap/>
            <w:hideMark/>
          </w:tcPr>
          <w:p w14:paraId="3604E67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16711_Riigihangete valdkonna professionaalsemaks muutmine</w:t>
            </w:r>
          </w:p>
        </w:tc>
        <w:tc>
          <w:tcPr>
            <w:tcW w:w="1063" w:type="dxa"/>
            <w:tcBorders>
              <w:top w:val="single" w:sz="4" w:space="0" w:color="auto"/>
              <w:left w:val="single" w:sz="4" w:space="0" w:color="auto"/>
              <w:bottom w:val="single" w:sz="4" w:space="0" w:color="auto"/>
              <w:right w:val="single" w:sz="4" w:space="0" w:color="auto"/>
            </w:tcBorders>
            <w:shd w:val="clear" w:color="auto" w:fill="C6EFCE"/>
            <w:noWrap/>
            <w:hideMark/>
          </w:tcPr>
          <w:p w14:paraId="750A08D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144" w:type="dxa"/>
            <w:tcBorders>
              <w:top w:val="single" w:sz="4" w:space="0" w:color="auto"/>
              <w:left w:val="single" w:sz="4" w:space="0" w:color="auto"/>
              <w:bottom w:val="single" w:sz="4" w:space="0" w:color="auto"/>
              <w:right w:val="single" w:sz="4" w:space="0" w:color="auto"/>
            </w:tcBorders>
            <w:shd w:val="clear" w:color="auto" w:fill="C6EFCE"/>
            <w:noWrap/>
            <w:hideMark/>
          </w:tcPr>
          <w:p w14:paraId="1D02275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2021. –2025. aasta riikliku riigihangete strateegia rakendamine</w:t>
            </w:r>
          </w:p>
        </w:tc>
        <w:tc>
          <w:tcPr>
            <w:tcW w:w="1666" w:type="dxa"/>
            <w:tcBorders>
              <w:top w:val="single" w:sz="4" w:space="0" w:color="auto"/>
              <w:left w:val="single" w:sz="4" w:space="0" w:color="auto"/>
              <w:bottom w:val="single" w:sz="4" w:space="0" w:color="auto"/>
              <w:right w:val="single" w:sz="4" w:space="0" w:color="auto"/>
            </w:tcBorders>
            <w:shd w:val="clear" w:color="auto" w:fill="C6EFCE"/>
            <w:noWrap/>
            <w:hideMark/>
          </w:tcPr>
          <w:p w14:paraId="76AC7C4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Täielikult rakendatud riiklik riigihankestrateegia</w:t>
            </w:r>
          </w:p>
        </w:tc>
        <w:tc>
          <w:tcPr>
            <w:tcW w:w="1423" w:type="dxa"/>
            <w:tcBorders>
              <w:top w:val="single" w:sz="4" w:space="0" w:color="auto"/>
              <w:left w:val="single" w:sz="4" w:space="0" w:color="auto"/>
              <w:bottom w:val="single" w:sz="4" w:space="0" w:color="auto"/>
              <w:right w:val="single" w:sz="4" w:space="0" w:color="auto"/>
            </w:tcBorders>
            <w:shd w:val="clear" w:color="auto" w:fill="C6EFCE"/>
            <w:noWrap/>
            <w:hideMark/>
          </w:tcPr>
          <w:p w14:paraId="5228FF7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C6EFCE"/>
            <w:noWrap/>
            <w:hideMark/>
          </w:tcPr>
          <w:p w14:paraId="09DE721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906" w:type="dxa"/>
            <w:tcBorders>
              <w:top w:val="single" w:sz="4" w:space="0" w:color="auto"/>
              <w:left w:val="single" w:sz="4" w:space="0" w:color="auto"/>
              <w:bottom w:val="single" w:sz="4" w:space="0" w:color="auto"/>
              <w:right w:val="single" w:sz="4" w:space="0" w:color="auto"/>
            </w:tcBorders>
            <w:shd w:val="clear" w:color="auto" w:fill="C6EFCE"/>
            <w:noWrap/>
            <w:hideMark/>
          </w:tcPr>
          <w:p w14:paraId="35CBDD1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C6EFCE"/>
            <w:noWrap/>
            <w:hideMark/>
          </w:tcPr>
          <w:p w14:paraId="68ED4AB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73" w:type="dxa"/>
            <w:tcBorders>
              <w:top w:val="single" w:sz="4" w:space="0" w:color="auto"/>
              <w:left w:val="single" w:sz="4" w:space="0" w:color="auto"/>
              <w:bottom w:val="single" w:sz="4" w:space="0" w:color="auto"/>
              <w:right w:val="single" w:sz="4" w:space="0" w:color="auto"/>
            </w:tcBorders>
            <w:shd w:val="clear" w:color="auto" w:fill="C6EFCE"/>
            <w:noWrap/>
            <w:hideMark/>
          </w:tcPr>
          <w:p w14:paraId="7258316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959" w:type="dxa"/>
            <w:tcBorders>
              <w:top w:val="single" w:sz="4" w:space="0" w:color="auto"/>
              <w:left w:val="single" w:sz="4" w:space="0" w:color="auto"/>
              <w:bottom w:val="single" w:sz="4" w:space="0" w:color="auto"/>
              <w:right w:val="single" w:sz="4" w:space="0" w:color="auto"/>
            </w:tcBorders>
            <w:shd w:val="clear" w:color="auto" w:fill="C6EFCE"/>
            <w:noWrap/>
            <w:hideMark/>
          </w:tcPr>
          <w:p w14:paraId="3C6B73D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Riikliku riigihankestrateegia rakendamine, sealhulgas: i) riigihangete õigusraamistiku reform; ii) riigihangete valdkonna digiüleminek ja algusest lõpuni e-riigihanked; iii) laiemate strateegiliste eesmärkide ja poliitiliste algatuste saavutamine; iv) riigihangete juhtimisraamistiku reform.</w:t>
            </w:r>
          </w:p>
        </w:tc>
      </w:tr>
      <w:tr w:rsidR="007B4D63" w:rsidRPr="00E02B5D" w14:paraId="46CB1F7C"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410DD9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219</w:t>
            </w:r>
          </w:p>
        </w:tc>
        <w:tc>
          <w:tcPr>
            <w:tcW w:w="2498" w:type="dxa"/>
            <w:tcBorders>
              <w:top w:val="single" w:sz="4" w:space="0" w:color="auto"/>
              <w:left w:val="nil"/>
              <w:bottom w:val="single" w:sz="4" w:space="0" w:color="auto"/>
              <w:right w:val="single" w:sz="4" w:space="0" w:color="auto"/>
            </w:tcBorders>
            <w:shd w:val="clear" w:color="auto" w:fill="C6EFCE"/>
            <w:noWrap/>
          </w:tcPr>
          <w:p w14:paraId="66126D2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16974_Raamatupidamisreform</w:t>
            </w:r>
          </w:p>
        </w:tc>
        <w:tc>
          <w:tcPr>
            <w:tcW w:w="1063" w:type="dxa"/>
            <w:tcBorders>
              <w:top w:val="single" w:sz="4" w:space="0" w:color="auto"/>
              <w:left w:val="nil"/>
              <w:bottom w:val="single" w:sz="4" w:space="0" w:color="auto"/>
              <w:right w:val="single" w:sz="4" w:space="0" w:color="auto"/>
            </w:tcBorders>
            <w:shd w:val="clear" w:color="auto" w:fill="C6EFCE"/>
            <w:noWrap/>
          </w:tcPr>
          <w:p w14:paraId="6BF37C4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144" w:type="dxa"/>
            <w:tcBorders>
              <w:top w:val="single" w:sz="4" w:space="0" w:color="auto"/>
              <w:left w:val="nil"/>
              <w:bottom w:val="single" w:sz="4" w:space="0" w:color="auto"/>
              <w:right w:val="single" w:sz="4" w:space="0" w:color="auto"/>
            </w:tcBorders>
            <w:shd w:val="clear" w:color="auto" w:fill="C6EFCE"/>
            <w:noWrap/>
          </w:tcPr>
          <w:p w14:paraId="76F47E6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Raamatupidamisreform</w:t>
            </w:r>
          </w:p>
          <w:p w14:paraId="1CA2D72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Raamatupidamise konsolideeritud aastaaruanne</w:t>
            </w:r>
          </w:p>
        </w:tc>
        <w:tc>
          <w:tcPr>
            <w:tcW w:w="1666" w:type="dxa"/>
            <w:tcBorders>
              <w:top w:val="single" w:sz="4" w:space="0" w:color="auto"/>
              <w:left w:val="nil"/>
              <w:bottom w:val="single" w:sz="4" w:space="0" w:color="auto"/>
              <w:right w:val="single" w:sz="4" w:space="0" w:color="auto"/>
            </w:tcBorders>
            <w:shd w:val="clear" w:color="auto" w:fill="C6EFCE"/>
            <w:noWrap/>
          </w:tcPr>
          <w:p w14:paraId="2E254FA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Lõpetatud konsolideeritud finantsaruannete koostamine.</w:t>
            </w:r>
          </w:p>
        </w:tc>
        <w:tc>
          <w:tcPr>
            <w:tcW w:w="1423" w:type="dxa"/>
            <w:tcBorders>
              <w:top w:val="single" w:sz="4" w:space="0" w:color="auto"/>
              <w:left w:val="nil"/>
              <w:bottom w:val="single" w:sz="4" w:space="0" w:color="auto"/>
              <w:right w:val="single" w:sz="4" w:space="0" w:color="auto"/>
            </w:tcBorders>
            <w:shd w:val="clear" w:color="auto" w:fill="C6EFCE"/>
            <w:noWrap/>
          </w:tcPr>
          <w:p w14:paraId="686EB5DA"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003" w:type="dxa"/>
            <w:tcBorders>
              <w:top w:val="single" w:sz="4" w:space="0" w:color="auto"/>
              <w:left w:val="nil"/>
              <w:bottom w:val="single" w:sz="4" w:space="0" w:color="auto"/>
              <w:right w:val="single" w:sz="4" w:space="0" w:color="auto"/>
            </w:tcBorders>
            <w:shd w:val="clear" w:color="auto" w:fill="C6EFCE"/>
            <w:noWrap/>
          </w:tcPr>
          <w:p w14:paraId="7A435EC2"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05972E4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13D6AED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73" w:type="dxa"/>
            <w:tcBorders>
              <w:top w:val="single" w:sz="4" w:space="0" w:color="auto"/>
              <w:left w:val="nil"/>
              <w:bottom w:val="single" w:sz="4" w:space="0" w:color="auto"/>
              <w:right w:val="single" w:sz="4" w:space="0" w:color="auto"/>
            </w:tcBorders>
            <w:shd w:val="clear" w:color="auto" w:fill="C6EFCE"/>
            <w:noWrap/>
          </w:tcPr>
          <w:p w14:paraId="2DFF04B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959" w:type="dxa"/>
            <w:tcBorders>
              <w:top w:val="single" w:sz="4" w:space="0" w:color="auto"/>
              <w:left w:val="nil"/>
              <w:bottom w:val="single" w:sz="4" w:space="0" w:color="auto"/>
              <w:right w:val="single" w:sz="4" w:space="0" w:color="auto"/>
            </w:tcBorders>
            <w:shd w:val="clear" w:color="auto" w:fill="C6EFCE"/>
            <w:noWrap/>
          </w:tcPr>
          <w:p w14:paraId="2B63BAD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Konsolideeritud finantsaruannete koostamine kõigi valitsemissektori allsektorite, sealhulgas kohalike omavalitsuste kohta.</w:t>
            </w:r>
          </w:p>
          <w:p w14:paraId="2C02A67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Nende tulemuste saavutamiseks on vaja järgmisi meetmeid: </w:t>
            </w:r>
          </w:p>
          <w:p w14:paraId="7CB8E218" w14:textId="77777777" w:rsidR="00356CBA" w:rsidRPr="00E02B5D" w:rsidRDefault="00356CBA" w:rsidP="00DE1EE5">
            <w:pPr>
              <w:numPr>
                <w:ilvl w:val="0"/>
                <w:numId w:val="46"/>
              </w:numPr>
              <w:spacing w:before="120" w:after="0" w:line="259" w:lineRule="auto"/>
              <w:ind w:left="229" w:hanging="229"/>
              <w:contextualSpacing/>
              <w:jc w:val="both"/>
              <w:rPr>
                <w:rFonts w:eastAsia="Times New Roman" w:cs="Calibri"/>
                <w:noProof/>
                <w:color w:val="006100"/>
                <w:sz w:val="18"/>
                <w:szCs w:val="18"/>
              </w:rPr>
            </w:pPr>
            <w:r>
              <w:rPr>
                <w:noProof/>
                <w:color w:val="006100"/>
                <w:sz w:val="18"/>
              </w:rPr>
              <w:t>Keskvalitsuse eelarve- ja finantsjuhtimise ning aruandluse funktsioonide kavandamine, rakendamine ja toimimine ning kõigi muude valitsemissektori üksuste (v. a keskvalitsus) eelarve- ja finantsandmete kogumine ja järelevalve.</w:t>
            </w:r>
          </w:p>
          <w:p w14:paraId="5BC69BC4" w14:textId="77777777" w:rsidR="00356CBA" w:rsidRPr="00E02B5D" w:rsidRDefault="00356CBA" w:rsidP="00DE1EE5">
            <w:pPr>
              <w:numPr>
                <w:ilvl w:val="0"/>
                <w:numId w:val="46"/>
              </w:numPr>
              <w:spacing w:before="120" w:after="0" w:line="259" w:lineRule="auto"/>
              <w:ind w:left="229" w:hanging="229"/>
              <w:contextualSpacing/>
              <w:jc w:val="both"/>
              <w:rPr>
                <w:rFonts w:eastAsia="Times New Roman" w:cs="Calibri"/>
                <w:noProof/>
                <w:color w:val="006100"/>
                <w:sz w:val="18"/>
                <w:szCs w:val="18"/>
              </w:rPr>
            </w:pPr>
            <w:r>
              <w:rPr>
                <w:noProof/>
                <w:color w:val="006100"/>
                <w:sz w:val="18"/>
              </w:rPr>
              <w:t>Esitage arve GOV-ERP-s</w:t>
            </w:r>
          </w:p>
          <w:p w14:paraId="6D52A184" w14:textId="77777777" w:rsidR="00356CBA" w:rsidRPr="00E02B5D" w:rsidRDefault="00356CBA" w:rsidP="00DE1EE5">
            <w:pPr>
              <w:numPr>
                <w:ilvl w:val="0"/>
                <w:numId w:val="46"/>
              </w:numPr>
              <w:spacing w:before="120" w:after="0" w:line="259" w:lineRule="auto"/>
              <w:ind w:left="229" w:hanging="229"/>
              <w:contextualSpacing/>
              <w:jc w:val="both"/>
              <w:rPr>
                <w:rFonts w:eastAsia="Times New Roman" w:cs="Calibri"/>
                <w:noProof/>
                <w:color w:val="006100"/>
                <w:sz w:val="18"/>
                <w:szCs w:val="18"/>
              </w:rPr>
            </w:pPr>
            <w:r>
              <w:rPr>
                <w:noProof/>
                <w:color w:val="006100"/>
                <w:sz w:val="18"/>
              </w:rPr>
              <w:t>Finantsteenuseid osutavate üksuste ametnike koolitamine valitsemissektori raamatupidamisraamistiku ja avaliku sektori finantsjuhtimisega seotud küsimustes</w:t>
            </w:r>
          </w:p>
          <w:p w14:paraId="160B33B3" w14:textId="77777777" w:rsidR="00356CBA" w:rsidRPr="00E02B5D" w:rsidRDefault="00356CBA" w:rsidP="00DE1EE5">
            <w:pPr>
              <w:numPr>
                <w:ilvl w:val="0"/>
                <w:numId w:val="46"/>
              </w:numPr>
              <w:spacing w:before="120" w:after="0" w:line="259" w:lineRule="auto"/>
              <w:ind w:left="229" w:hanging="229"/>
              <w:contextualSpacing/>
              <w:jc w:val="both"/>
              <w:rPr>
                <w:rFonts w:eastAsia="Times New Roman" w:cs="Calibri"/>
                <w:noProof/>
                <w:color w:val="006100"/>
                <w:sz w:val="18"/>
                <w:szCs w:val="18"/>
              </w:rPr>
            </w:pPr>
            <w:r>
              <w:rPr>
                <w:noProof/>
                <w:color w:val="006100"/>
                <w:sz w:val="18"/>
              </w:rPr>
              <w:t>Konsolideeritud finantsaruannete koostamine.</w:t>
            </w:r>
          </w:p>
        </w:tc>
      </w:tr>
      <w:tr w:rsidR="007B4D63" w:rsidRPr="003B132A" w14:paraId="780D1B02"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983C07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220</w:t>
            </w:r>
          </w:p>
        </w:tc>
        <w:tc>
          <w:tcPr>
            <w:tcW w:w="2498" w:type="dxa"/>
            <w:tcBorders>
              <w:top w:val="single" w:sz="4" w:space="0" w:color="auto"/>
              <w:left w:val="nil"/>
              <w:bottom w:val="single" w:sz="4" w:space="0" w:color="auto"/>
              <w:right w:val="single" w:sz="4" w:space="0" w:color="auto"/>
            </w:tcBorders>
            <w:shd w:val="clear" w:color="auto" w:fill="C6EFCE"/>
            <w:noWrap/>
          </w:tcPr>
          <w:p w14:paraId="4E7CA9E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16705_Eelarvehalduse digitaalne ümberkujundamine ja järelevalve juhtimise valdkonnas; elektrooniline arvepidamine</w:t>
            </w:r>
          </w:p>
        </w:tc>
        <w:tc>
          <w:tcPr>
            <w:tcW w:w="1063" w:type="dxa"/>
            <w:tcBorders>
              <w:top w:val="single" w:sz="4" w:space="0" w:color="auto"/>
              <w:left w:val="nil"/>
              <w:bottom w:val="single" w:sz="4" w:space="0" w:color="auto"/>
              <w:right w:val="single" w:sz="4" w:space="0" w:color="auto"/>
            </w:tcBorders>
            <w:shd w:val="clear" w:color="auto" w:fill="C6EFCE"/>
            <w:noWrap/>
          </w:tcPr>
          <w:p w14:paraId="1F8F77D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144" w:type="dxa"/>
            <w:tcBorders>
              <w:top w:val="single" w:sz="4" w:space="0" w:color="auto"/>
              <w:left w:val="nil"/>
              <w:bottom w:val="single" w:sz="4" w:space="0" w:color="auto"/>
              <w:right w:val="single" w:sz="4" w:space="0" w:color="auto"/>
            </w:tcBorders>
            <w:shd w:val="clear" w:color="auto" w:fill="C6EFCE"/>
            <w:noWrap/>
          </w:tcPr>
          <w:p w14:paraId="5DF6047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Riigiettevõtete ressursiplaneerimine (GOV-ERP)</w:t>
            </w:r>
          </w:p>
        </w:tc>
        <w:tc>
          <w:tcPr>
            <w:tcW w:w="1666" w:type="dxa"/>
            <w:tcBorders>
              <w:top w:val="single" w:sz="4" w:space="0" w:color="auto"/>
              <w:left w:val="nil"/>
              <w:bottom w:val="single" w:sz="4" w:space="0" w:color="auto"/>
              <w:right w:val="single" w:sz="4" w:space="0" w:color="auto"/>
            </w:tcBorders>
            <w:shd w:val="clear" w:color="auto" w:fill="C6EFCE"/>
            <w:noWrap/>
          </w:tcPr>
          <w:p w14:paraId="421554D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IT-süsteem toimib täielikult.</w:t>
            </w:r>
          </w:p>
        </w:tc>
        <w:tc>
          <w:tcPr>
            <w:tcW w:w="1423" w:type="dxa"/>
            <w:tcBorders>
              <w:top w:val="single" w:sz="4" w:space="0" w:color="auto"/>
              <w:left w:val="nil"/>
              <w:bottom w:val="single" w:sz="4" w:space="0" w:color="auto"/>
              <w:right w:val="single" w:sz="4" w:space="0" w:color="auto"/>
            </w:tcBorders>
            <w:shd w:val="clear" w:color="auto" w:fill="C6EFCE"/>
            <w:noWrap/>
          </w:tcPr>
          <w:p w14:paraId="47659F1E"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003" w:type="dxa"/>
            <w:tcBorders>
              <w:top w:val="single" w:sz="4" w:space="0" w:color="auto"/>
              <w:left w:val="nil"/>
              <w:bottom w:val="single" w:sz="4" w:space="0" w:color="auto"/>
              <w:right w:val="single" w:sz="4" w:space="0" w:color="auto"/>
            </w:tcBorders>
            <w:shd w:val="clear" w:color="auto" w:fill="C6EFCE"/>
            <w:noWrap/>
          </w:tcPr>
          <w:p w14:paraId="20960CE7"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3779CCF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56B7F6E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73" w:type="dxa"/>
            <w:tcBorders>
              <w:top w:val="single" w:sz="4" w:space="0" w:color="auto"/>
              <w:left w:val="nil"/>
              <w:bottom w:val="single" w:sz="4" w:space="0" w:color="auto"/>
              <w:right w:val="single" w:sz="4" w:space="0" w:color="auto"/>
            </w:tcBorders>
            <w:shd w:val="clear" w:color="auto" w:fill="C6EFCE"/>
            <w:noWrap/>
          </w:tcPr>
          <w:p w14:paraId="6A88662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959" w:type="dxa"/>
            <w:tcBorders>
              <w:top w:val="single" w:sz="4" w:space="0" w:color="auto"/>
              <w:left w:val="nil"/>
              <w:bottom w:val="single" w:sz="4" w:space="0" w:color="auto"/>
              <w:right w:val="single" w:sz="4" w:space="0" w:color="auto"/>
            </w:tcBorders>
            <w:shd w:val="clear" w:color="auto" w:fill="C6EFCE"/>
            <w:noWrap/>
          </w:tcPr>
          <w:p w14:paraId="0DC36BF1" w14:textId="77777777" w:rsidR="00356CBA" w:rsidRPr="00E02B5D" w:rsidRDefault="00356CBA">
            <w:pPr>
              <w:spacing w:after="0" w:line="240" w:lineRule="auto"/>
              <w:jc w:val="both"/>
              <w:rPr>
                <w:rFonts w:eastAsia="Times New Roman" w:cs="Calibri"/>
                <w:noProof/>
                <w:color w:val="006100"/>
                <w:sz w:val="18"/>
                <w:szCs w:val="18"/>
              </w:rPr>
            </w:pPr>
            <w:r>
              <w:rPr>
                <w:noProof/>
                <w:color w:val="006100"/>
                <w:sz w:val="18"/>
              </w:rPr>
              <w:t>Viia ellu finantsjuhtimis- ja järelevalveraamistiku digiüleminek, muutes valitsuse ettevõtte ressursiplaneerimise (GOV-ERP) täielikult toimivaks.</w:t>
            </w:r>
          </w:p>
          <w:p w14:paraId="1D10AF81" w14:textId="77777777" w:rsidR="00356CBA" w:rsidRPr="00E02B5D" w:rsidRDefault="00356CBA">
            <w:pPr>
              <w:spacing w:after="0" w:line="240" w:lineRule="auto"/>
              <w:jc w:val="both"/>
              <w:rPr>
                <w:rFonts w:eastAsia="Times New Roman" w:cs="Calibri"/>
                <w:noProof/>
                <w:color w:val="006100"/>
                <w:sz w:val="18"/>
                <w:szCs w:val="18"/>
              </w:rPr>
            </w:pPr>
            <w:r>
              <w:rPr>
                <w:noProof/>
                <w:color w:val="006100"/>
                <w:sz w:val="18"/>
              </w:rPr>
              <w:t xml:space="preserve">Selle tulemuse saavutamiseks viia lõpule allprojektid: </w:t>
            </w:r>
          </w:p>
          <w:p w14:paraId="2429AF1F" w14:textId="77777777" w:rsidR="00356CBA" w:rsidRPr="00E02B5D" w:rsidRDefault="00356CBA">
            <w:pPr>
              <w:spacing w:after="0" w:line="240" w:lineRule="auto"/>
              <w:jc w:val="both"/>
              <w:rPr>
                <w:rFonts w:eastAsia="Times New Roman" w:cs="Calibri"/>
                <w:noProof/>
                <w:color w:val="006100"/>
                <w:sz w:val="18"/>
                <w:szCs w:val="18"/>
              </w:rPr>
            </w:pPr>
            <w:r>
              <w:rPr>
                <w:noProof/>
                <w:color w:val="006100"/>
                <w:sz w:val="18"/>
              </w:rPr>
              <w:t>Eelarvehalduse digitaalne ümberkujundamine ja valitsemissektori üksuste järelevalve.</w:t>
            </w:r>
          </w:p>
          <w:p w14:paraId="6E300822" w14:textId="77777777" w:rsidR="00356CBA" w:rsidRPr="00E02B5D" w:rsidRDefault="00356CBA">
            <w:pPr>
              <w:spacing w:after="0" w:line="240" w:lineRule="auto"/>
              <w:jc w:val="both"/>
              <w:rPr>
                <w:rFonts w:eastAsia="Times New Roman" w:cs="Calibri"/>
                <w:noProof/>
                <w:color w:val="006100"/>
                <w:sz w:val="18"/>
                <w:szCs w:val="18"/>
              </w:rPr>
            </w:pPr>
            <w:r>
              <w:rPr>
                <w:noProof/>
                <w:color w:val="006100"/>
                <w:sz w:val="18"/>
              </w:rPr>
              <w:t xml:space="preserve">Valitsemissektori ERP süsteemide ühendamine Kreeka e-arvega. </w:t>
            </w:r>
          </w:p>
          <w:p w14:paraId="43B4F251" w14:textId="77777777" w:rsidR="00356CBA" w:rsidRPr="00E02B5D" w:rsidRDefault="00356CBA">
            <w:pPr>
              <w:spacing w:after="0" w:line="240" w:lineRule="auto"/>
              <w:jc w:val="both"/>
              <w:rPr>
                <w:rFonts w:eastAsia="Times New Roman" w:cs="Calibri"/>
                <w:noProof/>
                <w:color w:val="006100"/>
                <w:sz w:val="18"/>
                <w:szCs w:val="18"/>
              </w:rPr>
            </w:pPr>
            <w:r>
              <w:rPr>
                <w:noProof/>
                <w:color w:val="006100"/>
                <w:sz w:val="18"/>
              </w:rPr>
              <w:t xml:space="preserve"> - ERP süsteemide ühenduvus e-arvete võrguga</w:t>
            </w:r>
          </w:p>
          <w:p w14:paraId="0FC0F1E8" w14:textId="77777777" w:rsidR="00356CBA" w:rsidRPr="00E02B5D" w:rsidRDefault="00356CBA">
            <w:pPr>
              <w:spacing w:after="0" w:line="240" w:lineRule="auto"/>
              <w:jc w:val="both"/>
              <w:rPr>
                <w:rFonts w:eastAsia="Times New Roman" w:cs="Calibri"/>
                <w:noProof/>
                <w:color w:val="006100"/>
                <w:sz w:val="18"/>
                <w:szCs w:val="18"/>
              </w:rPr>
            </w:pPr>
            <w:r>
              <w:rPr>
                <w:noProof/>
                <w:color w:val="006100"/>
                <w:sz w:val="18"/>
              </w:rPr>
              <w:t xml:space="preserve"> - E-arve teenuse osutajate ühenduvus e-arvete võrguga</w:t>
            </w:r>
          </w:p>
        </w:tc>
      </w:tr>
      <w:tr w:rsidR="007B4D63" w:rsidRPr="003B132A" w14:paraId="42E37826"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9D211B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221</w:t>
            </w:r>
          </w:p>
        </w:tc>
        <w:tc>
          <w:tcPr>
            <w:tcW w:w="2498" w:type="dxa"/>
            <w:tcBorders>
              <w:top w:val="single" w:sz="4" w:space="0" w:color="auto"/>
              <w:left w:val="nil"/>
              <w:bottom w:val="single" w:sz="4" w:space="0" w:color="auto"/>
              <w:right w:val="single" w:sz="4" w:space="0" w:color="auto"/>
            </w:tcBorders>
            <w:shd w:val="clear" w:color="auto" w:fill="C6EFCE"/>
            <w:noWrap/>
          </w:tcPr>
          <w:p w14:paraId="7AFF5CC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16711_Riigihangete valdkonna professionaalsemaks muutmine</w:t>
            </w:r>
          </w:p>
        </w:tc>
        <w:tc>
          <w:tcPr>
            <w:tcW w:w="1063" w:type="dxa"/>
            <w:tcBorders>
              <w:top w:val="single" w:sz="4" w:space="0" w:color="auto"/>
              <w:left w:val="nil"/>
              <w:bottom w:val="single" w:sz="4" w:space="0" w:color="auto"/>
              <w:right w:val="single" w:sz="4" w:space="0" w:color="auto"/>
            </w:tcBorders>
            <w:shd w:val="clear" w:color="auto" w:fill="C6EFCE"/>
            <w:noWrap/>
          </w:tcPr>
          <w:p w14:paraId="3197CF7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Siht</w:t>
            </w:r>
          </w:p>
        </w:tc>
        <w:tc>
          <w:tcPr>
            <w:tcW w:w="2144" w:type="dxa"/>
            <w:tcBorders>
              <w:top w:val="single" w:sz="4" w:space="0" w:color="auto"/>
              <w:left w:val="nil"/>
              <w:bottom w:val="single" w:sz="4" w:space="0" w:color="auto"/>
              <w:right w:val="single" w:sz="4" w:space="0" w:color="auto"/>
            </w:tcBorders>
            <w:shd w:val="clear" w:color="auto" w:fill="C6EFCE"/>
            <w:noWrap/>
          </w:tcPr>
          <w:p w14:paraId="27FF85B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Kvalifikatsiooni-/ümberõppeprogrammide lõpuleviimine riigihangete jaoks</w:t>
            </w:r>
          </w:p>
        </w:tc>
        <w:tc>
          <w:tcPr>
            <w:tcW w:w="1666" w:type="dxa"/>
            <w:tcBorders>
              <w:top w:val="single" w:sz="4" w:space="0" w:color="auto"/>
              <w:left w:val="nil"/>
              <w:bottom w:val="single" w:sz="4" w:space="0" w:color="auto"/>
              <w:right w:val="single" w:sz="4" w:space="0" w:color="auto"/>
            </w:tcBorders>
            <w:shd w:val="clear" w:color="auto" w:fill="C6EFCE"/>
            <w:noWrap/>
          </w:tcPr>
          <w:p w14:paraId="10B983C4" w14:textId="77777777" w:rsidR="00356CBA" w:rsidRPr="00AD4052" w:rsidRDefault="00356CBA">
            <w:pPr>
              <w:spacing w:after="0" w:line="240" w:lineRule="auto"/>
              <w:rPr>
                <w:rFonts w:eastAsia="Times New Roman" w:cs="Calibri"/>
                <w:noProof/>
                <w:color w:val="006100"/>
                <w:sz w:val="18"/>
                <w:szCs w:val="18"/>
                <w:lang w:eastAsia="en-GB"/>
              </w:rPr>
            </w:pPr>
          </w:p>
        </w:tc>
        <w:tc>
          <w:tcPr>
            <w:tcW w:w="1423" w:type="dxa"/>
            <w:tcBorders>
              <w:top w:val="single" w:sz="4" w:space="0" w:color="auto"/>
              <w:left w:val="nil"/>
              <w:bottom w:val="single" w:sz="4" w:space="0" w:color="auto"/>
              <w:right w:val="single" w:sz="4" w:space="0" w:color="auto"/>
            </w:tcBorders>
            <w:shd w:val="clear" w:color="auto" w:fill="C6EFCE"/>
            <w:noWrap/>
          </w:tcPr>
          <w:p w14:paraId="3800B83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Koolitatud ja sertifitseeritud ametnike arv</w:t>
            </w:r>
          </w:p>
        </w:tc>
        <w:tc>
          <w:tcPr>
            <w:tcW w:w="1003" w:type="dxa"/>
            <w:tcBorders>
              <w:top w:val="single" w:sz="4" w:space="0" w:color="auto"/>
              <w:left w:val="nil"/>
              <w:bottom w:val="single" w:sz="4" w:space="0" w:color="auto"/>
              <w:right w:val="single" w:sz="4" w:space="0" w:color="auto"/>
            </w:tcBorders>
            <w:shd w:val="clear" w:color="auto" w:fill="C6EFCE"/>
            <w:noWrap/>
          </w:tcPr>
          <w:p w14:paraId="0EA7F0C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0</w:t>
            </w:r>
          </w:p>
        </w:tc>
        <w:tc>
          <w:tcPr>
            <w:tcW w:w="906" w:type="dxa"/>
            <w:tcBorders>
              <w:top w:val="single" w:sz="4" w:space="0" w:color="auto"/>
              <w:left w:val="nil"/>
              <w:bottom w:val="single" w:sz="4" w:space="0" w:color="auto"/>
              <w:right w:val="single" w:sz="4" w:space="0" w:color="auto"/>
            </w:tcBorders>
            <w:shd w:val="clear" w:color="auto" w:fill="C6EFCE"/>
            <w:noWrap/>
          </w:tcPr>
          <w:p w14:paraId="5BCD7B4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6 000</w:t>
            </w:r>
          </w:p>
        </w:tc>
        <w:tc>
          <w:tcPr>
            <w:tcW w:w="846" w:type="dxa"/>
            <w:tcBorders>
              <w:top w:val="single" w:sz="4" w:space="0" w:color="auto"/>
              <w:left w:val="nil"/>
              <w:bottom w:val="single" w:sz="4" w:space="0" w:color="auto"/>
              <w:right w:val="single" w:sz="4" w:space="0" w:color="auto"/>
            </w:tcBorders>
            <w:shd w:val="clear" w:color="auto" w:fill="C6EFCE"/>
            <w:noWrap/>
          </w:tcPr>
          <w:p w14:paraId="74FF435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73" w:type="dxa"/>
            <w:tcBorders>
              <w:top w:val="single" w:sz="4" w:space="0" w:color="auto"/>
              <w:left w:val="nil"/>
              <w:bottom w:val="single" w:sz="4" w:space="0" w:color="auto"/>
              <w:right w:val="single" w:sz="4" w:space="0" w:color="auto"/>
            </w:tcBorders>
            <w:shd w:val="clear" w:color="auto" w:fill="C6EFCE"/>
            <w:noWrap/>
          </w:tcPr>
          <w:p w14:paraId="7FC70D5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959" w:type="dxa"/>
            <w:tcBorders>
              <w:top w:val="single" w:sz="4" w:space="0" w:color="auto"/>
              <w:left w:val="nil"/>
              <w:bottom w:val="single" w:sz="4" w:space="0" w:color="auto"/>
              <w:right w:val="single" w:sz="4" w:space="0" w:color="auto"/>
            </w:tcBorders>
            <w:shd w:val="clear" w:color="auto" w:fill="C6EFCE"/>
            <w:noWrap/>
          </w:tcPr>
          <w:p w14:paraId="1257870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Riigihangete valdkonna spetsialistide oskuste täiendamise/ümberõppe programmide lõpuleviimine ja sertifitseerimise väljaandmine. </w:t>
            </w:r>
          </w:p>
        </w:tc>
      </w:tr>
      <w:tr w:rsidR="00356CBA" w:rsidRPr="003B132A" w14:paraId="3DF4350B"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B851F86"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341</w:t>
            </w:r>
          </w:p>
        </w:tc>
        <w:tc>
          <w:tcPr>
            <w:tcW w:w="2498" w:type="dxa"/>
            <w:tcBorders>
              <w:top w:val="single" w:sz="4" w:space="0" w:color="auto"/>
              <w:left w:val="nil"/>
              <w:bottom w:val="single" w:sz="4" w:space="0" w:color="auto"/>
              <w:right w:val="single" w:sz="4" w:space="0" w:color="auto"/>
            </w:tcBorders>
            <w:shd w:val="clear" w:color="auto" w:fill="C6EFCE"/>
            <w:noWrap/>
          </w:tcPr>
          <w:p w14:paraId="2D1729B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16986_Riikliku katastri lõpuleviimine</w:t>
            </w:r>
          </w:p>
        </w:tc>
        <w:tc>
          <w:tcPr>
            <w:tcW w:w="1063" w:type="dxa"/>
            <w:tcBorders>
              <w:top w:val="single" w:sz="4" w:space="0" w:color="auto"/>
              <w:left w:val="nil"/>
              <w:bottom w:val="single" w:sz="4" w:space="0" w:color="auto"/>
              <w:right w:val="single" w:sz="4" w:space="0" w:color="auto"/>
            </w:tcBorders>
            <w:shd w:val="clear" w:color="auto" w:fill="C6EFCE"/>
            <w:noWrap/>
          </w:tcPr>
          <w:p w14:paraId="6CA89A7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Siht</w:t>
            </w:r>
          </w:p>
        </w:tc>
        <w:tc>
          <w:tcPr>
            <w:tcW w:w="2144" w:type="dxa"/>
            <w:tcBorders>
              <w:top w:val="single" w:sz="4" w:space="0" w:color="auto"/>
              <w:left w:val="nil"/>
              <w:bottom w:val="single" w:sz="4" w:space="0" w:color="auto"/>
              <w:right w:val="single" w:sz="4" w:space="0" w:color="auto"/>
            </w:tcBorders>
            <w:shd w:val="clear" w:color="auto" w:fill="C6EFCE"/>
            <w:noWrap/>
          </w:tcPr>
          <w:p w14:paraId="1B399AA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Katastri kaardistamine – 85 % lõpetatud</w:t>
            </w:r>
          </w:p>
        </w:tc>
        <w:tc>
          <w:tcPr>
            <w:tcW w:w="1666" w:type="dxa"/>
            <w:tcBorders>
              <w:top w:val="single" w:sz="4" w:space="0" w:color="auto"/>
              <w:left w:val="nil"/>
              <w:bottom w:val="single" w:sz="4" w:space="0" w:color="auto"/>
              <w:right w:val="single" w:sz="4" w:space="0" w:color="auto"/>
            </w:tcBorders>
            <w:shd w:val="clear" w:color="auto" w:fill="C6EFCE"/>
            <w:noWrap/>
          </w:tcPr>
          <w:p w14:paraId="0BEF8630"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1423" w:type="dxa"/>
            <w:tcBorders>
              <w:top w:val="single" w:sz="4" w:space="0" w:color="auto"/>
              <w:left w:val="nil"/>
              <w:bottom w:val="single" w:sz="4" w:space="0" w:color="auto"/>
              <w:right w:val="single" w:sz="4" w:space="0" w:color="auto"/>
            </w:tcBorders>
            <w:shd w:val="clear" w:color="auto" w:fill="C6EFCE"/>
            <w:noWrap/>
          </w:tcPr>
          <w:p w14:paraId="7EFBA0C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kogu omandiõigusest, mis on üles laaditud avalikuks väljapanekuks vastavalt seaduse nr 2308/1995 sätetele, mida on muudetud seaduse 4821/2021 artikliga 3</w:t>
            </w:r>
          </w:p>
        </w:tc>
        <w:tc>
          <w:tcPr>
            <w:tcW w:w="1003" w:type="dxa"/>
            <w:tcBorders>
              <w:top w:val="single" w:sz="4" w:space="0" w:color="auto"/>
              <w:left w:val="nil"/>
              <w:bottom w:val="single" w:sz="4" w:space="0" w:color="auto"/>
              <w:right w:val="single" w:sz="4" w:space="0" w:color="auto"/>
            </w:tcBorders>
            <w:shd w:val="clear" w:color="auto" w:fill="C6EFCE"/>
            <w:noWrap/>
          </w:tcPr>
          <w:p w14:paraId="1653B4C2"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79 %</w:t>
            </w:r>
          </w:p>
        </w:tc>
        <w:tc>
          <w:tcPr>
            <w:tcW w:w="906" w:type="dxa"/>
            <w:tcBorders>
              <w:top w:val="single" w:sz="4" w:space="0" w:color="auto"/>
              <w:left w:val="nil"/>
              <w:bottom w:val="single" w:sz="4" w:space="0" w:color="auto"/>
              <w:right w:val="single" w:sz="4" w:space="0" w:color="auto"/>
            </w:tcBorders>
            <w:shd w:val="clear" w:color="auto" w:fill="C6EFCE"/>
            <w:noWrap/>
          </w:tcPr>
          <w:p w14:paraId="244A2E7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85 %</w:t>
            </w:r>
          </w:p>
        </w:tc>
        <w:tc>
          <w:tcPr>
            <w:tcW w:w="846" w:type="dxa"/>
            <w:tcBorders>
              <w:top w:val="single" w:sz="4" w:space="0" w:color="auto"/>
              <w:left w:val="nil"/>
              <w:bottom w:val="single" w:sz="4" w:space="0" w:color="auto"/>
              <w:right w:val="single" w:sz="4" w:space="0" w:color="auto"/>
            </w:tcBorders>
            <w:shd w:val="clear" w:color="auto" w:fill="C6EFCE"/>
            <w:noWrap/>
          </w:tcPr>
          <w:p w14:paraId="4CE4BF8D"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673" w:type="dxa"/>
            <w:tcBorders>
              <w:top w:val="single" w:sz="4" w:space="0" w:color="auto"/>
              <w:left w:val="nil"/>
              <w:bottom w:val="single" w:sz="4" w:space="0" w:color="auto"/>
              <w:right w:val="single" w:sz="4" w:space="0" w:color="auto"/>
            </w:tcBorders>
            <w:shd w:val="clear" w:color="auto" w:fill="C6EFCE"/>
            <w:noWrap/>
          </w:tcPr>
          <w:p w14:paraId="7E9572E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2023</w:t>
            </w:r>
          </w:p>
        </w:tc>
        <w:tc>
          <w:tcPr>
            <w:tcW w:w="2959" w:type="dxa"/>
            <w:tcBorders>
              <w:top w:val="single" w:sz="4" w:space="0" w:color="auto"/>
              <w:left w:val="nil"/>
              <w:bottom w:val="single" w:sz="4" w:space="0" w:color="auto"/>
              <w:right w:val="single" w:sz="4" w:space="0" w:color="auto"/>
            </w:tcBorders>
            <w:shd w:val="clear" w:color="auto" w:fill="C6EFCE"/>
            <w:noWrap/>
          </w:tcPr>
          <w:p w14:paraId="4665798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85 % Kreeka omandiõigusest jõudis avaliku kuvamise etappi.</w:t>
            </w:r>
          </w:p>
        </w:tc>
      </w:tr>
      <w:tr w:rsidR="00356CBA" w:rsidRPr="003B132A" w14:paraId="2D5D0495"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5CA3AA4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342</w:t>
            </w:r>
          </w:p>
        </w:tc>
        <w:tc>
          <w:tcPr>
            <w:tcW w:w="2498" w:type="dxa"/>
            <w:tcBorders>
              <w:top w:val="single" w:sz="4" w:space="0" w:color="auto"/>
              <w:left w:val="nil"/>
              <w:bottom w:val="single" w:sz="4" w:space="0" w:color="auto"/>
              <w:right w:val="single" w:sz="4" w:space="0" w:color="auto"/>
            </w:tcBorders>
            <w:shd w:val="clear" w:color="auto" w:fill="C6EFCE"/>
            <w:noWrap/>
          </w:tcPr>
          <w:p w14:paraId="0DC86A5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16986_Riikliku katastri lõpuleviimine</w:t>
            </w:r>
          </w:p>
        </w:tc>
        <w:tc>
          <w:tcPr>
            <w:tcW w:w="1063" w:type="dxa"/>
            <w:tcBorders>
              <w:top w:val="single" w:sz="4" w:space="0" w:color="auto"/>
              <w:left w:val="nil"/>
              <w:bottom w:val="single" w:sz="4" w:space="0" w:color="auto"/>
              <w:right w:val="single" w:sz="4" w:space="0" w:color="auto"/>
            </w:tcBorders>
            <w:shd w:val="clear" w:color="auto" w:fill="C6EFCE"/>
            <w:noWrap/>
          </w:tcPr>
          <w:p w14:paraId="5CA471C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Siht</w:t>
            </w:r>
          </w:p>
        </w:tc>
        <w:tc>
          <w:tcPr>
            <w:tcW w:w="2144" w:type="dxa"/>
            <w:tcBorders>
              <w:top w:val="single" w:sz="4" w:space="0" w:color="auto"/>
              <w:left w:val="nil"/>
              <w:bottom w:val="single" w:sz="4" w:space="0" w:color="auto"/>
              <w:right w:val="single" w:sz="4" w:space="0" w:color="auto"/>
            </w:tcBorders>
            <w:shd w:val="clear" w:color="auto" w:fill="C6EFCE"/>
            <w:noWrap/>
          </w:tcPr>
          <w:p w14:paraId="2BAEE2C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Katastri kaardistamine – 95 % lõpetatud</w:t>
            </w:r>
          </w:p>
        </w:tc>
        <w:tc>
          <w:tcPr>
            <w:tcW w:w="1666" w:type="dxa"/>
            <w:tcBorders>
              <w:top w:val="single" w:sz="4" w:space="0" w:color="auto"/>
              <w:left w:val="nil"/>
              <w:bottom w:val="single" w:sz="4" w:space="0" w:color="auto"/>
              <w:right w:val="single" w:sz="4" w:space="0" w:color="auto"/>
            </w:tcBorders>
            <w:shd w:val="clear" w:color="auto" w:fill="C6EFCE"/>
            <w:noWrap/>
          </w:tcPr>
          <w:p w14:paraId="6F3D9D57"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1423" w:type="dxa"/>
            <w:tcBorders>
              <w:top w:val="single" w:sz="4" w:space="0" w:color="auto"/>
              <w:left w:val="nil"/>
              <w:bottom w:val="single" w:sz="4" w:space="0" w:color="auto"/>
              <w:right w:val="single" w:sz="4" w:space="0" w:color="auto"/>
            </w:tcBorders>
            <w:shd w:val="clear" w:color="auto" w:fill="C6EFCE"/>
            <w:noWrap/>
          </w:tcPr>
          <w:p w14:paraId="29C9F84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kogu omandiõigusest, mis on üles laaditud avalikuks väljapanekuks vastavalt seaduse nr 2308/1995 sätetele, mida on muudetud seaduse 4821/2021 artikliga 3</w:t>
            </w:r>
          </w:p>
        </w:tc>
        <w:tc>
          <w:tcPr>
            <w:tcW w:w="1003" w:type="dxa"/>
            <w:tcBorders>
              <w:top w:val="single" w:sz="4" w:space="0" w:color="auto"/>
              <w:left w:val="nil"/>
              <w:bottom w:val="single" w:sz="4" w:space="0" w:color="auto"/>
              <w:right w:val="single" w:sz="4" w:space="0" w:color="auto"/>
            </w:tcBorders>
            <w:shd w:val="clear" w:color="auto" w:fill="C6EFCE"/>
            <w:noWrap/>
          </w:tcPr>
          <w:p w14:paraId="4446CEB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85 %</w:t>
            </w:r>
          </w:p>
        </w:tc>
        <w:tc>
          <w:tcPr>
            <w:tcW w:w="906" w:type="dxa"/>
            <w:tcBorders>
              <w:top w:val="single" w:sz="4" w:space="0" w:color="auto"/>
              <w:left w:val="nil"/>
              <w:bottom w:val="single" w:sz="4" w:space="0" w:color="auto"/>
              <w:right w:val="single" w:sz="4" w:space="0" w:color="auto"/>
            </w:tcBorders>
            <w:shd w:val="clear" w:color="auto" w:fill="C6EFCE"/>
            <w:noWrap/>
          </w:tcPr>
          <w:p w14:paraId="6B7596F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95 %</w:t>
            </w:r>
          </w:p>
        </w:tc>
        <w:tc>
          <w:tcPr>
            <w:tcW w:w="846" w:type="dxa"/>
            <w:tcBorders>
              <w:top w:val="single" w:sz="4" w:space="0" w:color="auto"/>
              <w:left w:val="nil"/>
              <w:bottom w:val="single" w:sz="4" w:space="0" w:color="auto"/>
              <w:right w:val="single" w:sz="4" w:space="0" w:color="auto"/>
            </w:tcBorders>
            <w:shd w:val="clear" w:color="auto" w:fill="C6EFCE"/>
            <w:noWrap/>
          </w:tcPr>
          <w:p w14:paraId="192DD3C2"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kv</w:t>
            </w:r>
          </w:p>
        </w:tc>
        <w:tc>
          <w:tcPr>
            <w:tcW w:w="673" w:type="dxa"/>
            <w:tcBorders>
              <w:top w:val="single" w:sz="4" w:space="0" w:color="auto"/>
              <w:left w:val="nil"/>
              <w:bottom w:val="single" w:sz="4" w:space="0" w:color="auto"/>
              <w:right w:val="single" w:sz="4" w:space="0" w:color="auto"/>
            </w:tcBorders>
            <w:shd w:val="clear" w:color="auto" w:fill="C6EFCE"/>
            <w:noWrap/>
          </w:tcPr>
          <w:p w14:paraId="0E21725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2024</w:t>
            </w:r>
          </w:p>
        </w:tc>
        <w:tc>
          <w:tcPr>
            <w:tcW w:w="2959" w:type="dxa"/>
            <w:tcBorders>
              <w:top w:val="single" w:sz="4" w:space="0" w:color="auto"/>
              <w:left w:val="nil"/>
              <w:bottom w:val="single" w:sz="4" w:space="0" w:color="auto"/>
              <w:right w:val="single" w:sz="4" w:space="0" w:color="auto"/>
            </w:tcBorders>
            <w:shd w:val="clear" w:color="auto" w:fill="C6EFCE"/>
            <w:noWrap/>
          </w:tcPr>
          <w:p w14:paraId="342C9501"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95 % Kreeka omandiõigusest jõudis avalikkuseni.</w:t>
            </w:r>
          </w:p>
        </w:tc>
      </w:tr>
      <w:tr w:rsidR="00356CBA" w:rsidRPr="003B132A" w14:paraId="40FEB1F0"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64858AF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343</w:t>
            </w:r>
          </w:p>
        </w:tc>
        <w:tc>
          <w:tcPr>
            <w:tcW w:w="2498" w:type="dxa"/>
            <w:tcBorders>
              <w:top w:val="single" w:sz="4" w:space="0" w:color="auto"/>
              <w:left w:val="nil"/>
              <w:bottom w:val="single" w:sz="4" w:space="0" w:color="auto"/>
              <w:right w:val="single" w:sz="4" w:space="0" w:color="auto"/>
            </w:tcBorders>
            <w:shd w:val="clear" w:color="auto" w:fill="C6EFCE"/>
            <w:noWrap/>
          </w:tcPr>
          <w:p w14:paraId="7231007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13-4.2. Ajakohastada avalikku haldust, sealhulgas avaliku sektori investeeringute rakendamise kiirendamise, riigihankeraamistiku parandamise, suutlikkuse suurendamise meetmete ja korruptsioonivastase võitluse kaudu – 16986_Riikliku katastri lõpuleviimine </w:t>
            </w:r>
          </w:p>
        </w:tc>
        <w:tc>
          <w:tcPr>
            <w:tcW w:w="1063" w:type="dxa"/>
            <w:tcBorders>
              <w:top w:val="single" w:sz="4" w:space="0" w:color="auto"/>
              <w:left w:val="nil"/>
              <w:bottom w:val="single" w:sz="4" w:space="0" w:color="auto"/>
              <w:right w:val="single" w:sz="4" w:space="0" w:color="auto"/>
            </w:tcBorders>
            <w:shd w:val="clear" w:color="auto" w:fill="C6EFCE"/>
            <w:noWrap/>
          </w:tcPr>
          <w:p w14:paraId="5CEBD42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2144" w:type="dxa"/>
            <w:tcBorders>
              <w:top w:val="single" w:sz="4" w:space="0" w:color="auto"/>
              <w:left w:val="nil"/>
              <w:bottom w:val="single" w:sz="4" w:space="0" w:color="auto"/>
              <w:right w:val="single" w:sz="4" w:space="0" w:color="auto"/>
            </w:tcBorders>
            <w:shd w:val="clear" w:color="auto" w:fill="C6EFCE"/>
            <w:noWrap/>
          </w:tcPr>
          <w:p w14:paraId="5E36F75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Üleminek Kreeka katastri uuele organisatsioonilisele struktuurile – kahe kontori avamine</w:t>
            </w:r>
          </w:p>
        </w:tc>
        <w:tc>
          <w:tcPr>
            <w:tcW w:w="1666" w:type="dxa"/>
            <w:tcBorders>
              <w:top w:val="single" w:sz="4" w:space="0" w:color="auto"/>
              <w:left w:val="nil"/>
              <w:bottom w:val="single" w:sz="4" w:space="0" w:color="auto"/>
              <w:right w:val="single" w:sz="4" w:space="0" w:color="auto"/>
            </w:tcBorders>
            <w:shd w:val="clear" w:color="auto" w:fill="C6EFCE"/>
            <w:noWrap/>
          </w:tcPr>
          <w:p w14:paraId="7DBBCB9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Kreeka katastri direktorite nõukogu ametlikud otsused Thessaloníki ja Kreeta piirkondade katastriruumide avamise ja kasutuselevõtmise kohta ning muudetud õigusaktide jõustumine</w:t>
            </w:r>
          </w:p>
        </w:tc>
        <w:tc>
          <w:tcPr>
            <w:tcW w:w="1423" w:type="dxa"/>
            <w:tcBorders>
              <w:top w:val="single" w:sz="4" w:space="0" w:color="auto"/>
              <w:left w:val="nil"/>
              <w:bottom w:val="single" w:sz="4" w:space="0" w:color="auto"/>
              <w:right w:val="single" w:sz="4" w:space="0" w:color="auto"/>
            </w:tcBorders>
            <w:shd w:val="clear" w:color="auto" w:fill="C6EFCE"/>
            <w:noWrap/>
          </w:tcPr>
          <w:p w14:paraId="287F9F1B"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1003" w:type="dxa"/>
            <w:tcBorders>
              <w:top w:val="single" w:sz="4" w:space="0" w:color="auto"/>
              <w:left w:val="nil"/>
              <w:bottom w:val="single" w:sz="4" w:space="0" w:color="auto"/>
              <w:right w:val="single" w:sz="4" w:space="0" w:color="auto"/>
            </w:tcBorders>
            <w:shd w:val="clear" w:color="auto" w:fill="C6EFCE"/>
            <w:noWrap/>
          </w:tcPr>
          <w:p w14:paraId="43078A87"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135A2DF8"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05A23D2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kv</w:t>
            </w:r>
          </w:p>
        </w:tc>
        <w:tc>
          <w:tcPr>
            <w:tcW w:w="673" w:type="dxa"/>
            <w:tcBorders>
              <w:top w:val="single" w:sz="4" w:space="0" w:color="auto"/>
              <w:left w:val="nil"/>
              <w:bottom w:val="single" w:sz="4" w:space="0" w:color="auto"/>
              <w:right w:val="single" w:sz="4" w:space="0" w:color="auto"/>
            </w:tcBorders>
            <w:shd w:val="clear" w:color="auto" w:fill="C6EFCE"/>
            <w:noWrap/>
          </w:tcPr>
          <w:p w14:paraId="3C11455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2024</w:t>
            </w:r>
          </w:p>
        </w:tc>
        <w:tc>
          <w:tcPr>
            <w:tcW w:w="2959" w:type="dxa"/>
            <w:tcBorders>
              <w:top w:val="single" w:sz="4" w:space="0" w:color="auto"/>
              <w:left w:val="nil"/>
              <w:bottom w:val="single" w:sz="4" w:space="0" w:color="auto"/>
              <w:right w:val="single" w:sz="4" w:space="0" w:color="auto"/>
            </w:tcBorders>
            <w:shd w:val="clear" w:color="auto" w:fill="C6EFCE"/>
            <w:noWrap/>
          </w:tcPr>
          <w:p w14:paraId="7D9D95E2"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Pärast Kreeka katastri direktorite nõukogu ametlike otsuste vastuvõtmist on Thessaloniki ja Kreeta piirkondade katastriüksused avatud ja toimivad.</w:t>
            </w:r>
          </w:p>
          <w:p w14:paraId="218BEE4C" w14:textId="77777777" w:rsidR="00356CBA" w:rsidRPr="00AD4052" w:rsidRDefault="00356CBA" w:rsidP="00D16F13">
            <w:pPr>
              <w:spacing w:after="0" w:line="240" w:lineRule="auto"/>
              <w:rPr>
                <w:rFonts w:eastAsia="Times New Roman" w:cs="Calibri"/>
                <w:noProof/>
                <w:color w:val="006100"/>
                <w:sz w:val="18"/>
                <w:szCs w:val="18"/>
                <w:lang w:eastAsia="en-GB"/>
              </w:rPr>
            </w:pPr>
          </w:p>
          <w:p w14:paraId="1041A25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Jõustunud on muudetud seadus nr 4512/2018, et kajastada Kreeka katastri uut organisatsioonilist struktuuri, kirjeldades üksikasjalikult selle piirkondlikke büroosid ja filiaale.</w:t>
            </w:r>
          </w:p>
        </w:tc>
      </w:tr>
      <w:tr w:rsidR="00356CBA" w:rsidRPr="003B132A" w14:paraId="010F40F9"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05FD0A1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344</w:t>
            </w:r>
          </w:p>
        </w:tc>
        <w:tc>
          <w:tcPr>
            <w:tcW w:w="2498" w:type="dxa"/>
            <w:tcBorders>
              <w:top w:val="single" w:sz="4" w:space="0" w:color="auto"/>
              <w:left w:val="nil"/>
              <w:bottom w:val="single" w:sz="4" w:space="0" w:color="auto"/>
              <w:right w:val="single" w:sz="4" w:space="0" w:color="auto"/>
            </w:tcBorders>
            <w:shd w:val="clear" w:color="auto" w:fill="C6EFCE"/>
            <w:noWrap/>
          </w:tcPr>
          <w:p w14:paraId="5779269D"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16986_Riikliku katastri lõpuleviimine</w:t>
            </w:r>
          </w:p>
        </w:tc>
        <w:tc>
          <w:tcPr>
            <w:tcW w:w="1063" w:type="dxa"/>
            <w:tcBorders>
              <w:top w:val="single" w:sz="4" w:space="0" w:color="auto"/>
              <w:left w:val="nil"/>
              <w:bottom w:val="single" w:sz="4" w:space="0" w:color="auto"/>
              <w:right w:val="single" w:sz="4" w:space="0" w:color="auto"/>
            </w:tcBorders>
            <w:shd w:val="clear" w:color="auto" w:fill="C6EFCE"/>
            <w:noWrap/>
          </w:tcPr>
          <w:p w14:paraId="5DCB447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Siht</w:t>
            </w:r>
          </w:p>
        </w:tc>
        <w:tc>
          <w:tcPr>
            <w:tcW w:w="2144" w:type="dxa"/>
            <w:tcBorders>
              <w:top w:val="single" w:sz="4" w:space="0" w:color="auto"/>
              <w:left w:val="nil"/>
              <w:bottom w:val="single" w:sz="4" w:space="0" w:color="auto"/>
              <w:right w:val="single" w:sz="4" w:space="0" w:color="auto"/>
            </w:tcBorders>
            <w:shd w:val="clear" w:color="auto" w:fill="C6EFCE"/>
            <w:noWrap/>
          </w:tcPr>
          <w:p w14:paraId="5A0DF3CD"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Katastriüksuste kaardistamine – täielik lõpuleviimine</w:t>
            </w:r>
          </w:p>
        </w:tc>
        <w:tc>
          <w:tcPr>
            <w:tcW w:w="1666" w:type="dxa"/>
            <w:tcBorders>
              <w:top w:val="single" w:sz="4" w:space="0" w:color="auto"/>
              <w:left w:val="nil"/>
              <w:bottom w:val="single" w:sz="4" w:space="0" w:color="auto"/>
              <w:right w:val="single" w:sz="4" w:space="0" w:color="auto"/>
            </w:tcBorders>
            <w:shd w:val="clear" w:color="auto" w:fill="C6EFCE"/>
            <w:noWrap/>
          </w:tcPr>
          <w:p w14:paraId="644EDB42"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1423" w:type="dxa"/>
            <w:tcBorders>
              <w:top w:val="single" w:sz="4" w:space="0" w:color="auto"/>
              <w:left w:val="nil"/>
              <w:bottom w:val="single" w:sz="4" w:space="0" w:color="auto"/>
              <w:right w:val="single" w:sz="4" w:space="0" w:color="auto"/>
            </w:tcBorders>
            <w:shd w:val="clear" w:color="auto" w:fill="C6EFCE"/>
            <w:noWrap/>
          </w:tcPr>
          <w:p w14:paraId="403E605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kogu omandiõigusest, mis on üles laaditud avalikuks väljapanekuks vastavalt seaduse nr 2308/1995 sätetele, mida on muudetud seaduse 4821/2021 artikliga 3</w:t>
            </w:r>
          </w:p>
        </w:tc>
        <w:tc>
          <w:tcPr>
            <w:tcW w:w="1003" w:type="dxa"/>
            <w:tcBorders>
              <w:top w:val="single" w:sz="4" w:space="0" w:color="auto"/>
              <w:left w:val="nil"/>
              <w:bottom w:val="single" w:sz="4" w:space="0" w:color="auto"/>
              <w:right w:val="single" w:sz="4" w:space="0" w:color="auto"/>
            </w:tcBorders>
            <w:shd w:val="clear" w:color="auto" w:fill="C6EFCE"/>
            <w:noWrap/>
          </w:tcPr>
          <w:p w14:paraId="3403FDD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95 %</w:t>
            </w:r>
          </w:p>
        </w:tc>
        <w:tc>
          <w:tcPr>
            <w:tcW w:w="906" w:type="dxa"/>
            <w:tcBorders>
              <w:top w:val="single" w:sz="4" w:space="0" w:color="auto"/>
              <w:left w:val="nil"/>
              <w:bottom w:val="single" w:sz="4" w:space="0" w:color="auto"/>
              <w:right w:val="single" w:sz="4" w:space="0" w:color="auto"/>
            </w:tcBorders>
            <w:shd w:val="clear" w:color="auto" w:fill="C6EFCE"/>
            <w:noWrap/>
          </w:tcPr>
          <w:p w14:paraId="182E1F7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100 %</w:t>
            </w:r>
          </w:p>
        </w:tc>
        <w:tc>
          <w:tcPr>
            <w:tcW w:w="846" w:type="dxa"/>
            <w:tcBorders>
              <w:top w:val="single" w:sz="4" w:space="0" w:color="auto"/>
              <w:left w:val="nil"/>
              <w:bottom w:val="single" w:sz="4" w:space="0" w:color="auto"/>
              <w:right w:val="single" w:sz="4" w:space="0" w:color="auto"/>
            </w:tcBorders>
            <w:shd w:val="clear" w:color="auto" w:fill="C6EFCE"/>
            <w:noWrap/>
          </w:tcPr>
          <w:p w14:paraId="3C78C89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kv</w:t>
            </w:r>
          </w:p>
        </w:tc>
        <w:tc>
          <w:tcPr>
            <w:tcW w:w="673" w:type="dxa"/>
            <w:tcBorders>
              <w:top w:val="single" w:sz="4" w:space="0" w:color="auto"/>
              <w:left w:val="nil"/>
              <w:bottom w:val="single" w:sz="4" w:space="0" w:color="auto"/>
              <w:right w:val="single" w:sz="4" w:space="0" w:color="auto"/>
            </w:tcBorders>
            <w:shd w:val="clear" w:color="auto" w:fill="C6EFCE"/>
            <w:noWrap/>
          </w:tcPr>
          <w:p w14:paraId="00B4AFA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2025</w:t>
            </w:r>
          </w:p>
        </w:tc>
        <w:tc>
          <w:tcPr>
            <w:tcW w:w="2959" w:type="dxa"/>
            <w:tcBorders>
              <w:top w:val="single" w:sz="4" w:space="0" w:color="auto"/>
              <w:left w:val="nil"/>
              <w:bottom w:val="single" w:sz="4" w:space="0" w:color="auto"/>
              <w:right w:val="single" w:sz="4" w:space="0" w:color="auto"/>
            </w:tcBorders>
            <w:shd w:val="clear" w:color="auto" w:fill="C6EFCE"/>
            <w:noWrap/>
          </w:tcPr>
          <w:p w14:paraId="2EC2C51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Omandiõiguste katastriline kaardistamine Kreekas on lõpule viidud ning kõik omandiõigused kogu Kreeka territooriumil on jõudnud avaliku kuvamise etappi.</w:t>
            </w:r>
          </w:p>
        </w:tc>
      </w:tr>
      <w:tr w:rsidR="00356CBA" w:rsidRPr="003B132A" w14:paraId="275A2951" w14:textId="77777777" w:rsidTr="00C23759">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13C51F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345</w:t>
            </w:r>
          </w:p>
        </w:tc>
        <w:tc>
          <w:tcPr>
            <w:tcW w:w="2498" w:type="dxa"/>
            <w:tcBorders>
              <w:top w:val="single" w:sz="4" w:space="0" w:color="auto"/>
              <w:left w:val="nil"/>
              <w:bottom w:val="single" w:sz="4" w:space="0" w:color="auto"/>
              <w:right w:val="single" w:sz="4" w:space="0" w:color="auto"/>
            </w:tcBorders>
            <w:shd w:val="clear" w:color="auto" w:fill="C6EFCE"/>
            <w:noWrap/>
          </w:tcPr>
          <w:p w14:paraId="4221F14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13-4.2. Ajakohastada avalikku haldust, sealhulgas avaliku sektori investeeringute rakendamise kiirendamise, riigihankeraamistiku parandamise, suutlikkuse suurendamise meetmete ja korruptsioonivastase võitluse kaudu – 16986_Riikliku katastri lõpuleviimine</w:t>
            </w:r>
          </w:p>
        </w:tc>
        <w:tc>
          <w:tcPr>
            <w:tcW w:w="1063" w:type="dxa"/>
            <w:tcBorders>
              <w:top w:val="single" w:sz="4" w:space="0" w:color="auto"/>
              <w:left w:val="nil"/>
              <w:bottom w:val="single" w:sz="4" w:space="0" w:color="auto"/>
              <w:right w:val="single" w:sz="4" w:space="0" w:color="auto"/>
            </w:tcBorders>
            <w:shd w:val="clear" w:color="auto" w:fill="C6EFCE"/>
            <w:noWrap/>
          </w:tcPr>
          <w:p w14:paraId="2B30F08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2144" w:type="dxa"/>
            <w:tcBorders>
              <w:top w:val="single" w:sz="4" w:space="0" w:color="auto"/>
              <w:left w:val="nil"/>
              <w:bottom w:val="single" w:sz="4" w:space="0" w:color="auto"/>
              <w:right w:val="single" w:sz="4" w:space="0" w:color="auto"/>
            </w:tcBorders>
            <w:shd w:val="clear" w:color="auto" w:fill="C6EFCE"/>
            <w:noWrap/>
          </w:tcPr>
          <w:p w14:paraId="0F88417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Üleminek Kreeka katastri uuele organisatsioonilisele struktuurile – täielik lõpuleviimine</w:t>
            </w:r>
          </w:p>
        </w:tc>
        <w:tc>
          <w:tcPr>
            <w:tcW w:w="1666" w:type="dxa"/>
            <w:tcBorders>
              <w:top w:val="single" w:sz="4" w:space="0" w:color="auto"/>
              <w:left w:val="nil"/>
              <w:bottom w:val="single" w:sz="4" w:space="0" w:color="auto"/>
              <w:right w:val="single" w:sz="4" w:space="0" w:color="auto"/>
            </w:tcBorders>
            <w:shd w:val="clear" w:color="auto" w:fill="C6EFCE"/>
            <w:noWrap/>
          </w:tcPr>
          <w:p w14:paraId="794329B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Kreeka katastri direktorite nõukogu ametlikud otsused Dodecannese piirkonna katastri ja filiaalide avamise ja tegevuse alustamise kohta kogu Kreeka territooriumil</w:t>
            </w:r>
          </w:p>
        </w:tc>
        <w:tc>
          <w:tcPr>
            <w:tcW w:w="1423" w:type="dxa"/>
            <w:tcBorders>
              <w:top w:val="single" w:sz="4" w:space="0" w:color="auto"/>
              <w:left w:val="nil"/>
              <w:bottom w:val="single" w:sz="4" w:space="0" w:color="auto"/>
              <w:right w:val="single" w:sz="4" w:space="0" w:color="auto"/>
            </w:tcBorders>
            <w:shd w:val="clear" w:color="auto" w:fill="C6EFCE"/>
            <w:noWrap/>
          </w:tcPr>
          <w:p w14:paraId="20A4755A"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1003" w:type="dxa"/>
            <w:tcBorders>
              <w:top w:val="single" w:sz="4" w:space="0" w:color="auto"/>
              <w:left w:val="nil"/>
              <w:bottom w:val="single" w:sz="4" w:space="0" w:color="auto"/>
              <w:right w:val="single" w:sz="4" w:space="0" w:color="auto"/>
            </w:tcBorders>
            <w:shd w:val="clear" w:color="auto" w:fill="C6EFCE"/>
            <w:noWrap/>
          </w:tcPr>
          <w:p w14:paraId="6036BAC3"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2EA7A61B"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709C166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kv</w:t>
            </w:r>
          </w:p>
        </w:tc>
        <w:tc>
          <w:tcPr>
            <w:tcW w:w="673" w:type="dxa"/>
            <w:tcBorders>
              <w:top w:val="single" w:sz="4" w:space="0" w:color="auto"/>
              <w:left w:val="nil"/>
              <w:bottom w:val="single" w:sz="4" w:space="0" w:color="auto"/>
              <w:right w:val="single" w:sz="4" w:space="0" w:color="auto"/>
            </w:tcBorders>
            <w:shd w:val="clear" w:color="auto" w:fill="C6EFCE"/>
            <w:noWrap/>
          </w:tcPr>
          <w:p w14:paraId="2F152B6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2025</w:t>
            </w:r>
          </w:p>
        </w:tc>
        <w:tc>
          <w:tcPr>
            <w:tcW w:w="2959" w:type="dxa"/>
            <w:tcBorders>
              <w:top w:val="single" w:sz="4" w:space="0" w:color="auto"/>
              <w:left w:val="nil"/>
              <w:bottom w:val="single" w:sz="4" w:space="0" w:color="auto"/>
              <w:right w:val="single" w:sz="4" w:space="0" w:color="auto"/>
            </w:tcBorders>
            <w:shd w:val="clear" w:color="auto" w:fill="C6EFCE"/>
            <w:noWrap/>
          </w:tcPr>
          <w:p w14:paraId="5A2F56D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Pärast Kreeka katastri direktorite nõukogu ametlike otsuste vastuvõtmist viiakse lõpule üleminek Kreeka katastri uuele organisatsioonilisele struktuurile. Dodecannese piirkonna katastriüksus on avatud ja toimiv. Täielikult toimiv filiaalide süsteem luuakse ja muudetakse toimivaks kogu Kreeka territooriumil ja 392 territooriumil. </w:t>
            </w:r>
          </w:p>
          <w:p w14:paraId="6523BEC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vana kinnisvara registreerimise süsteemi kohased hüpoteegibürood suletakse vastavalt seaduse nr 4512/2018 sätetele.</w:t>
            </w:r>
          </w:p>
        </w:tc>
      </w:tr>
    </w:tbl>
    <w:p w14:paraId="48EFC02C" w14:textId="77777777" w:rsidR="00356CBA" w:rsidRPr="00AD4052" w:rsidRDefault="00356CBA" w:rsidP="00645BC7">
      <w:pPr>
        <w:spacing w:before="120" w:after="120" w:line="240" w:lineRule="auto"/>
        <w:ind w:left="709"/>
        <w:jc w:val="both"/>
        <w:rPr>
          <w:rFonts w:ascii="Times New Roman" w:hAnsi="Times New Roman" w:cs="Times New Roman"/>
          <w:noProof/>
          <w:sz w:val="24"/>
          <w:szCs w:val="24"/>
        </w:rPr>
      </w:pPr>
    </w:p>
    <w:p w14:paraId="6A77A2B0" w14:textId="77777777" w:rsidR="00356CBA" w:rsidRPr="00AD4052" w:rsidRDefault="00356CBA" w:rsidP="00645BC7">
      <w:pPr>
        <w:spacing w:before="120" w:after="120" w:line="240" w:lineRule="auto"/>
        <w:ind w:left="709"/>
        <w:jc w:val="both"/>
        <w:rPr>
          <w:rFonts w:ascii="Times New Roman" w:hAnsi="Times New Roman" w:cs="Times New Roman"/>
          <w:noProof/>
          <w:sz w:val="24"/>
        </w:rPr>
        <w:sectPr w:rsidR="00356CBA" w:rsidRPr="00AD4052" w:rsidSect="00271D33">
          <w:headerReference w:type="even" r:id="rId284"/>
          <w:headerReference w:type="default" r:id="rId285"/>
          <w:footerReference w:type="even" r:id="rId286"/>
          <w:footerReference w:type="default" r:id="rId287"/>
          <w:headerReference w:type="first" r:id="rId288"/>
          <w:footerReference w:type="first" r:id="rId289"/>
          <w:pgSz w:w="16839" w:h="11907" w:orient="landscape"/>
          <w:pgMar w:top="720" w:right="720" w:bottom="720" w:left="720" w:header="709" w:footer="0" w:gutter="0"/>
          <w:cols w:space="720"/>
          <w:docGrid w:linePitch="360"/>
        </w:sectPr>
      </w:pPr>
    </w:p>
    <w:p w14:paraId="0AA93CB1" w14:textId="77777777" w:rsidR="00356CBA" w:rsidRPr="00E02B5D" w:rsidRDefault="00356CBA"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N. KOMPONENT 4.3. KOHTUSÜSTEEMI TÕHUSUSE PARANDAMINE</w:t>
      </w:r>
    </w:p>
    <w:p w14:paraId="198A045B"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see komponent hõlmab mitmeid laiaulatuslikke reforme ja investeeringuid, mille eesmärk on suurendada Kreeka kohtusüsteemi tulemuslikkust ja tõhusust, vaadates põhjalikult läbi riigi kohtusüsteemi tegevuskava, käsitledes taristuvajadusi, võttes meetmeid kohtusüsteemi digitaalse suutlikkuse suurendamiseks, ajakohastades kohtute toimimist, luues kohtupolitsei ning laiendades ja ajakohastades kohtunike ja kantseleitöötajate haridust (nii algharidus kui ka elukestev õpe). Meetmed peaksid aitama lahendada probleeme, mis on esitatud riigipõhistes soovitustes avaliku ja erasektori investeeringute kohta (riigipõhine soovitus 2/2019, riigipõhine soovitus 3/2020) ja struktuurireformide kohta, mille eesmärk on parandada majanduse toimimist (riigipõhine soovitus 4/2020).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5ED5D76C" w14:textId="77777777" w:rsidR="00356CBA" w:rsidRPr="00E02B5D" w:rsidRDefault="00356CBA" w:rsidP="00645BC7">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N.1. </w:t>
      </w:r>
      <w:r>
        <w:rPr>
          <w:noProof/>
        </w:rPr>
        <w:tab/>
      </w:r>
      <w:r>
        <w:rPr>
          <w:rFonts w:ascii="Times New Roman" w:hAnsi="Times New Roman"/>
          <w:b/>
          <w:noProof/>
          <w:sz w:val="24"/>
          <w:u w:val="single"/>
        </w:rPr>
        <w:t>Tagastamatu rahalise toetusega seotud reformide ja investeeringute kirjeldus</w:t>
      </w:r>
    </w:p>
    <w:p w14:paraId="4CB62532"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Investeering: </w:t>
      </w:r>
      <w:r>
        <w:rPr>
          <w:rFonts w:ascii="Times New Roman" w:hAnsi="Times New Roman"/>
          <w:noProof/>
          <w:sz w:val="24"/>
        </w:rPr>
        <w:t>Uued kohtuhooned ja rekonstrueerimine (meetme ID 16292)</w:t>
      </w:r>
    </w:p>
    <w:p w14:paraId="02BDDCA3" w14:textId="0544E42C"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Meede seisneb sihipärases investeeringus kohtusüsteemi kuuluvate hoonete ehitamisse ja renoveerimisse, mis on tihedalt seotud kohtusüsteemi kaardi läbivaatamisega, et maksimeerida kohtusüsteemi tõhusust ning vältida tarbetuid jõupingutusi ja kulutusi. Järelevalve ja planeerimise hõlbustamiseks registreeritakse kõik kohtusüsteemile kuuluvad või kohtusüsteemis kasutatavad kinnisvaraobjektid elektroonilises isikuregistris. Kõik uued hooned peavad vastama primaarenergia nõudlusele, mis on vähemalt 20 % madalam liginullenergiahoone nõudest (ligi nullenergiahoone, riiklikud direktiivid). Eeldatakse, et ükski selle komponendi meede ei kahjusta märkimisväärselt keskkonnaeesmärke määruse (EL)</w:t>
      </w:r>
      <w:r w:rsidR="005D5392">
        <w:rPr>
          <w:rFonts w:ascii="Times New Roman" w:hAnsi="Times New Roman"/>
          <w:noProof/>
          <w:sz w:val="24"/>
        </w:rPr>
        <w:t> </w:t>
      </w:r>
      <w:r>
        <w:rPr>
          <w:rFonts w:ascii="Times New Roman" w:hAnsi="Times New Roman"/>
          <w:noProof/>
          <w:sz w:val="24"/>
        </w:rPr>
        <w:t>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48C61B27"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Õiguse digitaalne ümberkujundamine (e-õiguskeskkond) (meetme ID 16727)</w:t>
      </w:r>
    </w:p>
    <w:p w14:paraId="730C7B03"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kohtusüsteemi digipööre toimub justiitsministeeriumi järelevalve all ja koosneb reast meetmetest, mille eesmärk on suurendada tema IT-suutlikkust seoses dokumentide digiteerimisega, kohtute arvestuse pidamise süsteemi täiustamisega, menetluste lihtsustamise, standardimise ja kiirendamisega digiteerimise kaudu ning kohtute IT-süsteemide koostalitlusvõimega justiitsministeeriumi ning muude riiklike ja rahvusvaheliste asutuste ja/või andmebaasidega. Reform hõlmab nii kohtusüsteemi tsiviil- ja kriminaalharusid kui ka kontrollikoda.</w:t>
      </w:r>
      <w:r>
        <w:rPr>
          <w:noProof/>
        </w:rPr>
        <w:t xml:space="preserve"> </w:t>
      </w:r>
      <w:r>
        <w:rPr>
          <w:rFonts w:ascii="Times New Roman" w:hAnsi="Times New Roman"/>
          <w:noProof/>
          <w:sz w:val="24"/>
        </w:rPr>
        <w:t>Reformi eesmärk on anda kohtunikele ja kohtutöötajatele pärast valmimist vahendid ja taristu, mis võimaldavad neil suurendada kohtuasjade haldamise tõhusust ja õigusemõistmise kiirust, seadmata seejuures ohtu selle kvaliteeti.</w:t>
      </w:r>
    </w:p>
    <w:p w14:paraId="40D81CB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rakendamine viiakse lõpule 31. detsembriks 2025.</w:t>
      </w:r>
    </w:p>
    <w:p w14:paraId="3DD3B290"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Kohtunike ja kohtutöötajate (kohtutöötajate) oskused ja digioskused (meetme ID 16733)</w:t>
      </w:r>
    </w:p>
    <w:p w14:paraId="7D761CB8"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Riiklikus kohtunike koolis toimuvad seoses selle ülesannete ja õppekavaga mitmed institutsioonilised muudatused; samuti vaadatakse läbi kandidaatide valikukriteeriumid, et luua selektiivsem ja konkurentsivõimelisem õpikeskkond, võttes samas vastu täiendavaid üliõpilaste kategooriaid (kohtunikud ja auditikohtunikud); ta pakub ka lisakursusi, mille eesmärk on pakkuda uusi oskusi, pöörates erilist tähelepanu juhtimis- ja digioskustele, samuti kohtukohustuste täitmisega seotud teemadele, nagu eetika, ajajuhtimine, psühholoogia, majandusteooria ja -analüüs, kohtute juhtimine ja uued tehnoloogiad; reform hõlmab kohtunikele kohustusliku elukestva õppe pakkumist valdkondades, mis on olulised nende ülesannete täitmiseks koolitajate poolt, kes on samuti asutatud riiklikus kohtunike koolis. Lisaks luuakse riiklikus kohtunike koolis uus kohtuametnike haridusprogramm, et pakkuda kantseleitöötajatele koolitust ja elukestvat õpet küsimustes, mis on olulised nende ülesannete täitmiseks, teenistuse juhtimiseks ja korraldamiseks, digioskusteks, menetlus- ja materiaalõiguseks. </w:t>
      </w:r>
    </w:p>
    <w:p w14:paraId="3738B9F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rakendamine viiakse lõpule 31. detsembriks 2024.</w:t>
      </w:r>
    </w:p>
    <w:p w14:paraId="164289E7" w14:textId="77777777" w:rsidR="00356CBA" w:rsidRPr="00E02B5D" w:rsidRDefault="00356CBA" w:rsidP="00645BC7">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Reform:</w:t>
      </w:r>
      <w:r>
        <w:rPr>
          <w:rFonts w:ascii="Times New Roman" w:hAnsi="Times New Roman"/>
          <w:noProof/>
          <w:sz w:val="24"/>
        </w:rPr>
        <w:t xml:space="preserve"> Õigusemõistmise kiirendamine (meetme ID 16575)</w:t>
      </w:r>
    </w:p>
    <w:p w14:paraId="11B1289B"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Reformi eesmärk on kiirendada õigusemõistmist ning aidata kaasa riigi majanduslikule ja institutsionaalsele ümberkujundamisele. Reformi kõige olulisem element on kohtusüsteemi kaardi kavandatav läbivaatamine kogu riigis, mille tulemuseks on kohtupiirkondade ratsionaalne ümberkorraldamine kogu Kreekas ning kohtustruktuuride loomine, kaotamine või ümberjaotamine nendes piirkondades, tuginedes objektiivsetele kriteeriumidele ja kogu riigi kõiki kohtuid puudutavate andmete ulatuslikule kogumisele. Kohtusüsteemi reform hõlmab kõiki kohtusüsteemi harusid (tsiviil-, kriminaal- ja haldusasjad). Lisameetmete eesmärk on suurendada õigusemõistmise tõhusust ja tulemuslikkust: </w:t>
      </w:r>
    </w:p>
    <w:p w14:paraId="546F72F0" w14:textId="77777777" w:rsidR="00356CBA" w:rsidRPr="00E02B5D" w:rsidRDefault="00356CBA" w:rsidP="00DE1EE5">
      <w:pPr>
        <w:numPr>
          <w:ilvl w:val="0"/>
          <w:numId w:val="59"/>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kohtupolitsei loomine, et toetada ja tõhustada õigusemõistmise toimimist, andes oskusteavet keerukate kuritegude (sealhulgas finantskuriteod, korruptsioon ja rahapesu) uurimiseks ning osutades mitmesuguseid õigusabiteenuseid (abistamine eeluurimiste ja uurimiste läbiviimisel, dokumentide ja menetlustoimingute kättetoimetamine, kohtumääruste täitmine, kohtuotsuste täitmine, kohtumääruse jõusse jätmine, abistamine õigusabitaotluste esitamisel või neile vastamisel ning kohtutele antud volituste täitmine); ja</w:t>
      </w:r>
    </w:p>
    <w:p w14:paraId="5AD0B4D8" w14:textId="77777777" w:rsidR="00356CBA" w:rsidRPr="00E02B5D" w:rsidRDefault="00356CBA" w:rsidP="00DE1EE5">
      <w:pPr>
        <w:numPr>
          <w:ilvl w:val="0"/>
          <w:numId w:val="59"/>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kohtuametnikele rahaliste stiimulite pakkumise ajutise kava kehtestamine, mis põhineb objektiivselt mõõdetavatel individuaalsetel tulemusnäitajatel ja on täielikus kooskõlas ühtse palgasüsteemiga (seadus 4354/2015) ilma erandit kehtestamata, et kiirendada kohtumajaga seotud ülesannete ja kohustuste täitmist ning kõrvaldada kohtuasjade kuhjumine.</w:t>
      </w:r>
    </w:p>
    <w:p w14:paraId="70473C27" w14:textId="77777777" w:rsidR="00986A06" w:rsidRPr="00AD4052" w:rsidRDefault="00986A06" w:rsidP="00645BC7">
      <w:pPr>
        <w:spacing w:before="120" w:after="120" w:line="240" w:lineRule="auto"/>
        <w:jc w:val="both"/>
        <w:rPr>
          <w:rFonts w:ascii="Times New Roman" w:hAnsi="Times New Roman"/>
          <w:noProof/>
          <w:sz w:val="24"/>
        </w:rPr>
      </w:pPr>
    </w:p>
    <w:p w14:paraId="3F82CABD" w14:textId="77777777" w:rsidR="00986A06" w:rsidRPr="00AD4052" w:rsidRDefault="00986A06" w:rsidP="00645BC7">
      <w:pPr>
        <w:spacing w:before="120" w:after="120" w:line="240" w:lineRule="auto"/>
        <w:jc w:val="both"/>
        <w:rPr>
          <w:rFonts w:ascii="Times New Roman" w:hAnsi="Times New Roman"/>
          <w:noProof/>
          <w:sz w:val="24"/>
        </w:rPr>
      </w:pPr>
    </w:p>
    <w:p w14:paraId="13B6A8D3" w14:textId="77DB9F7F" w:rsidR="00356CBA" w:rsidRPr="00E02B5D" w:rsidRDefault="00356CBA" w:rsidP="00645BC7">
      <w:pPr>
        <w:spacing w:before="120" w:after="120" w:line="240" w:lineRule="auto"/>
        <w:jc w:val="both"/>
        <w:rPr>
          <w:rFonts w:cs="Calibri"/>
          <w:noProof/>
          <w:sz w:val="24"/>
        </w:rPr>
      </w:pPr>
      <w:r>
        <w:rPr>
          <w:rFonts w:ascii="Times New Roman" w:hAnsi="Times New Roman"/>
          <w:noProof/>
          <w:sz w:val="24"/>
        </w:rPr>
        <w:t>Reformi lõpuleviimiseks võetakse vastu meetmed vaidluste kohtuvälise lahendamise asutuste loomiseks ja tugevdamiseks, pakkudes õigusnõustajatele või vahendajatele koolitust ning pakkudes vahekohtu- ja vahenduskeskustele rahalisi stiimuleid kasutajasõbralike digisüsteemide loomiseks.</w:t>
      </w:r>
    </w:p>
    <w:p w14:paraId="61775EC6"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Kohtuandmete süstemaatiliseks kogumiseks, töötlemiseks, koondamiseks, esitamiseks ja järelevalveks luuakse sõltumatu amet, mis tagab nõuetekohase järelevalve ja järelevalve kohtusüsteemi toimimise ja toimimise üle.</w:t>
      </w:r>
    </w:p>
    <w:p w14:paraId="3B7BADA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Reformi rakendamine viiakse lõpule 31. detsembriks 2025. </w:t>
      </w:r>
    </w:p>
    <w:p w14:paraId="12C15302" w14:textId="77777777" w:rsidR="00356CBA" w:rsidRPr="00AD4052" w:rsidRDefault="00356CBA" w:rsidP="00645BC7">
      <w:pPr>
        <w:spacing w:before="120" w:after="120" w:line="240" w:lineRule="auto"/>
        <w:ind w:left="709"/>
        <w:jc w:val="both"/>
        <w:rPr>
          <w:rFonts w:ascii="Times New Roman" w:hAnsi="Times New Roman" w:cs="Times New Roman"/>
          <w:b/>
          <w:bCs/>
          <w:noProof/>
          <w:sz w:val="24"/>
          <w:u w:val="single"/>
        </w:rPr>
      </w:pPr>
    </w:p>
    <w:p w14:paraId="6A14AAA5" w14:textId="77777777" w:rsidR="00356CBA" w:rsidRPr="00AD4052" w:rsidRDefault="00356CBA" w:rsidP="00645BC7">
      <w:pPr>
        <w:spacing w:before="120" w:after="120" w:line="240" w:lineRule="auto"/>
        <w:ind w:left="709"/>
        <w:jc w:val="both"/>
        <w:rPr>
          <w:rFonts w:ascii="Times New Roman" w:hAnsi="Times New Roman" w:cs="Times New Roman"/>
          <w:noProof/>
          <w:sz w:val="24"/>
        </w:rPr>
        <w:sectPr w:rsidR="00356CBA" w:rsidRPr="00AD4052" w:rsidSect="00271D33">
          <w:headerReference w:type="even" r:id="rId290"/>
          <w:headerReference w:type="default" r:id="rId291"/>
          <w:footerReference w:type="even" r:id="rId292"/>
          <w:footerReference w:type="default" r:id="rId293"/>
          <w:headerReference w:type="first" r:id="rId294"/>
          <w:footerReference w:type="first" r:id="rId295"/>
          <w:pgSz w:w="11907" w:h="16839"/>
          <w:pgMar w:top="1134" w:right="1417" w:bottom="1134" w:left="1417" w:header="709" w:footer="326" w:gutter="0"/>
          <w:cols w:space="720"/>
          <w:docGrid w:linePitch="360"/>
        </w:sectPr>
      </w:pPr>
    </w:p>
    <w:p w14:paraId="35E36478" w14:textId="77777777" w:rsidR="00356CBA" w:rsidRPr="00E02B5D" w:rsidRDefault="00356CBA" w:rsidP="00645BC7">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N.2. </w:t>
      </w:r>
      <w:r>
        <w:rPr>
          <w:noProof/>
        </w:rPr>
        <w:tab/>
      </w:r>
      <w:r>
        <w:rPr>
          <w:rFonts w:ascii="Times New Roman" w:hAnsi="Times New Roman"/>
          <w:b/>
          <w:noProof/>
          <w:sz w:val="24"/>
          <w:u w:val="single"/>
        </w:rPr>
        <w:t>Tagastamatu rahalise toetuse eesmärgid, sihid, näitajad ning seire ja rakendamise ajakava</w:t>
      </w:r>
    </w:p>
    <w:p w14:paraId="6F9211FA" w14:textId="77777777" w:rsidR="00356CBA" w:rsidRPr="00AD4052" w:rsidRDefault="00356CBA" w:rsidP="00584C80">
      <w:pPr>
        <w:rPr>
          <w:noProof/>
        </w:rPr>
      </w:pPr>
    </w:p>
    <w:p w14:paraId="51C8A179"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21: Kohtusüsteemi tõhususe parandamine</w:t>
      </w:r>
    </w:p>
    <w:p w14:paraId="18E7905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Sellesse rühma kuuluvad järgmised meetmed:</w:t>
      </w:r>
    </w:p>
    <w:p w14:paraId="0698932D" w14:textId="77777777" w:rsidR="00356CBA" w:rsidRPr="00E02B5D" w:rsidRDefault="00356CBA" w:rsidP="00DE1EE5">
      <w:pPr>
        <w:numPr>
          <w:ilvl w:val="0"/>
          <w:numId w:val="23"/>
        </w:numPr>
        <w:spacing w:before="120" w:after="0" w:line="240" w:lineRule="auto"/>
        <w:jc w:val="both"/>
        <w:rPr>
          <w:rFonts w:ascii="Times New Roman" w:hAnsi="Times New Roman" w:cs="Times New Roman"/>
          <w:noProof/>
          <w:sz w:val="24"/>
        </w:rPr>
      </w:pPr>
      <w:r>
        <w:rPr>
          <w:rFonts w:ascii="Times New Roman" w:hAnsi="Times New Roman"/>
          <w:noProof/>
          <w:sz w:val="24"/>
        </w:rPr>
        <w:t>Uued kohtuhooned ja renoveerimine (ID: 16292)</w:t>
      </w:r>
    </w:p>
    <w:p w14:paraId="2652E2B7" w14:textId="77777777" w:rsidR="00356CBA" w:rsidRPr="00E02B5D" w:rsidRDefault="00356CBA" w:rsidP="00DE1EE5">
      <w:pPr>
        <w:numPr>
          <w:ilvl w:val="0"/>
          <w:numId w:val="23"/>
        </w:numPr>
        <w:spacing w:before="120" w:after="0" w:line="240" w:lineRule="auto"/>
        <w:jc w:val="both"/>
        <w:rPr>
          <w:rFonts w:ascii="Times New Roman" w:hAnsi="Times New Roman" w:cs="Times New Roman"/>
          <w:noProof/>
          <w:sz w:val="24"/>
        </w:rPr>
      </w:pPr>
      <w:r>
        <w:rPr>
          <w:rFonts w:ascii="Times New Roman" w:hAnsi="Times New Roman"/>
          <w:noProof/>
          <w:sz w:val="24"/>
        </w:rPr>
        <w:t>Õiguse digitaalne ümberkujundamine (e-õiguskeskkond) (ID: 16727)</w:t>
      </w:r>
    </w:p>
    <w:p w14:paraId="54D05741" w14:textId="77777777" w:rsidR="00356CBA" w:rsidRPr="00E02B5D" w:rsidRDefault="00356CBA" w:rsidP="00DE1EE5">
      <w:pPr>
        <w:numPr>
          <w:ilvl w:val="0"/>
          <w:numId w:val="23"/>
        </w:numPr>
        <w:spacing w:before="120" w:after="120" w:line="240" w:lineRule="auto"/>
        <w:jc w:val="both"/>
        <w:rPr>
          <w:rFonts w:ascii="Times New Roman" w:hAnsi="Times New Roman" w:cs="Times New Roman"/>
          <w:noProof/>
          <w:sz w:val="24"/>
        </w:rPr>
      </w:pPr>
      <w:r>
        <w:rPr>
          <w:rFonts w:ascii="Times New Roman" w:hAnsi="Times New Roman"/>
          <w:noProof/>
          <w:sz w:val="24"/>
        </w:rPr>
        <w:t>Kohtunike ja kohtutöötajate (õigustöötajate) oskused ja digioskused (ID: 16733)</w:t>
      </w:r>
    </w:p>
    <w:p w14:paraId="57B02B1C" w14:textId="77777777" w:rsidR="00356CBA" w:rsidRPr="00E02B5D" w:rsidRDefault="00356CBA" w:rsidP="00DE1EE5">
      <w:pPr>
        <w:numPr>
          <w:ilvl w:val="0"/>
          <w:numId w:val="23"/>
        </w:numPr>
        <w:spacing w:before="120" w:after="120" w:line="240" w:lineRule="auto"/>
        <w:jc w:val="both"/>
        <w:rPr>
          <w:rFonts w:ascii="Times New Roman" w:hAnsi="Times New Roman" w:cs="Times New Roman"/>
          <w:noProof/>
          <w:sz w:val="24"/>
        </w:rPr>
      </w:pPr>
      <w:r>
        <w:rPr>
          <w:rFonts w:ascii="Times New Roman" w:hAnsi="Times New Roman"/>
          <w:noProof/>
          <w:sz w:val="24"/>
        </w:rPr>
        <w:t>Õigusemõistmise kiirendamine (ID: 16575)</w:t>
      </w:r>
    </w:p>
    <w:tbl>
      <w:tblPr>
        <w:tblW w:w="16438" w:type="dxa"/>
        <w:jc w:val="center"/>
        <w:tblLook w:val="04A0" w:firstRow="1" w:lastRow="0" w:firstColumn="1" w:lastColumn="0" w:noHBand="0" w:noVBand="1"/>
      </w:tblPr>
      <w:tblGrid>
        <w:gridCol w:w="1116"/>
        <w:gridCol w:w="1767"/>
        <w:gridCol w:w="1424"/>
        <w:gridCol w:w="1609"/>
        <w:gridCol w:w="2061"/>
        <w:gridCol w:w="1221"/>
        <w:gridCol w:w="966"/>
        <w:gridCol w:w="906"/>
        <w:gridCol w:w="846"/>
        <w:gridCol w:w="656"/>
        <w:gridCol w:w="3866"/>
      </w:tblGrid>
      <w:tr w:rsidR="00356CBA" w:rsidRPr="003B132A" w14:paraId="41F3A827" w14:textId="77777777" w:rsidTr="005D5392">
        <w:trPr>
          <w:trHeight w:val="927"/>
          <w:tblHeade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72AA7D" w14:textId="3EF2241B"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5D5392">
              <w:rPr>
                <w:rFonts w:ascii="Times New Roman" w:hAnsi="Times New Roman"/>
                <w:b/>
                <w:noProof/>
                <w:sz w:val="18"/>
              </w:rPr>
              <w:t>-</w:t>
            </w:r>
            <w:r>
              <w:rPr>
                <w:rFonts w:ascii="Times New Roman" w:hAnsi="Times New Roman"/>
                <w:b/>
                <w:noProof/>
                <w:sz w:val="18"/>
              </w:rPr>
              <w:t>number</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0344A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6E23FE"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609" w:type="dxa"/>
            <w:vMerge w:val="restart"/>
            <w:tcBorders>
              <w:top w:val="single" w:sz="4" w:space="0" w:color="auto"/>
              <w:left w:val="nil"/>
              <w:bottom w:val="single" w:sz="4" w:space="0" w:color="auto"/>
              <w:right w:val="single" w:sz="4" w:space="0" w:color="auto"/>
            </w:tcBorders>
            <w:shd w:val="clear" w:color="auto" w:fill="BDD7EE"/>
            <w:vAlign w:val="center"/>
            <w:hideMark/>
          </w:tcPr>
          <w:p w14:paraId="7A67B963"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3FFD61"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Kvalitatiivsed näitajad </w:t>
            </w:r>
            <w:r>
              <w:rPr>
                <w:rFonts w:ascii="Times New Roman" w:hAnsi="Times New Roman"/>
                <w:noProof/>
              </w:rPr>
              <w:t xml:space="preserve"> </w:t>
            </w:r>
            <w:r>
              <w:rPr>
                <w:rFonts w:ascii="Times New Roman" w:hAnsi="Times New Roman"/>
                <w:b/>
                <w:noProof/>
                <w:sz w:val="18"/>
              </w:rPr>
              <w:t>(eesmärkide puhul)</w:t>
            </w:r>
          </w:p>
        </w:tc>
        <w:tc>
          <w:tcPr>
            <w:tcW w:w="3093" w:type="dxa"/>
            <w:gridSpan w:val="3"/>
            <w:tcBorders>
              <w:top w:val="single" w:sz="4" w:space="0" w:color="auto"/>
              <w:left w:val="nil"/>
              <w:bottom w:val="single" w:sz="4" w:space="0" w:color="auto"/>
              <w:right w:val="single" w:sz="4" w:space="0" w:color="auto"/>
            </w:tcBorders>
            <w:shd w:val="clear" w:color="auto" w:fill="BDD7EE"/>
            <w:vAlign w:val="center"/>
            <w:hideMark/>
          </w:tcPr>
          <w:p w14:paraId="49E85A2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Kvantitatiivsed näitajad </w:t>
            </w:r>
            <w:r>
              <w:rPr>
                <w:rFonts w:ascii="Times New Roman" w:hAnsi="Times New Roman"/>
                <w:noProof/>
              </w:rPr>
              <w:t xml:space="preserve"> </w:t>
            </w:r>
            <w:r>
              <w:rPr>
                <w:rFonts w:ascii="Times New Roman" w:hAnsi="Times New Roman"/>
                <w:b/>
                <w:noProof/>
                <w:sz w:val="18"/>
              </w:rPr>
              <w:t>(sihtide puhul)</w:t>
            </w:r>
          </w:p>
        </w:tc>
        <w:tc>
          <w:tcPr>
            <w:tcW w:w="1502" w:type="dxa"/>
            <w:gridSpan w:val="2"/>
            <w:tcBorders>
              <w:top w:val="single" w:sz="4" w:space="0" w:color="auto"/>
              <w:left w:val="nil"/>
              <w:bottom w:val="single" w:sz="4" w:space="0" w:color="auto"/>
              <w:right w:val="single" w:sz="4" w:space="0" w:color="auto"/>
            </w:tcBorders>
            <w:shd w:val="clear" w:color="auto" w:fill="BDD7EE"/>
            <w:vAlign w:val="center"/>
            <w:hideMark/>
          </w:tcPr>
          <w:p w14:paraId="71D7D4B2"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Lõpuleviimise soovituslik ajakava</w:t>
            </w:r>
          </w:p>
        </w:tc>
        <w:tc>
          <w:tcPr>
            <w:tcW w:w="38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07AFE6"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356CBA" w:rsidRPr="00E02B5D" w14:paraId="6260C8FA" w14:textId="77777777" w:rsidTr="005D5392">
        <w:trPr>
          <w:trHeight w:val="629"/>
          <w:tblHeader/>
          <w:jc w:val="center"/>
        </w:trPr>
        <w:tc>
          <w:tcPr>
            <w:tcW w:w="1116" w:type="dxa"/>
            <w:vMerge/>
            <w:tcBorders>
              <w:top w:val="single" w:sz="4" w:space="0" w:color="auto"/>
              <w:left w:val="single" w:sz="4" w:space="0" w:color="auto"/>
              <w:bottom w:val="single" w:sz="4" w:space="0" w:color="auto"/>
              <w:right w:val="single" w:sz="4" w:space="0" w:color="auto"/>
            </w:tcBorders>
            <w:hideMark/>
          </w:tcPr>
          <w:p w14:paraId="3B86B058"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767" w:type="dxa"/>
            <w:vMerge/>
            <w:tcBorders>
              <w:top w:val="single" w:sz="4" w:space="0" w:color="auto"/>
              <w:left w:val="single" w:sz="4" w:space="0" w:color="auto"/>
              <w:bottom w:val="single" w:sz="4" w:space="0" w:color="auto"/>
              <w:right w:val="single" w:sz="4" w:space="0" w:color="auto"/>
            </w:tcBorders>
            <w:hideMark/>
          </w:tcPr>
          <w:p w14:paraId="3927EEB8"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424" w:type="dxa"/>
            <w:vMerge/>
            <w:tcBorders>
              <w:top w:val="single" w:sz="4" w:space="0" w:color="auto"/>
              <w:left w:val="single" w:sz="4" w:space="0" w:color="auto"/>
              <w:bottom w:val="single" w:sz="4" w:space="0" w:color="auto"/>
              <w:right w:val="single" w:sz="4" w:space="0" w:color="auto"/>
            </w:tcBorders>
            <w:hideMark/>
          </w:tcPr>
          <w:p w14:paraId="4BFDDF03"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609" w:type="dxa"/>
            <w:vMerge/>
            <w:tcBorders>
              <w:top w:val="single" w:sz="4" w:space="0" w:color="auto"/>
              <w:left w:val="nil"/>
              <w:bottom w:val="single" w:sz="4" w:space="0" w:color="auto"/>
              <w:right w:val="single" w:sz="4" w:space="0" w:color="auto"/>
            </w:tcBorders>
            <w:hideMark/>
          </w:tcPr>
          <w:p w14:paraId="65614B95"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061" w:type="dxa"/>
            <w:vMerge/>
            <w:tcBorders>
              <w:top w:val="single" w:sz="4" w:space="0" w:color="auto"/>
              <w:left w:val="single" w:sz="4" w:space="0" w:color="auto"/>
              <w:bottom w:val="single" w:sz="4" w:space="0" w:color="auto"/>
              <w:right w:val="single" w:sz="4" w:space="0" w:color="auto"/>
            </w:tcBorders>
            <w:hideMark/>
          </w:tcPr>
          <w:p w14:paraId="609D76A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221" w:type="dxa"/>
            <w:tcBorders>
              <w:top w:val="single" w:sz="4" w:space="0" w:color="auto"/>
              <w:left w:val="nil"/>
              <w:bottom w:val="single" w:sz="4" w:space="0" w:color="auto"/>
              <w:right w:val="single" w:sz="4" w:space="0" w:color="auto"/>
            </w:tcBorders>
            <w:shd w:val="clear" w:color="auto" w:fill="BDD7EE"/>
            <w:vAlign w:val="center"/>
            <w:hideMark/>
          </w:tcPr>
          <w:p w14:paraId="13DD0716"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tcBorders>
              <w:top w:val="single" w:sz="4" w:space="0" w:color="auto"/>
              <w:left w:val="nil"/>
              <w:bottom w:val="single" w:sz="4" w:space="0" w:color="auto"/>
              <w:right w:val="single" w:sz="4" w:space="0" w:color="auto"/>
            </w:tcBorders>
            <w:shd w:val="clear" w:color="auto" w:fill="BDD7EE"/>
            <w:vAlign w:val="center"/>
            <w:hideMark/>
          </w:tcPr>
          <w:p w14:paraId="21658F7E"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906" w:type="dxa"/>
            <w:tcBorders>
              <w:top w:val="single" w:sz="4" w:space="0" w:color="auto"/>
              <w:left w:val="nil"/>
              <w:bottom w:val="single" w:sz="4" w:space="0" w:color="auto"/>
              <w:right w:val="single" w:sz="4" w:space="0" w:color="auto"/>
            </w:tcBorders>
            <w:shd w:val="clear" w:color="auto" w:fill="BDD7EE"/>
            <w:vAlign w:val="center"/>
            <w:hideMark/>
          </w:tcPr>
          <w:p w14:paraId="503E869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14:paraId="09BE93C5"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656" w:type="dxa"/>
            <w:tcBorders>
              <w:top w:val="single" w:sz="4" w:space="0" w:color="auto"/>
              <w:left w:val="nil"/>
              <w:bottom w:val="single" w:sz="4" w:space="0" w:color="auto"/>
              <w:right w:val="single" w:sz="4" w:space="0" w:color="auto"/>
            </w:tcBorders>
            <w:shd w:val="clear" w:color="auto" w:fill="BDD7EE"/>
            <w:vAlign w:val="center"/>
            <w:hideMark/>
          </w:tcPr>
          <w:p w14:paraId="6F37AD87"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866" w:type="dxa"/>
            <w:vMerge/>
            <w:tcBorders>
              <w:top w:val="single" w:sz="4" w:space="0" w:color="auto"/>
              <w:left w:val="single" w:sz="4" w:space="0" w:color="auto"/>
              <w:bottom w:val="single" w:sz="4" w:space="0" w:color="auto"/>
              <w:right w:val="single" w:sz="4" w:space="0" w:color="auto"/>
            </w:tcBorders>
            <w:hideMark/>
          </w:tcPr>
          <w:p w14:paraId="46090064"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356CBA" w:rsidRPr="003B132A" w14:paraId="06B14A5E" w14:textId="77777777" w:rsidTr="005D5392">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360B180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222</w:t>
            </w:r>
          </w:p>
        </w:tc>
        <w:tc>
          <w:tcPr>
            <w:tcW w:w="1767" w:type="dxa"/>
            <w:tcBorders>
              <w:top w:val="single" w:sz="4" w:space="0" w:color="auto"/>
              <w:left w:val="nil"/>
              <w:bottom w:val="single" w:sz="4" w:space="0" w:color="auto"/>
              <w:right w:val="single" w:sz="4" w:space="0" w:color="auto"/>
            </w:tcBorders>
            <w:shd w:val="clear" w:color="auto" w:fill="C6EFCE"/>
            <w:noWrap/>
          </w:tcPr>
          <w:p w14:paraId="62A6A6E1"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16292_Uued kohtuhooned</w:t>
            </w:r>
          </w:p>
        </w:tc>
        <w:tc>
          <w:tcPr>
            <w:tcW w:w="1424" w:type="dxa"/>
            <w:tcBorders>
              <w:top w:val="single" w:sz="4" w:space="0" w:color="auto"/>
              <w:left w:val="nil"/>
              <w:bottom w:val="single" w:sz="4" w:space="0" w:color="auto"/>
              <w:right w:val="single" w:sz="4" w:space="0" w:color="auto"/>
            </w:tcBorders>
            <w:shd w:val="clear" w:color="auto" w:fill="C6EFCE"/>
            <w:noWrap/>
          </w:tcPr>
          <w:p w14:paraId="2E5CDEC1"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single" w:sz="4" w:space="0" w:color="auto"/>
              <w:left w:val="nil"/>
              <w:bottom w:val="single" w:sz="4" w:space="0" w:color="auto"/>
              <w:right w:val="single" w:sz="4" w:space="0" w:color="auto"/>
            </w:tcBorders>
            <w:shd w:val="clear" w:color="auto" w:fill="C6EFCE"/>
            <w:noWrap/>
          </w:tcPr>
          <w:p w14:paraId="3BDA63DC" w14:textId="77777777" w:rsidR="00356CBA" w:rsidRPr="00E02B5D" w:rsidRDefault="00356CBA">
            <w:pPr>
              <w:spacing w:after="0" w:line="240" w:lineRule="auto"/>
              <w:rPr>
                <w:rFonts w:eastAsia="Times New Roman"/>
                <w:noProof/>
                <w:color w:val="006100"/>
                <w:sz w:val="18"/>
                <w:szCs w:val="18"/>
              </w:rPr>
            </w:pPr>
            <w:r>
              <w:rPr>
                <w:noProof/>
                <w:color w:val="006100"/>
                <w:sz w:val="18"/>
              </w:rPr>
              <w:t>Identifitseerimine – abikõlblikud hooned</w:t>
            </w:r>
          </w:p>
        </w:tc>
        <w:tc>
          <w:tcPr>
            <w:tcW w:w="2061" w:type="dxa"/>
            <w:tcBorders>
              <w:top w:val="single" w:sz="4" w:space="0" w:color="auto"/>
              <w:left w:val="nil"/>
              <w:bottom w:val="single" w:sz="4" w:space="0" w:color="auto"/>
              <w:right w:val="single" w:sz="4" w:space="0" w:color="auto"/>
            </w:tcBorders>
            <w:shd w:val="clear" w:color="auto" w:fill="C6EFCE"/>
            <w:noWrap/>
          </w:tcPr>
          <w:p w14:paraId="4435CF48"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Loetelu täitmine </w:t>
            </w:r>
          </w:p>
        </w:tc>
        <w:tc>
          <w:tcPr>
            <w:tcW w:w="1221" w:type="dxa"/>
            <w:tcBorders>
              <w:top w:val="single" w:sz="4" w:space="0" w:color="auto"/>
              <w:left w:val="nil"/>
              <w:bottom w:val="single" w:sz="4" w:space="0" w:color="auto"/>
              <w:right w:val="single" w:sz="4" w:space="0" w:color="auto"/>
            </w:tcBorders>
            <w:shd w:val="clear" w:color="auto" w:fill="C6EFCE"/>
            <w:noWrap/>
          </w:tcPr>
          <w:p w14:paraId="5F5DC742"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2BB22178"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6BBAC10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768CDBFF" w14:textId="77777777" w:rsidR="00356CBA" w:rsidRPr="00E02B5D" w:rsidRDefault="00356CBA">
            <w:pPr>
              <w:spacing w:after="0" w:line="240" w:lineRule="auto"/>
              <w:rPr>
                <w:rFonts w:eastAsia="Times New Roman"/>
                <w:noProof/>
                <w:color w:val="006100"/>
                <w:sz w:val="18"/>
                <w:szCs w:val="18"/>
              </w:rPr>
            </w:pPr>
            <w:r>
              <w:rPr>
                <w:noProof/>
                <w:color w:val="006100"/>
                <w:sz w:val="18"/>
              </w:rPr>
              <w:t>3. kv</w:t>
            </w:r>
          </w:p>
        </w:tc>
        <w:tc>
          <w:tcPr>
            <w:tcW w:w="656" w:type="dxa"/>
            <w:tcBorders>
              <w:top w:val="single" w:sz="4" w:space="0" w:color="auto"/>
              <w:left w:val="nil"/>
              <w:bottom w:val="single" w:sz="4" w:space="0" w:color="auto"/>
              <w:right w:val="single" w:sz="4" w:space="0" w:color="auto"/>
            </w:tcBorders>
            <w:shd w:val="clear" w:color="auto" w:fill="C6EFCE"/>
            <w:noWrap/>
          </w:tcPr>
          <w:p w14:paraId="14E0C28C" w14:textId="77777777" w:rsidR="00356CBA" w:rsidRPr="00E02B5D" w:rsidRDefault="00356CBA">
            <w:pPr>
              <w:spacing w:after="0" w:line="240" w:lineRule="auto"/>
              <w:rPr>
                <w:rFonts w:eastAsia="Times New Roman"/>
                <w:noProof/>
                <w:color w:val="006100"/>
                <w:sz w:val="18"/>
                <w:szCs w:val="18"/>
              </w:rPr>
            </w:pPr>
            <w:r>
              <w:rPr>
                <w:noProof/>
                <w:color w:val="006100"/>
                <w:sz w:val="18"/>
              </w:rPr>
              <w:t>2021</w:t>
            </w:r>
          </w:p>
        </w:tc>
        <w:tc>
          <w:tcPr>
            <w:tcW w:w="3866" w:type="dxa"/>
            <w:tcBorders>
              <w:top w:val="single" w:sz="4" w:space="0" w:color="auto"/>
              <w:left w:val="nil"/>
              <w:bottom w:val="single" w:sz="4" w:space="0" w:color="auto"/>
              <w:right w:val="single" w:sz="4" w:space="0" w:color="auto"/>
            </w:tcBorders>
            <w:shd w:val="clear" w:color="auto" w:fill="C6EFCE"/>
            <w:noWrap/>
          </w:tcPr>
          <w:p w14:paraId="0D94208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Loetelu koostamine hoonetest, mida kohtukaardi läbivaatamine ei mõjuta.</w:t>
            </w:r>
          </w:p>
        </w:tc>
      </w:tr>
      <w:tr w:rsidR="00356CBA" w:rsidRPr="003B132A" w14:paraId="30E36FAB"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5A7EB1C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223</w:t>
            </w:r>
          </w:p>
        </w:tc>
        <w:tc>
          <w:tcPr>
            <w:tcW w:w="1767" w:type="dxa"/>
            <w:tcBorders>
              <w:top w:val="nil"/>
              <w:left w:val="nil"/>
              <w:bottom w:val="single" w:sz="4" w:space="0" w:color="auto"/>
              <w:right w:val="single" w:sz="4" w:space="0" w:color="auto"/>
            </w:tcBorders>
            <w:shd w:val="clear" w:color="auto" w:fill="C6EFCE"/>
            <w:noWrap/>
          </w:tcPr>
          <w:p w14:paraId="4976A031"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14-4.3. Kohtusüsteemi tõhususe parandamine – </w:t>
            </w:r>
          </w:p>
          <w:p w14:paraId="66EC5888" w14:textId="77777777" w:rsidR="00356CBA" w:rsidRPr="00E02B5D" w:rsidRDefault="00356CBA">
            <w:pPr>
              <w:spacing w:after="0" w:line="240" w:lineRule="auto"/>
              <w:rPr>
                <w:rFonts w:eastAsia="Times New Roman"/>
                <w:noProof/>
                <w:color w:val="006100"/>
                <w:sz w:val="18"/>
                <w:szCs w:val="18"/>
              </w:rPr>
            </w:pPr>
            <w:r>
              <w:rPr>
                <w:noProof/>
                <w:color w:val="006100"/>
                <w:sz w:val="18"/>
              </w:rPr>
              <w:t>16575 õigusemõistmise kiirendamine</w:t>
            </w:r>
          </w:p>
        </w:tc>
        <w:tc>
          <w:tcPr>
            <w:tcW w:w="1424" w:type="dxa"/>
            <w:tcBorders>
              <w:top w:val="nil"/>
              <w:left w:val="nil"/>
              <w:bottom w:val="single" w:sz="4" w:space="0" w:color="auto"/>
              <w:right w:val="single" w:sz="4" w:space="0" w:color="auto"/>
            </w:tcBorders>
            <w:shd w:val="clear" w:color="auto" w:fill="C6EFCE"/>
            <w:noWrap/>
          </w:tcPr>
          <w:p w14:paraId="140D465B"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nil"/>
              <w:left w:val="nil"/>
              <w:bottom w:val="single" w:sz="4" w:space="0" w:color="auto"/>
              <w:right w:val="single" w:sz="4" w:space="0" w:color="auto"/>
            </w:tcBorders>
            <w:shd w:val="clear" w:color="auto" w:fill="C6EFCE"/>
            <w:noWrap/>
          </w:tcPr>
          <w:p w14:paraId="5C50C894" w14:textId="77777777" w:rsidR="00356CBA" w:rsidRPr="00E02B5D" w:rsidRDefault="00356CBA">
            <w:pPr>
              <w:spacing w:after="0" w:line="240" w:lineRule="auto"/>
              <w:rPr>
                <w:rFonts w:eastAsia="Times New Roman"/>
                <w:noProof/>
                <w:color w:val="006100"/>
                <w:sz w:val="18"/>
                <w:szCs w:val="18"/>
              </w:rPr>
            </w:pPr>
            <w:r>
              <w:rPr>
                <w:noProof/>
                <w:color w:val="006100"/>
                <w:sz w:val="18"/>
              </w:rPr>
              <w:t>Tehniline tugi – Õigusalase tulemuslikkuse vahend</w:t>
            </w:r>
          </w:p>
        </w:tc>
        <w:tc>
          <w:tcPr>
            <w:tcW w:w="2061" w:type="dxa"/>
            <w:tcBorders>
              <w:top w:val="nil"/>
              <w:left w:val="nil"/>
              <w:bottom w:val="single" w:sz="4" w:space="0" w:color="auto"/>
              <w:right w:val="single" w:sz="4" w:space="0" w:color="auto"/>
            </w:tcBorders>
            <w:shd w:val="clear" w:color="auto" w:fill="C6EFCE"/>
            <w:noWrap/>
          </w:tcPr>
          <w:p w14:paraId="222BC676" w14:textId="77777777" w:rsidR="00356CBA" w:rsidRPr="00E02B5D" w:rsidRDefault="00356CBA">
            <w:pPr>
              <w:spacing w:after="0" w:line="240" w:lineRule="auto"/>
              <w:rPr>
                <w:rFonts w:eastAsia="Times New Roman"/>
                <w:noProof/>
                <w:color w:val="006100"/>
                <w:sz w:val="18"/>
                <w:szCs w:val="18"/>
              </w:rPr>
            </w:pPr>
            <w:r>
              <w:rPr>
                <w:noProof/>
                <w:color w:val="006100"/>
                <w:sz w:val="18"/>
              </w:rPr>
              <w:t>Tehnilise toe pakkumise väljakuulutamine</w:t>
            </w:r>
          </w:p>
        </w:tc>
        <w:tc>
          <w:tcPr>
            <w:tcW w:w="1221" w:type="dxa"/>
            <w:tcBorders>
              <w:top w:val="nil"/>
              <w:left w:val="nil"/>
              <w:bottom w:val="single" w:sz="4" w:space="0" w:color="auto"/>
              <w:right w:val="single" w:sz="4" w:space="0" w:color="auto"/>
            </w:tcBorders>
            <w:shd w:val="clear" w:color="auto" w:fill="C6EFCE"/>
            <w:noWrap/>
          </w:tcPr>
          <w:p w14:paraId="0469578A"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58500539"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10E54F79"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4826A0C9" w14:textId="77777777" w:rsidR="00356CBA" w:rsidRPr="00E02B5D" w:rsidRDefault="00356CBA">
            <w:pPr>
              <w:spacing w:after="0" w:line="240" w:lineRule="auto"/>
              <w:rPr>
                <w:rFonts w:eastAsia="Times New Roman"/>
                <w:noProof/>
                <w:color w:val="006100"/>
                <w:sz w:val="18"/>
                <w:szCs w:val="18"/>
              </w:rPr>
            </w:pPr>
            <w:r>
              <w:rPr>
                <w:noProof/>
                <w:color w:val="006100"/>
                <w:sz w:val="18"/>
              </w:rPr>
              <w:t>3. kv</w:t>
            </w:r>
          </w:p>
        </w:tc>
        <w:tc>
          <w:tcPr>
            <w:tcW w:w="656" w:type="dxa"/>
            <w:tcBorders>
              <w:top w:val="nil"/>
              <w:left w:val="nil"/>
              <w:bottom w:val="single" w:sz="4" w:space="0" w:color="auto"/>
              <w:right w:val="single" w:sz="4" w:space="0" w:color="auto"/>
            </w:tcBorders>
            <w:shd w:val="clear" w:color="auto" w:fill="C6EFCE"/>
            <w:noWrap/>
          </w:tcPr>
          <w:p w14:paraId="0CF311F8" w14:textId="77777777" w:rsidR="00356CBA" w:rsidRPr="00E02B5D" w:rsidRDefault="00356CBA">
            <w:pPr>
              <w:spacing w:after="0" w:line="240" w:lineRule="auto"/>
              <w:rPr>
                <w:rFonts w:eastAsia="Times New Roman"/>
                <w:noProof/>
                <w:color w:val="006100"/>
                <w:sz w:val="18"/>
                <w:szCs w:val="18"/>
              </w:rPr>
            </w:pPr>
            <w:r>
              <w:rPr>
                <w:noProof/>
                <w:color w:val="006100"/>
                <w:sz w:val="18"/>
              </w:rPr>
              <w:t>2022</w:t>
            </w:r>
          </w:p>
        </w:tc>
        <w:tc>
          <w:tcPr>
            <w:tcW w:w="3866" w:type="dxa"/>
            <w:tcBorders>
              <w:top w:val="nil"/>
              <w:left w:val="nil"/>
              <w:bottom w:val="single" w:sz="4" w:space="0" w:color="auto"/>
              <w:right w:val="single" w:sz="4" w:space="0" w:color="auto"/>
            </w:tcBorders>
            <w:shd w:val="clear" w:color="auto" w:fill="C6EFCE"/>
            <w:noWrap/>
          </w:tcPr>
          <w:p w14:paraId="64050D7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Hankemenetluste korraldamine kohtu tulemuslikkuse vahendi väljatöötamiseks, tuginedes strateegilistele eesmärkidele, võttes kasutusele objektiivsed võtmetähtsusega tulemuslikkuse põhinäitajad (töökohustuse täitmise aeg, individuaalsed tulemused aja, teabevahetuse, motivatsiooni jms osas) osakondade ja/või ametnike kategooriate kaupa ning pakkudes täpseid ja objektiivseid andmeid boonuste määramise kohta; lisatasu makstakse esimese kvartali jooksul pärast asjaomase aasta lõppu selle aasta tulemuste alusel. Vahend on ajutine ja täielikus kooskõlas ühtse palgatabeliga (seadus nr 4354/2015), kehtestamata ühtegi erandit kohtuasjade kuhjumise kõrvaldamiseks.</w:t>
            </w:r>
          </w:p>
        </w:tc>
      </w:tr>
      <w:tr w:rsidR="00356CBA" w:rsidRPr="003B132A" w14:paraId="4633D58F" w14:textId="77777777" w:rsidTr="005D5392">
        <w:tblPrEx>
          <w:tblLook w:val="0400" w:firstRow="0" w:lastRow="0" w:firstColumn="0" w:lastColumn="0" w:noHBand="0" w:noVBand="1"/>
        </w:tblPrEx>
        <w:trPr>
          <w:trHeight w:val="309"/>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C6EFCE"/>
          </w:tcPr>
          <w:p w14:paraId="203FC53F" w14:textId="77777777" w:rsidR="00356CBA" w:rsidRPr="00E02B5D" w:rsidRDefault="00356CBA">
            <w:pPr>
              <w:spacing w:after="0" w:line="240" w:lineRule="auto"/>
              <w:rPr>
                <w:rFonts w:cs="Calibri"/>
                <w:noProof/>
                <w:color w:val="006100"/>
                <w:sz w:val="18"/>
                <w:szCs w:val="18"/>
              </w:rPr>
            </w:pPr>
            <w:r>
              <w:rPr>
                <w:noProof/>
                <w:color w:val="006100"/>
                <w:sz w:val="18"/>
              </w:rPr>
              <w:t>224</w:t>
            </w:r>
          </w:p>
        </w:tc>
        <w:tc>
          <w:tcPr>
            <w:tcW w:w="1767" w:type="dxa"/>
            <w:tcBorders>
              <w:top w:val="single" w:sz="4" w:space="0" w:color="000000"/>
              <w:left w:val="nil"/>
              <w:bottom w:val="single" w:sz="4" w:space="0" w:color="000000"/>
              <w:right w:val="single" w:sz="4" w:space="0" w:color="000000"/>
            </w:tcBorders>
            <w:shd w:val="clear" w:color="auto" w:fill="C6EFCE"/>
          </w:tcPr>
          <w:p w14:paraId="497EB85C" w14:textId="77777777" w:rsidR="00356CBA" w:rsidRPr="00E02B5D" w:rsidRDefault="00356CBA">
            <w:pPr>
              <w:spacing w:after="0" w:line="240" w:lineRule="auto"/>
              <w:rPr>
                <w:rFonts w:cs="Calibri"/>
                <w:noProof/>
                <w:color w:val="006100"/>
                <w:sz w:val="18"/>
                <w:szCs w:val="18"/>
              </w:rPr>
            </w:pPr>
            <w:r>
              <w:rPr>
                <w:noProof/>
                <w:color w:val="006100"/>
                <w:sz w:val="18"/>
              </w:rPr>
              <w:t>14-4.3. Kohtusüsteemi tõhususe parandamine – 16733_Kutseoskused ja digioskused kohtunike ja kohtutöötajate jaoks (kohtutöötajad)</w:t>
            </w:r>
          </w:p>
        </w:tc>
        <w:tc>
          <w:tcPr>
            <w:tcW w:w="1424" w:type="dxa"/>
            <w:tcBorders>
              <w:top w:val="single" w:sz="4" w:space="0" w:color="000000"/>
              <w:left w:val="nil"/>
              <w:bottom w:val="single" w:sz="4" w:space="0" w:color="000000"/>
              <w:right w:val="single" w:sz="4" w:space="0" w:color="000000"/>
            </w:tcBorders>
            <w:shd w:val="clear" w:color="auto" w:fill="C6EFCE"/>
          </w:tcPr>
          <w:p w14:paraId="1D737D49" w14:textId="77777777" w:rsidR="00356CBA" w:rsidRPr="00E02B5D" w:rsidRDefault="00356CBA">
            <w:pPr>
              <w:spacing w:after="0" w:line="240" w:lineRule="auto"/>
              <w:rPr>
                <w:rFonts w:cs="Calibri"/>
                <w:noProof/>
                <w:color w:val="006100"/>
                <w:sz w:val="18"/>
                <w:szCs w:val="18"/>
              </w:rPr>
            </w:pPr>
            <w:r>
              <w:rPr>
                <w:noProof/>
                <w:color w:val="006100"/>
                <w:sz w:val="18"/>
              </w:rPr>
              <w:t>Siht</w:t>
            </w:r>
          </w:p>
        </w:tc>
        <w:tc>
          <w:tcPr>
            <w:tcW w:w="1609" w:type="dxa"/>
            <w:tcBorders>
              <w:top w:val="single" w:sz="4" w:space="0" w:color="000000"/>
              <w:left w:val="nil"/>
              <w:bottom w:val="single" w:sz="4" w:space="0" w:color="000000"/>
              <w:right w:val="single" w:sz="4" w:space="0" w:color="000000"/>
            </w:tcBorders>
            <w:shd w:val="clear" w:color="auto" w:fill="C6EFCE"/>
          </w:tcPr>
          <w:p w14:paraId="729A2784" w14:textId="77777777" w:rsidR="00356CBA" w:rsidRPr="00E02B5D" w:rsidRDefault="00356CBA">
            <w:pPr>
              <w:spacing w:after="0" w:line="240" w:lineRule="auto"/>
              <w:rPr>
                <w:rFonts w:cs="Calibri"/>
                <w:noProof/>
                <w:color w:val="006100"/>
                <w:sz w:val="18"/>
                <w:szCs w:val="18"/>
              </w:rPr>
            </w:pPr>
            <w:r>
              <w:rPr>
                <w:noProof/>
                <w:color w:val="006100"/>
                <w:sz w:val="18"/>
              </w:rPr>
              <w:t>Koolitus – kohtunikud ja kantseleitöötajad</w:t>
            </w:r>
          </w:p>
        </w:tc>
        <w:tc>
          <w:tcPr>
            <w:tcW w:w="2061" w:type="dxa"/>
            <w:tcBorders>
              <w:top w:val="single" w:sz="4" w:space="0" w:color="000000"/>
              <w:left w:val="nil"/>
              <w:bottom w:val="single" w:sz="4" w:space="0" w:color="000000"/>
              <w:right w:val="single" w:sz="4" w:space="0" w:color="000000"/>
            </w:tcBorders>
            <w:shd w:val="clear" w:color="auto" w:fill="C6EFCE"/>
          </w:tcPr>
          <w:p w14:paraId="1EEAF688" w14:textId="77777777" w:rsidR="00356CBA" w:rsidRPr="00E02B5D" w:rsidRDefault="00356CBA">
            <w:pPr>
              <w:spacing w:after="0" w:line="240" w:lineRule="auto"/>
              <w:rPr>
                <w:rFonts w:cs="Calibri"/>
                <w:noProof/>
                <w:color w:val="006100"/>
                <w:sz w:val="18"/>
                <w:szCs w:val="18"/>
                <w:lang w:val="en-GB"/>
              </w:rPr>
            </w:pPr>
          </w:p>
          <w:p w14:paraId="37007162" w14:textId="77777777" w:rsidR="00356CBA" w:rsidRPr="00E02B5D" w:rsidRDefault="00356CBA">
            <w:pPr>
              <w:spacing w:after="0" w:line="240" w:lineRule="auto"/>
              <w:rPr>
                <w:rFonts w:cs="Calibri"/>
                <w:noProof/>
                <w:color w:val="006100"/>
                <w:sz w:val="18"/>
                <w:szCs w:val="18"/>
                <w:lang w:val="en-GB"/>
              </w:rPr>
            </w:pPr>
          </w:p>
        </w:tc>
        <w:tc>
          <w:tcPr>
            <w:tcW w:w="1221" w:type="dxa"/>
            <w:tcBorders>
              <w:top w:val="single" w:sz="4" w:space="0" w:color="000000"/>
              <w:left w:val="nil"/>
              <w:bottom w:val="single" w:sz="4" w:space="0" w:color="000000"/>
              <w:right w:val="single" w:sz="4" w:space="0" w:color="000000"/>
            </w:tcBorders>
            <w:shd w:val="clear" w:color="auto" w:fill="C6EFCE"/>
          </w:tcPr>
          <w:p w14:paraId="270A9C5D" w14:textId="77777777" w:rsidR="00356CBA" w:rsidRPr="00E02B5D" w:rsidRDefault="00356CBA">
            <w:pPr>
              <w:spacing w:after="0" w:line="240" w:lineRule="auto"/>
              <w:rPr>
                <w:rFonts w:cs="Calibri"/>
                <w:noProof/>
                <w:color w:val="006100"/>
                <w:sz w:val="18"/>
                <w:szCs w:val="18"/>
              </w:rPr>
            </w:pPr>
            <w:r>
              <w:rPr>
                <w:noProof/>
                <w:color w:val="006100"/>
                <w:sz w:val="18"/>
              </w:rPr>
              <w:t>Riiklikus kohtunike koolis registreeritud kohtunike arv</w:t>
            </w:r>
          </w:p>
        </w:tc>
        <w:tc>
          <w:tcPr>
            <w:tcW w:w="966" w:type="dxa"/>
            <w:tcBorders>
              <w:top w:val="single" w:sz="4" w:space="0" w:color="000000"/>
              <w:left w:val="nil"/>
              <w:bottom w:val="single" w:sz="4" w:space="0" w:color="000000"/>
              <w:right w:val="single" w:sz="4" w:space="0" w:color="000000"/>
            </w:tcBorders>
            <w:shd w:val="clear" w:color="auto" w:fill="C6EFCE"/>
          </w:tcPr>
          <w:p w14:paraId="5D1D5481" w14:textId="77777777" w:rsidR="00356CBA" w:rsidRPr="00E02B5D" w:rsidRDefault="00356CBA">
            <w:pPr>
              <w:spacing w:after="0" w:line="240" w:lineRule="auto"/>
              <w:rPr>
                <w:rFonts w:cs="Calibri"/>
                <w:noProof/>
                <w:color w:val="006100"/>
                <w:sz w:val="18"/>
                <w:szCs w:val="18"/>
              </w:rPr>
            </w:pPr>
            <w:r>
              <w:rPr>
                <w:noProof/>
                <w:color w:val="006100"/>
                <w:sz w:val="18"/>
              </w:rPr>
              <w:t>0</w:t>
            </w:r>
          </w:p>
        </w:tc>
        <w:tc>
          <w:tcPr>
            <w:tcW w:w="906" w:type="dxa"/>
            <w:tcBorders>
              <w:top w:val="single" w:sz="4" w:space="0" w:color="000000"/>
              <w:left w:val="nil"/>
              <w:bottom w:val="single" w:sz="4" w:space="0" w:color="000000"/>
              <w:right w:val="single" w:sz="4" w:space="0" w:color="000000"/>
            </w:tcBorders>
            <w:shd w:val="clear" w:color="auto" w:fill="C6EFCE"/>
          </w:tcPr>
          <w:p w14:paraId="493FC5F5" w14:textId="77777777" w:rsidR="00356CBA" w:rsidRPr="00E02B5D" w:rsidRDefault="00356CBA">
            <w:pPr>
              <w:spacing w:after="0" w:line="240" w:lineRule="auto"/>
              <w:rPr>
                <w:rFonts w:cs="Calibri"/>
                <w:noProof/>
                <w:color w:val="006100"/>
                <w:sz w:val="18"/>
                <w:szCs w:val="18"/>
              </w:rPr>
            </w:pPr>
            <w:r>
              <w:rPr>
                <w:noProof/>
                <w:color w:val="006100"/>
                <w:sz w:val="18"/>
              </w:rPr>
              <w:t>10</w:t>
            </w:r>
          </w:p>
        </w:tc>
        <w:tc>
          <w:tcPr>
            <w:tcW w:w="846" w:type="dxa"/>
            <w:tcBorders>
              <w:top w:val="single" w:sz="4" w:space="0" w:color="000000"/>
              <w:left w:val="nil"/>
              <w:bottom w:val="single" w:sz="4" w:space="0" w:color="000000"/>
              <w:right w:val="single" w:sz="4" w:space="0" w:color="000000"/>
            </w:tcBorders>
            <w:shd w:val="clear" w:color="auto" w:fill="C6EFCE"/>
          </w:tcPr>
          <w:p w14:paraId="2E9A33D4" w14:textId="77777777" w:rsidR="00356CBA" w:rsidRPr="00E02B5D" w:rsidRDefault="00356CBA">
            <w:pPr>
              <w:spacing w:after="0" w:line="240" w:lineRule="auto"/>
              <w:rPr>
                <w:rFonts w:cs="Calibri"/>
                <w:noProof/>
                <w:color w:val="006100"/>
                <w:sz w:val="18"/>
                <w:szCs w:val="18"/>
              </w:rPr>
            </w:pPr>
            <w:r>
              <w:rPr>
                <w:noProof/>
                <w:color w:val="006100"/>
                <w:sz w:val="18"/>
              </w:rPr>
              <w:t>1. kv</w:t>
            </w:r>
          </w:p>
        </w:tc>
        <w:tc>
          <w:tcPr>
            <w:tcW w:w="656" w:type="dxa"/>
            <w:tcBorders>
              <w:top w:val="single" w:sz="4" w:space="0" w:color="000000"/>
              <w:left w:val="nil"/>
              <w:bottom w:val="single" w:sz="4" w:space="0" w:color="000000"/>
              <w:right w:val="single" w:sz="4" w:space="0" w:color="000000"/>
            </w:tcBorders>
            <w:shd w:val="clear" w:color="auto" w:fill="C6EFCE"/>
          </w:tcPr>
          <w:p w14:paraId="6CC30E1A" w14:textId="77777777" w:rsidR="00356CBA" w:rsidRPr="00E02B5D" w:rsidRDefault="00356CBA">
            <w:pPr>
              <w:spacing w:after="0" w:line="240" w:lineRule="auto"/>
              <w:rPr>
                <w:rFonts w:cs="Calibri"/>
                <w:noProof/>
                <w:color w:val="006100"/>
                <w:sz w:val="18"/>
                <w:szCs w:val="18"/>
              </w:rPr>
            </w:pPr>
            <w:r>
              <w:rPr>
                <w:noProof/>
                <w:color w:val="006100"/>
                <w:sz w:val="18"/>
              </w:rPr>
              <w:t>2022</w:t>
            </w:r>
          </w:p>
        </w:tc>
        <w:tc>
          <w:tcPr>
            <w:tcW w:w="3866" w:type="dxa"/>
            <w:tcBorders>
              <w:top w:val="single" w:sz="4" w:space="0" w:color="000000"/>
              <w:left w:val="nil"/>
              <w:bottom w:val="single" w:sz="4" w:space="0" w:color="000000"/>
              <w:right w:val="single" w:sz="4" w:space="0" w:color="000000"/>
            </w:tcBorders>
            <w:shd w:val="clear" w:color="auto" w:fill="C6EFCE"/>
          </w:tcPr>
          <w:p w14:paraId="1200DD3B" w14:textId="77777777" w:rsidR="00356CBA" w:rsidRPr="00E02B5D" w:rsidRDefault="00356CBA">
            <w:pPr>
              <w:spacing w:after="0" w:line="240" w:lineRule="auto"/>
              <w:rPr>
                <w:rFonts w:ascii="Times New Roman" w:hAnsi="Times New Roman" w:cs="Times New Roman"/>
                <w:noProof/>
                <w:sz w:val="24"/>
              </w:rPr>
            </w:pPr>
            <w:r>
              <w:rPr>
                <w:noProof/>
                <w:color w:val="006100"/>
                <w:sz w:val="18"/>
              </w:rPr>
              <w:t xml:space="preserve">10 riiklikus kohtunike koolis registreeritud magistraadikohtunikku </w:t>
            </w:r>
          </w:p>
        </w:tc>
      </w:tr>
      <w:tr w:rsidR="00356CBA" w:rsidRPr="003B132A" w14:paraId="14985EEB"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4D94A07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225</w:t>
            </w:r>
          </w:p>
        </w:tc>
        <w:tc>
          <w:tcPr>
            <w:tcW w:w="1767" w:type="dxa"/>
            <w:tcBorders>
              <w:top w:val="nil"/>
              <w:left w:val="nil"/>
              <w:bottom w:val="single" w:sz="4" w:space="0" w:color="auto"/>
              <w:right w:val="single" w:sz="4" w:space="0" w:color="auto"/>
            </w:tcBorders>
            <w:shd w:val="clear" w:color="auto" w:fill="C6EFCE"/>
            <w:noWrap/>
          </w:tcPr>
          <w:p w14:paraId="59DD0D69"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16575 Õigusmõistmise kiirendamine</w:t>
            </w:r>
          </w:p>
        </w:tc>
        <w:tc>
          <w:tcPr>
            <w:tcW w:w="1424" w:type="dxa"/>
            <w:tcBorders>
              <w:top w:val="nil"/>
              <w:left w:val="nil"/>
              <w:bottom w:val="single" w:sz="4" w:space="0" w:color="auto"/>
              <w:right w:val="single" w:sz="4" w:space="0" w:color="auto"/>
            </w:tcBorders>
            <w:shd w:val="clear" w:color="auto" w:fill="C6EFCE"/>
            <w:noWrap/>
          </w:tcPr>
          <w:p w14:paraId="10584B9D"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nil"/>
              <w:left w:val="nil"/>
              <w:bottom w:val="single" w:sz="4" w:space="0" w:color="auto"/>
              <w:right w:val="single" w:sz="4" w:space="0" w:color="auto"/>
            </w:tcBorders>
            <w:shd w:val="clear" w:color="auto" w:fill="C6EFCE"/>
            <w:noWrap/>
          </w:tcPr>
          <w:p w14:paraId="2659910A"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Õiguspolitsei – teisesed õigusaktid </w:t>
            </w:r>
          </w:p>
        </w:tc>
        <w:tc>
          <w:tcPr>
            <w:tcW w:w="2061" w:type="dxa"/>
            <w:tcBorders>
              <w:top w:val="nil"/>
              <w:left w:val="nil"/>
              <w:bottom w:val="single" w:sz="4" w:space="0" w:color="auto"/>
              <w:right w:val="single" w:sz="4" w:space="0" w:color="auto"/>
            </w:tcBorders>
            <w:shd w:val="clear" w:color="auto" w:fill="C6EFCE"/>
            <w:noWrap/>
          </w:tcPr>
          <w:p w14:paraId="551DFFA7" w14:textId="77777777" w:rsidR="00356CBA" w:rsidRPr="00E02B5D" w:rsidRDefault="00356CBA">
            <w:pPr>
              <w:spacing w:after="0" w:line="240" w:lineRule="auto"/>
              <w:rPr>
                <w:rFonts w:eastAsia="Times New Roman"/>
                <w:noProof/>
                <w:color w:val="006100"/>
                <w:sz w:val="18"/>
                <w:szCs w:val="18"/>
              </w:rPr>
            </w:pPr>
            <w:r>
              <w:rPr>
                <w:noProof/>
                <w:color w:val="006100"/>
                <w:sz w:val="18"/>
              </w:rPr>
              <w:t>Õigusaktide jõustumine</w:t>
            </w:r>
          </w:p>
        </w:tc>
        <w:tc>
          <w:tcPr>
            <w:tcW w:w="1221" w:type="dxa"/>
            <w:tcBorders>
              <w:top w:val="nil"/>
              <w:left w:val="nil"/>
              <w:bottom w:val="single" w:sz="4" w:space="0" w:color="auto"/>
              <w:right w:val="single" w:sz="4" w:space="0" w:color="auto"/>
            </w:tcBorders>
            <w:shd w:val="clear" w:color="auto" w:fill="C6EFCE"/>
            <w:noWrap/>
          </w:tcPr>
          <w:p w14:paraId="7AE58D6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536E52D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4A6C61A9"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3AEB77A5" w14:textId="77777777" w:rsidR="00356CBA" w:rsidRPr="00E02B5D" w:rsidRDefault="00356CBA">
            <w:pPr>
              <w:spacing w:after="0" w:line="240" w:lineRule="auto"/>
              <w:rPr>
                <w:rFonts w:eastAsia="Times New Roman"/>
                <w:noProof/>
                <w:color w:val="006100"/>
                <w:sz w:val="18"/>
                <w:szCs w:val="18"/>
              </w:rPr>
            </w:pPr>
            <w:r>
              <w:rPr>
                <w:noProof/>
                <w:color w:val="006100"/>
                <w:sz w:val="18"/>
              </w:rPr>
              <w:t>3. kv</w:t>
            </w:r>
          </w:p>
        </w:tc>
        <w:tc>
          <w:tcPr>
            <w:tcW w:w="656" w:type="dxa"/>
            <w:tcBorders>
              <w:top w:val="nil"/>
              <w:left w:val="nil"/>
              <w:bottom w:val="single" w:sz="4" w:space="0" w:color="auto"/>
              <w:right w:val="single" w:sz="4" w:space="0" w:color="auto"/>
            </w:tcBorders>
            <w:shd w:val="clear" w:color="auto" w:fill="C6EFCE"/>
            <w:noWrap/>
          </w:tcPr>
          <w:p w14:paraId="7659DA51" w14:textId="77777777" w:rsidR="00356CBA" w:rsidRPr="00E02B5D" w:rsidRDefault="00356CBA">
            <w:pPr>
              <w:spacing w:after="0" w:line="240" w:lineRule="auto"/>
              <w:rPr>
                <w:rFonts w:eastAsia="Times New Roman"/>
                <w:noProof/>
                <w:color w:val="006100"/>
                <w:sz w:val="18"/>
                <w:szCs w:val="18"/>
              </w:rPr>
            </w:pPr>
            <w:r>
              <w:rPr>
                <w:noProof/>
                <w:color w:val="006100"/>
                <w:sz w:val="18"/>
              </w:rPr>
              <w:t>2022</w:t>
            </w:r>
          </w:p>
        </w:tc>
        <w:tc>
          <w:tcPr>
            <w:tcW w:w="3866" w:type="dxa"/>
            <w:tcBorders>
              <w:top w:val="nil"/>
              <w:left w:val="nil"/>
              <w:bottom w:val="single" w:sz="4" w:space="0" w:color="auto"/>
              <w:right w:val="single" w:sz="4" w:space="0" w:color="auto"/>
            </w:tcBorders>
            <w:shd w:val="clear" w:color="auto" w:fill="C6EFCE"/>
            <w:noWrap/>
          </w:tcPr>
          <w:p w14:paraId="70194C69" w14:textId="77777777" w:rsidR="00356CBA" w:rsidRPr="00E02B5D" w:rsidRDefault="00356CBA">
            <w:pPr>
              <w:spacing w:before="120" w:after="120" w:line="240" w:lineRule="auto"/>
              <w:jc w:val="both"/>
              <w:rPr>
                <w:noProof/>
                <w:color w:val="006100"/>
                <w:sz w:val="18"/>
                <w:szCs w:val="18"/>
              </w:rPr>
            </w:pPr>
            <w:r>
              <w:rPr>
                <w:noProof/>
                <w:color w:val="006100"/>
                <w:sz w:val="18"/>
              </w:rPr>
              <w:t>Kõigi selliste teiseste õigusaktide (vastavalt vajadusele kas presidendi määruste või ministrite otsuste kujul) jõustumine, mis on vajalikud kohtupolitsei seaduse täielikuks rakendamiseks, et aidata kohtu- ja prokuratuuriasutustel teha järgmist:</w:t>
            </w:r>
          </w:p>
          <w:p w14:paraId="15954312" w14:textId="77777777" w:rsidR="00356CBA" w:rsidRPr="00E02B5D" w:rsidRDefault="00356CBA" w:rsidP="00DE1EE5">
            <w:pPr>
              <w:numPr>
                <w:ilvl w:val="0"/>
                <w:numId w:val="56"/>
              </w:numPr>
              <w:spacing w:before="120" w:after="0" w:line="240" w:lineRule="auto"/>
              <w:ind w:left="231" w:hanging="219"/>
              <w:jc w:val="both"/>
              <w:rPr>
                <w:noProof/>
                <w:color w:val="006100"/>
                <w:sz w:val="18"/>
                <w:szCs w:val="18"/>
              </w:rPr>
            </w:pPr>
            <w:r>
              <w:rPr>
                <w:noProof/>
                <w:color w:val="006100"/>
                <w:sz w:val="18"/>
              </w:rPr>
              <w:t xml:space="preserve">kohtunikele ja prokuröridele teadusliku ja tehnilise abi andmine küsimustes, mis nõuavad tehnilist või erialast asjatundlikkust; </w:t>
            </w:r>
          </w:p>
          <w:p w14:paraId="1A3AC4CF" w14:textId="77777777" w:rsidR="00356CBA" w:rsidRPr="00E02B5D" w:rsidRDefault="00356CBA" w:rsidP="00DE1EE5">
            <w:pPr>
              <w:numPr>
                <w:ilvl w:val="0"/>
                <w:numId w:val="56"/>
              </w:numPr>
              <w:spacing w:before="120" w:after="0" w:line="240" w:lineRule="auto"/>
              <w:ind w:left="231" w:hanging="219"/>
              <w:jc w:val="both"/>
              <w:rPr>
                <w:noProof/>
                <w:color w:val="006100"/>
                <w:sz w:val="18"/>
                <w:szCs w:val="18"/>
              </w:rPr>
            </w:pPr>
            <w:r>
              <w:rPr>
                <w:noProof/>
                <w:color w:val="006100"/>
                <w:sz w:val="18"/>
              </w:rPr>
              <w:t>eelkontrollid ja -uurimised;</w:t>
            </w:r>
          </w:p>
          <w:p w14:paraId="5B9D06AC" w14:textId="77777777" w:rsidR="00356CBA" w:rsidRPr="00E02B5D" w:rsidRDefault="00356CBA" w:rsidP="00DE1EE5">
            <w:pPr>
              <w:numPr>
                <w:ilvl w:val="0"/>
                <w:numId w:val="56"/>
              </w:numPr>
              <w:spacing w:before="120" w:after="0" w:line="240" w:lineRule="auto"/>
              <w:ind w:left="231" w:hanging="219"/>
              <w:jc w:val="both"/>
              <w:rPr>
                <w:noProof/>
                <w:color w:val="006100"/>
                <w:sz w:val="18"/>
                <w:szCs w:val="18"/>
              </w:rPr>
            </w:pPr>
            <w:r>
              <w:rPr>
                <w:noProof/>
                <w:color w:val="006100"/>
                <w:sz w:val="18"/>
              </w:rPr>
              <w:t>vahistamismääruste täitmine;</w:t>
            </w:r>
          </w:p>
          <w:p w14:paraId="3215EDA5" w14:textId="77777777" w:rsidR="00356CBA" w:rsidRPr="00E02B5D" w:rsidRDefault="00356CBA" w:rsidP="00DE1EE5">
            <w:pPr>
              <w:numPr>
                <w:ilvl w:val="0"/>
                <w:numId w:val="56"/>
              </w:numPr>
              <w:spacing w:before="120" w:after="0" w:line="240" w:lineRule="auto"/>
              <w:ind w:left="231" w:hanging="219"/>
              <w:jc w:val="both"/>
              <w:rPr>
                <w:noProof/>
                <w:color w:val="006100"/>
                <w:sz w:val="18"/>
                <w:szCs w:val="18"/>
              </w:rPr>
            </w:pPr>
            <w:r>
              <w:rPr>
                <w:noProof/>
                <w:color w:val="006100"/>
                <w:sz w:val="18"/>
              </w:rPr>
              <w:t>õigusabitaotluste esitamisel või neile vastamisel abi osutamine;</w:t>
            </w:r>
          </w:p>
          <w:p w14:paraId="0E4AA1C5" w14:textId="77777777" w:rsidR="00356CBA" w:rsidRPr="00E02B5D" w:rsidRDefault="00356CBA" w:rsidP="00DE1EE5">
            <w:pPr>
              <w:numPr>
                <w:ilvl w:val="0"/>
                <w:numId w:val="56"/>
              </w:numPr>
              <w:spacing w:before="120" w:after="0" w:line="240" w:lineRule="auto"/>
              <w:ind w:left="231" w:hanging="219"/>
              <w:jc w:val="both"/>
              <w:rPr>
                <w:noProof/>
                <w:color w:val="006100"/>
                <w:sz w:val="18"/>
                <w:szCs w:val="18"/>
              </w:rPr>
            </w:pPr>
            <w:r>
              <w:rPr>
                <w:noProof/>
                <w:color w:val="006100"/>
                <w:sz w:val="18"/>
              </w:rPr>
              <w:t>dokumentide ja menetlusdokumentide kättetoimetamine;</w:t>
            </w:r>
          </w:p>
          <w:p w14:paraId="602CB956" w14:textId="77777777" w:rsidR="00356CBA" w:rsidRPr="00E02B5D" w:rsidRDefault="00356CBA" w:rsidP="00DE1EE5">
            <w:pPr>
              <w:numPr>
                <w:ilvl w:val="0"/>
                <w:numId w:val="56"/>
              </w:numPr>
              <w:spacing w:before="120" w:after="0" w:line="240" w:lineRule="auto"/>
              <w:ind w:left="231" w:hanging="219"/>
              <w:jc w:val="both"/>
              <w:rPr>
                <w:noProof/>
                <w:color w:val="006100"/>
                <w:sz w:val="18"/>
                <w:szCs w:val="18"/>
              </w:rPr>
            </w:pPr>
            <w:r>
              <w:rPr>
                <w:noProof/>
                <w:color w:val="006100"/>
                <w:sz w:val="18"/>
              </w:rPr>
              <w:t>kohtuotsuste täitmine;</w:t>
            </w:r>
          </w:p>
          <w:p w14:paraId="2ECF0FFB" w14:textId="77777777" w:rsidR="00356CBA" w:rsidRPr="00E02B5D" w:rsidRDefault="00356CBA" w:rsidP="00DE1EE5">
            <w:pPr>
              <w:numPr>
                <w:ilvl w:val="0"/>
                <w:numId w:val="56"/>
              </w:numPr>
              <w:spacing w:before="120" w:after="0" w:line="240" w:lineRule="auto"/>
              <w:ind w:left="231" w:hanging="219"/>
              <w:jc w:val="both"/>
              <w:rPr>
                <w:noProof/>
                <w:color w:val="006100"/>
                <w:sz w:val="18"/>
                <w:szCs w:val="18"/>
              </w:rPr>
            </w:pPr>
            <w:r>
              <w:rPr>
                <w:noProof/>
                <w:color w:val="006100"/>
                <w:sz w:val="18"/>
              </w:rPr>
              <w:t>maksekäsu valvamine ja säilitamine kohtumajades;</w:t>
            </w:r>
          </w:p>
          <w:p w14:paraId="58A4CDB3" w14:textId="77777777" w:rsidR="00356CBA" w:rsidRPr="00E02B5D" w:rsidRDefault="00356CBA" w:rsidP="00DE1EE5">
            <w:pPr>
              <w:numPr>
                <w:ilvl w:val="0"/>
                <w:numId w:val="56"/>
              </w:numPr>
              <w:spacing w:before="120" w:after="0" w:line="240" w:lineRule="auto"/>
              <w:ind w:left="231" w:hanging="219"/>
              <w:jc w:val="both"/>
              <w:rPr>
                <w:noProof/>
                <w:color w:val="006100"/>
                <w:sz w:val="18"/>
                <w:szCs w:val="18"/>
              </w:rPr>
            </w:pPr>
            <w:r>
              <w:rPr>
                <w:noProof/>
                <w:color w:val="006100"/>
                <w:sz w:val="18"/>
              </w:rPr>
              <w:t>muud menetlustoimingud, mille on talle usaldanud pädevad kohtud ja prokurörid</w:t>
            </w:r>
          </w:p>
          <w:p w14:paraId="45742ABD" w14:textId="77777777" w:rsidR="00356CBA" w:rsidRPr="00AD4052" w:rsidRDefault="00356CBA">
            <w:pPr>
              <w:spacing w:after="0" w:line="240" w:lineRule="auto"/>
              <w:rPr>
                <w:rFonts w:eastAsia="Times New Roman"/>
                <w:noProof/>
                <w:color w:val="006100"/>
                <w:sz w:val="18"/>
                <w:szCs w:val="18"/>
                <w:lang w:eastAsia="en-GB"/>
              </w:rPr>
            </w:pPr>
          </w:p>
        </w:tc>
      </w:tr>
      <w:tr w:rsidR="00356CBA" w:rsidRPr="003B132A" w14:paraId="3358847F"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347E111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226</w:t>
            </w:r>
          </w:p>
        </w:tc>
        <w:tc>
          <w:tcPr>
            <w:tcW w:w="1767" w:type="dxa"/>
            <w:tcBorders>
              <w:top w:val="nil"/>
              <w:left w:val="nil"/>
              <w:bottom w:val="single" w:sz="4" w:space="0" w:color="auto"/>
              <w:right w:val="single" w:sz="4" w:space="0" w:color="auto"/>
            </w:tcBorders>
            <w:shd w:val="clear" w:color="auto" w:fill="C6EFCE"/>
            <w:noWrap/>
          </w:tcPr>
          <w:p w14:paraId="6361C61D"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16575 Õigusmõistmise kiirendamine</w:t>
            </w:r>
          </w:p>
        </w:tc>
        <w:tc>
          <w:tcPr>
            <w:tcW w:w="1424" w:type="dxa"/>
            <w:tcBorders>
              <w:top w:val="nil"/>
              <w:left w:val="nil"/>
              <w:bottom w:val="single" w:sz="4" w:space="0" w:color="auto"/>
              <w:right w:val="single" w:sz="4" w:space="0" w:color="auto"/>
            </w:tcBorders>
            <w:shd w:val="clear" w:color="auto" w:fill="C6EFCE"/>
            <w:noWrap/>
          </w:tcPr>
          <w:p w14:paraId="38FA39ED"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nil"/>
              <w:left w:val="nil"/>
              <w:bottom w:val="single" w:sz="4" w:space="0" w:color="auto"/>
              <w:right w:val="single" w:sz="4" w:space="0" w:color="auto"/>
            </w:tcBorders>
            <w:shd w:val="clear" w:color="auto" w:fill="C6EFCE"/>
            <w:noWrap/>
          </w:tcPr>
          <w:p w14:paraId="728D0872" w14:textId="77777777" w:rsidR="00356CBA" w:rsidRPr="00E02B5D" w:rsidRDefault="00356CBA">
            <w:pPr>
              <w:spacing w:after="0" w:line="240" w:lineRule="auto"/>
              <w:rPr>
                <w:rFonts w:eastAsia="Times New Roman"/>
                <w:noProof/>
                <w:color w:val="006100"/>
                <w:sz w:val="18"/>
                <w:szCs w:val="18"/>
              </w:rPr>
            </w:pPr>
            <w:r>
              <w:rPr>
                <w:noProof/>
                <w:color w:val="006100"/>
                <w:sz w:val="18"/>
              </w:rPr>
              <w:t>Kohtute kaart – esmased õigusaktid – haldusküsimused</w:t>
            </w:r>
          </w:p>
        </w:tc>
        <w:tc>
          <w:tcPr>
            <w:tcW w:w="2061" w:type="dxa"/>
            <w:tcBorders>
              <w:top w:val="nil"/>
              <w:left w:val="nil"/>
              <w:bottom w:val="single" w:sz="4" w:space="0" w:color="auto"/>
              <w:right w:val="single" w:sz="4" w:space="0" w:color="auto"/>
            </w:tcBorders>
            <w:shd w:val="clear" w:color="auto" w:fill="C6EFCE"/>
            <w:noWrap/>
          </w:tcPr>
          <w:p w14:paraId="2789E4F7" w14:textId="77777777" w:rsidR="00356CBA" w:rsidRPr="00E02B5D" w:rsidRDefault="00356CBA">
            <w:pPr>
              <w:spacing w:after="0" w:line="240" w:lineRule="auto"/>
              <w:rPr>
                <w:rFonts w:eastAsia="Times New Roman"/>
                <w:noProof/>
                <w:color w:val="006100"/>
                <w:sz w:val="18"/>
                <w:szCs w:val="18"/>
              </w:rPr>
            </w:pPr>
            <w:r>
              <w:rPr>
                <w:noProof/>
                <w:color w:val="006100"/>
                <w:sz w:val="18"/>
              </w:rPr>
              <w:t>Õigusaktide jõustumine</w:t>
            </w:r>
          </w:p>
        </w:tc>
        <w:tc>
          <w:tcPr>
            <w:tcW w:w="1221" w:type="dxa"/>
            <w:tcBorders>
              <w:top w:val="nil"/>
              <w:left w:val="nil"/>
              <w:bottom w:val="single" w:sz="4" w:space="0" w:color="auto"/>
              <w:right w:val="single" w:sz="4" w:space="0" w:color="auto"/>
            </w:tcBorders>
            <w:shd w:val="clear" w:color="auto" w:fill="C6EFCE"/>
            <w:noWrap/>
          </w:tcPr>
          <w:p w14:paraId="7021B2C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57D3FDA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7AB660E7"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41B08670"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56" w:type="dxa"/>
            <w:tcBorders>
              <w:top w:val="nil"/>
              <w:left w:val="nil"/>
              <w:bottom w:val="single" w:sz="4" w:space="0" w:color="auto"/>
              <w:right w:val="single" w:sz="4" w:space="0" w:color="auto"/>
            </w:tcBorders>
            <w:shd w:val="clear" w:color="auto" w:fill="C6EFCE"/>
            <w:noWrap/>
          </w:tcPr>
          <w:p w14:paraId="2C224EBB" w14:textId="77777777" w:rsidR="00356CBA" w:rsidRPr="00E02B5D" w:rsidRDefault="00356CBA">
            <w:pPr>
              <w:spacing w:after="0" w:line="240" w:lineRule="auto"/>
              <w:rPr>
                <w:rFonts w:eastAsia="Times New Roman"/>
                <w:noProof/>
                <w:color w:val="006100"/>
                <w:sz w:val="18"/>
                <w:szCs w:val="18"/>
              </w:rPr>
            </w:pPr>
            <w:r>
              <w:rPr>
                <w:noProof/>
                <w:color w:val="006100"/>
                <w:sz w:val="18"/>
              </w:rPr>
              <w:t>2022</w:t>
            </w:r>
          </w:p>
        </w:tc>
        <w:tc>
          <w:tcPr>
            <w:tcW w:w="3866" w:type="dxa"/>
            <w:tcBorders>
              <w:top w:val="nil"/>
              <w:left w:val="nil"/>
              <w:bottom w:val="single" w:sz="4" w:space="0" w:color="auto"/>
              <w:right w:val="single" w:sz="4" w:space="0" w:color="auto"/>
            </w:tcBorders>
            <w:shd w:val="clear" w:color="auto" w:fill="C6EFCE"/>
            <w:noWrap/>
          </w:tcPr>
          <w:p w14:paraId="3B331FD2" w14:textId="77777777" w:rsidR="00356CBA" w:rsidRPr="00E02B5D" w:rsidRDefault="00356CBA">
            <w:pPr>
              <w:spacing w:after="0" w:line="240" w:lineRule="auto"/>
              <w:rPr>
                <w:noProof/>
                <w:color w:val="006100"/>
                <w:sz w:val="18"/>
                <w:szCs w:val="18"/>
              </w:rPr>
            </w:pPr>
            <w:r>
              <w:rPr>
                <w:noProof/>
                <w:color w:val="006100"/>
                <w:sz w:val="18"/>
              </w:rPr>
              <w:t xml:space="preserve">Esmase õigusakti jõustumine, et vaadata läbi halduskohtumenetluse plaan. </w:t>
            </w:r>
          </w:p>
        </w:tc>
      </w:tr>
      <w:tr w:rsidR="00356CBA" w:rsidRPr="003B132A" w14:paraId="5B6E9EB5"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65DFC15E" w14:textId="77777777" w:rsidR="00356CBA" w:rsidRPr="00E02B5D" w:rsidRDefault="00356CBA">
            <w:pPr>
              <w:spacing w:after="0" w:line="240" w:lineRule="auto"/>
              <w:rPr>
                <w:rFonts w:eastAsia="Times New Roman"/>
                <w:noProof/>
                <w:color w:val="006100"/>
                <w:sz w:val="18"/>
                <w:szCs w:val="18"/>
              </w:rPr>
            </w:pPr>
            <w:r>
              <w:rPr>
                <w:noProof/>
                <w:color w:val="006100"/>
                <w:sz w:val="18"/>
              </w:rPr>
              <w:t>227</w:t>
            </w:r>
          </w:p>
        </w:tc>
        <w:tc>
          <w:tcPr>
            <w:tcW w:w="1767" w:type="dxa"/>
            <w:tcBorders>
              <w:top w:val="nil"/>
              <w:left w:val="nil"/>
              <w:bottom w:val="single" w:sz="4" w:space="0" w:color="auto"/>
              <w:right w:val="single" w:sz="4" w:space="0" w:color="auto"/>
            </w:tcBorders>
            <w:shd w:val="clear" w:color="auto" w:fill="C6EFCE"/>
            <w:noWrap/>
          </w:tcPr>
          <w:p w14:paraId="540A2D0E"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16292_Uued kohtuhooned</w:t>
            </w:r>
          </w:p>
        </w:tc>
        <w:tc>
          <w:tcPr>
            <w:tcW w:w="1424" w:type="dxa"/>
            <w:tcBorders>
              <w:top w:val="nil"/>
              <w:left w:val="nil"/>
              <w:bottom w:val="single" w:sz="4" w:space="0" w:color="auto"/>
              <w:right w:val="single" w:sz="4" w:space="0" w:color="auto"/>
            </w:tcBorders>
            <w:shd w:val="clear" w:color="auto" w:fill="C6EFCE"/>
            <w:noWrap/>
          </w:tcPr>
          <w:p w14:paraId="256F603C"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nil"/>
              <w:left w:val="nil"/>
              <w:bottom w:val="single" w:sz="4" w:space="0" w:color="auto"/>
              <w:right w:val="single" w:sz="4" w:space="0" w:color="auto"/>
            </w:tcBorders>
            <w:shd w:val="clear" w:color="auto" w:fill="C6EFCE"/>
            <w:noWrap/>
          </w:tcPr>
          <w:p w14:paraId="3CCB91B9" w14:textId="77777777" w:rsidR="00356CBA" w:rsidRPr="00E02B5D" w:rsidRDefault="00356CBA">
            <w:pPr>
              <w:spacing w:after="0" w:line="240" w:lineRule="auto"/>
              <w:rPr>
                <w:rFonts w:eastAsia="Times New Roman"/>
                <w:noProof/>
                <w:color w:val="006100"/>
                <w:sz w:val="18"/>
                <w:szCs w:val="18"/>
              </w:rPr>
            </w:pPr>
            <w:r>
              <w:rPr>
                <w:noProof/>
                <w:color w:val="006100"/>
                <w:sz w:val="18"/>
              </w:rPr>
              <w:t>Kohtuhoonete ehitamine ja renoveerimine – loetelu kohandamine – pakkumuste esitamine</w:t>
            </w:r>
          </w:p>
        </w:tc>
        <w:tc>
          <w:tcPr>
            <w:tcW w:w="2061" w:type="dxa"/>
            <w:tcBorders>
              <w:top w:val="nil"/>
              <w:left w:val="nil"/>
              <w:bottom w:val="single" w:sz="4" w:space="0" w:color="auto"/>
              <w:right w:val="single" w:sz="4" w:space="0" w:color="auto"/>
            </w:tcBorders>
            <w:shd w:val="clear" w:color="auto" w:fill="C6EFCE"/>
            <w:noWrap/>
          </w:tcPr>
          <w:p w14:paraId="68A23B53" w14:textId="77777777" w:rsidR="00356CBA" w:rsidRPr="00E02B5D" w:rsidRDefault="00356CBA">
            <w:pPr>
              <w:spacing w:after="0" w:line="240" w:lineRule="auto"/>
              <w:rPr>
                <w:rFonts w:eastAsia="Times New Roman"/>
                <w:noProof/>
                <w:color w:val="006100"/>
                <w:sz w:val="18"/>
                <w:szCs w:val="18"/>
              </w:rPr>
            </w:pPr>
            <w:r>
              <w:rPr>
                <w:noProof/>
                <w:color w:val="006100"/>
                <w:sz w:val="18"/>
              </w:rPr>
              <w:t>Loetelu renoveerimisprojektidest kooskõlas kohtukaardi läbivaatamist käsitleva asjakohase seadusega vastavalt eesmärgile 14 4. 2022 3. ja 4. kvartal; pakkumiste algatamine</w:t>
            </w:r>
          </w:p>
        </w:tc>
        <w:tc>
          <w:tcPr>
            <w:tcW w:w="1221" w:type="dxa"/>
            <w:tcBorders>
              <w:top w:val="nil"/>
              <w:left w:val="nil"/>
              <w:bottom w:val="single" w:sz="4" w:space="0" w:color="auto"/>
              <w:right w:val="single" w:sz="4" w:space="0" w:color="auto"/>
            </w:tcBorders>
            <w:shd w:val="clear" w:color="auto" w:fill="C6EFCE"/>
            <w:noWrap/>
          </w:tcPr>
          <w:p w14:paraId="32CAC62E" w14:textId="77777777" w:rsidR="00356CBA" w:rsidRPr="00E02B5D" w:rsidRDefault="00356CBA">
            <w:pPr>
              <w:spacing w:after="0" w:line="240" w:lineRule="auto"/>
              <w:rPr>
                <w:rFonts w:eastAsia="Times New Roman"/>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2821A330" w14:textId="77777777" w:rsidR="00356CBA" w:rsidRPr="00E02B5D" w:rsidRDefault="00356CBA">
            <w:pPr>
              <w:spacing w:after="0" w:line="240" w:lineRule="auto"/>
              <w:rPr>
                <w:rFonts w:eastAsia="Times New Roman"/>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2D7E1F10" w14:textId="77777777" w:rsidR="00356CBA" w:rsidRPr="00E02B5D" w:rsidRDefault="00356CBA">
            <w:pPr>
              <w:spacing w:after="0" w:line="240" w:lineRule="auto"/>
              <w:rPr>
                <w:rFonts w:eastAsia="Times New Roman"/>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5A7A6C3F"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56" w:type="dxa"/>
            <w:tcBorders>
              <w:top w:val="nil"/>
              <w:left w:val="nil"/>
              <w:bottom w:val="single" w:sz="4" w:space="0" w:color="auto"/>
              <w:right w:val="single" w:sz="4" w:space="0" w:color="auto"/>
            </w:tcBorders>
            <w:shd w:val="clear" w:color="auto" w:fill="C6EFCE"/>
            <w:noWrap/>
          </w:tcPr>
          <w:p w14:paraId="25979903" w14:textId="77777777" w:rsidR="00356CBA" w:rsidRPr="00E02B5D" w:rsidRDefault="00356CBA">
            <w:pPr>
              <w:spacing w:after="0" w:line="240" w:lineRule="auto"/>
              <w:rPr>
                <w:rFonts w:eastAsia="Times New Roman"/>
                <w:noProof/>
                <w:color w:val="006100"/>
                <w:sz w:val="18"/>
                <w:szCs w:val="18"/>
              </w:rPr>
            </w:pPr>
            <w:r>
              <w:rPr>
                <w:noProof/>
                <w:color w:val="006100"/>
                <w:sz w:val="18"/>
              </w:rPr>
              <w:t>2022</w:t>
            </w:r>
          </w:p>
        </w:tc>
        <w:tc>
          <w:tcPr>
            <w:tcW w:w="3866" w:type="dxa"/>
            <w:tcBorders>
              <w:top w:val="nil"/>
              <w:left w:val="nil"/>
              <w:bottom w:val="single" w:sz="4" w:space="0" w:color="auto"/>
              <w:right w:val="single" w:sz="4" w:space="0" w:color="auto"/>
            </w:tcBorders>
            <w:shd w:val="clear" w:color="auto" w:fill="C6EFCE"/>
            <w:noWrap/>
          </w:tcPr>
          <w:p w14:paraId="43D5BFB0" w14:textId="77777777" w:rsidR="00356CBA" w:rsidRPr="00E02B5D" w:rsidRDefault="00356CBA">
            <w:pPr>
              <w:spacing w:after="0" w:line="240" w:lineRule="auto"/>
              <w:rPr>
                <w:noProof/>
                <w:color w:val="006100"/>
                <w:sz w:val="18"/>
                <w:szCs w:val="18"/>
              </w:rPr>
            </w:pPr>
            <w:r>
              <w:rPr>
                <w:noProof/>
                <w:color w:val="006100"/>
                <w:sz w:val="18"/>
              </w:rPr>
              <w:t>Projektide loetelu kohandamine kooskõlas seadusega vastu võetud kohtute nimekirja läbivaatamisega.</w:t>
            </w:r>
          </w:p>
          <w:p w14:paraId="7A27943B" w14:textId="77777777" w:rsidR="00356CBA" w:rsidRPr="00E02B5D" w:rsidRDefault="00356CBA">
            <w:pPr>
              <w:spacing w:after="0" w:line="240" w:lineRule="auto"/>
              <w:rPr>
                <w:rFonts w:eastAsia="Times New Roman"/>
                <w:noProof/>
                <w:color w:val="006100"/>
                <w:sz w:val="18"/>
                <w:szCs w:val="18"/>
              </w:rPr>
            </w:pPr>
            <w:r>
              <w:rPr>
                <w:noProof/>
                <w:color w:val="006100"/>
                <w:sz w:val="18"/>
              </w:rPr>
              <w:t>Hankemenetluste algatamine seoses halduskohtutega. Hankedokumentides sätestatakse, et uued hooned peavad saavutama primaarenergia nõudluse, mis on vähemalt 20 % madalam liginullenergiahoone nõudest (liginullenergiahoone, riiklikud direktiivid).</w:t>
            </w:r>
          </w:p>
        </w:tc>
      </w:tr>
      <w:tr w:rsidR="00356CBA" w:rsidRPr="003B132A" w14:paraId="67F3ECDF"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3DCB6896" w14:textId="77777777" w:rsidR="00356CBA" w:rsidRPr="00E02B5D" w:rsidRDefault="00356CBA">
            <w:pPr>
              <w:spacing w:after="0" w:line="240" w:lineRule="auto"/>
              <w:rPr>
                <w:rFonts w:eastAsia="Times New Roman"/>
                <w:noProof/>
                <w:color w:val="006100"/>
                <w:sz w:val="18"/>
                <w:szCs w:val="18"/>
              </w:rPr>
            </w:pPr>
            <w:r>
              <w:rPr>
                <w:noProof/>
                <w:color w:val="006100"/>
                <w:sz w:val="18"/>
              </w:rPr>
              <w:t>228</w:t>
            </w:r>
          </w:p>
        </w:tc>
        <w:tc>
          <w:tcPr>
            <w:tcW w:w="1767" w:type="dxa"/>
            <w:tcBorders>
              <w:top w:val="nil"/>
              <w:left w:val="nil"/>
              <w:bottom w:val="single" w:sz="4" w:space="0" w:color="auto"/>
              <w:right w:val="single" w:sz="4" w:space="0" w:color="auto"/>
            </w:tcBorders>
            <w:shd w:val="clear" w:color="auto" w:fill="C6EFCE"/>
            <w:noWrap/>
          </w:tcPr>
          <w:p w14:paraId="3F780C5F"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16733_Kutseoskused ja digioskused kohtunike ja kohtutöötajate jaoks (kohtutöötajad)</w:t>
            </w:r>
          </w:p>
        </w:tc>
        <w:tc>
          <w:tcPr>
            <w:tcW w:w="1424" w:type="dxa"/>
            <w:tcBorders>
              <w:top w:val="nil"/>
              <w:left w:val="nil"/>
              <w:bottom w:val="single" w:sz="4" w:space="0" w:color="auto"/>
              <w:right w:val="single" w:sz="4" w:space="0" w:color="auto"/>
            </w:tcBorders>
            <w:shd w:val="clear" w:color="auto" w:fill="C6EFCE"/>
            <w:noWrap/>
          </w:tcPr>
          <w:p w14:paraId="7B7F7618" w14:textId="77777777" w:rsidR="00356CBA" w:rsidRPr="00E02B5D" w:rsidRDefault="00356CBA">
            <w:pPr>
              <w:spacing w:after="0" w:line="240" w:lineRule="auto"/>
              <w:rPr>
                <w:rFonts w:eastAsia="Times New Roman"/>
                <w:noProof/>
                <w:color w:val="006100"/>
                <w:sz w:val="18"/>
                <w:szCs w:val="18"/>
              </w:rPr>
            </w:pPr>
            <w:r>
              <w:rPr>
                <w:noProof/>
                <w:color w:val="006100"/>
                <w:sz w:val="18"/>
              </w:rPr>
              <w:t>Siht</w:t>
            </w:r>
          </w:p>
        </w:tc>
        <w:tc>
          <w:tcPr>
            <w:tcW w:w="1609" w:type="dxa"/>
            <w:tcBorders>
              <w:top w:val="nil"/>
              <w:left w:val="nil"/>
              <w:bottom w:val="single" w:sz="4" w:space="0" w:color="auto"/>
              <w:right w:val="single" w:sz="4" w:space="0" w:color="auto"/>
            </w:tcBorders>
            <w:shd w:val="clear" w:color="auto" w:fill="C6EFCE"/>
            <w:noWrap/>
          </w:tcPr>
          <w:p w14:paraId="63E271E6" w14:textId="77777777" w:rsidR="00356CBA" w:rsidRPr="00E02B5D" w:rsidRDefault="00356CBA">
            <w:pPr>
              <w:spacing w:after="0" w:line="240" w:lineRule="auto"/>
              <w:rPr>
                <w:rFonts w:eastAsia="Times New Roman"/>
                <w:noProof/>
                <w:color w:val="006100"/>
                <w:sz w:val="18"/>
                <w:szCs w:val="18"/>
              </w:rPr>
            </w:pPr>
            <w:r>
              <w:rPr>
                <w:noProof/>
                <w:color w:val="006100"/>
                <w:sz w:val="18"/>
              </w:rPr>
              <w:t>Koolitus – kohtunikud ja kantseleitöötajad</w:t>
            </w:r>
          </w:p>
        </w:tc>
        <w:tc>
          <w:tcPr>
            <w:tcW w:w="2061" w:type="dxa"/>
            <w:tcBorders>
              <w:top w:val="nil"/>
              <w:left w:val="nil"/>
              <w:bottom w:val="single" w:sz="4" w:space="0" w:color="auto"/>
              <w:right w:val="single" w:sz="4" w:space="0" w:color="auto"/>
            </w:tcBorders>
            <w:shd w:val="clear" w:color="auto" w:fill="C6EFCE"/>
            <w:noWrap/>
          </w:tcPr>
          <w:p w14:paraId="01387613" w14:textId="77777777" w:rsidR="00356CBA" w:rsidRPr="00E02B5D" w:rsidRDefault="00356CBA">
            <w:pPr>
              <w:spacing w:after="0" w:line="240" w:lineRule="auto"/>
              <w:rPr>
                <w:rFonts w:eastAsia="Times New Roman"/>
                <w:noProof/>
                <w:color w:val="006100"/>
                <w:sz w:val="18"/>
                <w:szCs w:val="18"/>
                <w:lang w:val="en-GB" w:eastAsia="en-GB"/>
              </w:rPr>
            </w:pPr>
          </w:p>
        </w:tc>
        <w:tc>
          <w:tcPr>
            <w:tcW w:w="1221" w:type="dxa"/>
            <w:tcBorders>
              <w:top w:val="nil"/>
              <w:left w:val="nil"/>
              <w:bottom w:val="single" w:sz="4" w:space="0" w:color="auto"/>
              <w:right w:val="single" w:sz="4" w:space="0" w:color="auto"/>
            </w:tcBorders>
            <w:shd w:val="clear" w:color="auto" w:fill="C6EFCE"/>
            <w:noWrap/>
          </w:tcPr>
          <w:p w14:paraId="6E16717E" w14:textId="77777777" w:rsidR="00356CBA" w:rsidRPr="00E02B5D" w:rsidRDefault="00356CBA">
            <w:pPr>
              <w:spacing w:after="0" w:line="240" w:lineRule="auto"/>
              <w:rPr>
                <w:rFonts w:eastAsia="Times New Roman"/>
                <w:noProof/>
                <w:color w:val="006100"/>
                <w:sz w:val="18"/>
                <w:szCs w:val="18"/>
              </w:rPr>
            </w:pPr>
            <w:r>
              <w:rPr>
                <w:noProof/>
                <w:color w:val="006100"/>
                <w:sz w:val="18"/>
              </w:rPr>
              <w:t>Riiklikus kohtunike koolis registreeritud kohtunike arv</w:t>
            </w:r>
          </w:p>
        </w:tc>
        <w:tc>
          <w:tcPr>
            <w:tcW w:w="966" w:type="dxa"/>
            <w:tcBorders>
              <w:top w:val="nil"/>
              <w:left w:val="nil"/>
              <w:bottom w:val="single" w:sz="4" w:space="0" w:color="auto"/>
              <w:right w:val="single" w:sz="4" w:space="0" w:color="auto"/>
            </w:tcBorders>
            <w:shd w:val="clear" w:color="auto" w:fill="C6EFCE"/>
            <w:noWrap/>
          </w:tcPr>
          <w:p w14:paraId="6E0CF09F" w14:textId="77777777" w:rsidR="00356CBA" w:rsidRPr="00E02B5D" w:rsidRDefault="00356CBA">
            <w:pPr>
              <w:spacing w:after="0" w:line="240" w:lineRule="auto"/>
              <w:rPr>
                <w:rFonts w:eastAsia="Times New Roman"/>
                <w:noProof/>
                <w:color w:val="006100"/>
                <w:sz w:val="18"/>
                <w:szCs w:val="18"/>
              </w:rPr>
            </w:pPr>
            <w:r>
              <w:rPr>
                <w:noProof/>
                <w:color w:val="006100"/>
                <w:sz w:val="18"/>
              </w:rPr>
              <w:t>10</w:t>
            </w:r>
          </w:p>
        </w:tc>
        <w:tc>
          <w:tcPr>
            <w:tcW w:w="906" w:type="dxa"/>
            <w:tcBorders>
              <w:top w:val="nil"/>
              <w:left w:val="nil"/>
              <w:bottom w:val="single" w:sz="4" w:space="0" w:color="auto"/>
              <w:right w:val="single" w:sz="4" w:space="0" w:color="auto"/>
            </w:tcBorders>
            <w:shd w:val="clear" w:color="auto" w:fill="C6EFCE"/>
            <w:noWrap/>
          </w:tcPr>
          <w:p w14:paraId="01780744" w14:textId="77777777" w:rsidR="00356CBA" w:rsidRPr="00E02B5D" w:rsidRDefault="00356CBA">
            <w:pPr>
              <w:spacing w:after="0" w:line="240" w:lineRule="auto"/>
              <w:rPr>
                <w:rFonts w:eastAsia="Times New Roman"/>
                <w:noProof/>
                <w:color w:val="006100"/>
                <w:sz w:val="18"/>
                <w:szCs w:val="18"/>
              </w:rPr>
            </w:pPr>
            <w:r>
              <w:rPr>
                <w:noProof/>
                <w:color w:val="006100"/>
                <w:sz w:val="18"/>
              </w:rPr>
              <w:t>25</w:t>
            </w:r>
          </w:p>
        </w:tc>
        <w:tc>
          <w:tcPr>
            <w:tcW w:w="846" w:type="dxa"/>
            <w:tcBorders>
              <w:top w:val="nil"/>
              <w:left w:val="nil"/>
              <w:bottom w:val="single" w:sz="4" w:space="0" w:color="auto"/>
              <w:right w:val="single" w:sz="4" w:space="0" w:color="auto"/>
            </w:tcBorders>
            <w:shd w:val="clear" w:color="auto" w:fill="C6EFCE"/>
            <w:noWrap/>
          </w:tcPr>
          <w:p w14:paraId="74BB66C9" w14:textId="77777777" w:rsidR="00356CBA" w:rsidRPr="00E02B5D" w:rsidRDefault="00356CBA">
            <w:pPr>
              <w:spacing w:after="0" w:line="240" w:lineRule="auto"/>
              <w:rPr>
                <w:rFonts w:eastAsia="Times New Roman"/>
                <w:noProof/>
                <w:color w:val="006100"/>
                <w:sz w:val="18"/>
                <w:szCs w:val="18"/>
              </w:rPr>
            </w:pPr>
            <w:r>
              <w:rPr>
                <w:noProof/>
                <w:color w:val="006100"/>
                <w:sz w:val="18"/>
              </w:rPr>
              <w:t>1. kv</w:t>
            </w:r>
          </w:p>
        </w:tc>
        <w:tc>
          <w:tcPr>
            <w:tcW w:w="656" w:type="dxa"/>
            <w:tcBorders>
              <w:top w:val="nil"/>
              <w:left w:val="nil"/>
              <w:bottom w:val="single" w:sz="4" w:space="0" w:color="auto"/>
              <w:right w:val="single" w:sz="4" w:space="0" w:color="auto"/>
            </w:tcBorders>
            <w:shd w:val="clear" w:color="auto" w:fill="C6EFCE"/>
            <w:noWrap/>
          </w:tcPr>
          <w:p w14:paraId="546317DE" w14:textId="77777777" w:rsidR="00356CBA" w:rsidRPr="00E02B5D" w:rsidRDefault="00356CBA">
            <w:pPr>
              <w:spacing w:after="0" w:line="240" w:lineRule="auto"/>
              <w:rPr>
                <w:rFonts w:eastAsia="Times New Roman"/>
                <w:noProof/>
                <w:color w:val="006100"/>
                <w:sz w:val="18"/>
                <w:szCs w:val="18"/>
              </w:rPr>
            </w:pPr>
            <w:r>
              <w:rPr>
                <w:noProof/>
                <w:color w:val="006100"/>
                <w:sz w:val="18"/>
              </w:rPr>
              <w:t>2023</w:t>
            </w:r>
          </w:p>
        </w:tc>
        <w:tc>
          <w:tcPr>
            <w:tcW w:w="3866" w:type="dxa"/>
            <w:tcBorders>
              <w:top w:val="nil"/>
              <w:left w:val="nil"/>
              <w:bottom w:val="single" w:sz="4" w:space="0" w:color="auto"/>
              <w:right w:val="single" w:sz="4" w:space="0" w:color="auto"/>
            </w:tcBorders>
            <w:shd w:val="clear" w:color="auto" w:fill="C6EFCE"/>
            <w:noWrap/>
          </w:tcPr>
          <w:p w14:paraId="789785C6" w14:textId="77777777" w:rsidR="00356CBA" w:rsidRPr="00E02B5D" w:rsidRDefault="00356CBA">
            <w:pPr>
              <w:spacing w:after="0" w:line="240" w:lineRule="auto"/>
              <w:rPr>
                <w:rFonts w:eastAsia="Times New Roman"/>
                <w:noProof/>
                <w:color w:val="006100"/>
                <w:sz w:val="18"/>
                <w:szCs w:val="18"/>
              </w:rPr>
            </w:pPr>
            <w:r>
              <w:rPr>
                <w:noProof/>
                <w:color w:val="006100"/>
                <w:sz w:val="18"/>
              </w:rPr>
              <w:t>14 täiendavat kohtunikku, kes on registreeritud riiklikus kohtunike koolis, 1 auditikohtu kohtunik, kes on registreeritud riiklikus kohtunike koolis. See tähendab, et koolitusel osalevate kohtunike koguarv on 25.</w:t>
            </w:r>
          </w:p>
        </w:tc>
      </w:tr>
      <w:tr w:rsidR="00356CBA" w:rsidRPr="003B132A" w14:paraId="1E9EA164"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13D30F3D" w14:textId="77777777" w:rsidR="00356CBA" w:rsidRPr="00E02B5D" w:rsidRDefault="00356CBA">
            <w:pPr>
              <w:spacing w:after="0" w:line="240" w:lineRule="auto"/>
              <w:rPr>
                <w:rFonts w:eastAsia="Times New Roman"/>
                <w:noProof/>
                <w:color w:val="006100"/>
                <w:sz w:val="18"/>
                <w:szCs w:val="18"/>
              </w:rPr>
            </w:pPr>
            <w:r>
              <w:rPr>
                <w:noProof/>
                <w:color w:val="006100"/>
                <w:sz w:val="18"/>
              </w:rPr>
              <w:t>229</w:t>
            </w:r>
          </w:p>
        </w:tc>
        <w:tc>
          <w:tcPr>
            <w:tcW w:w="1767" w:type="dxa"/>
            <w:tcBorders>
              <w:top w:val="nil"/>
              <w:left w:val="nil"/>
              <w:bottom w:val="single" w:sz="4" w:space="0" w:color="auto"/>
              <w:right w:val="single" w:sz="4" w:space="0" w:color="auto"/>
            </w:tcBorders>
            <w:shd w:val="clear" w:color="auto" w:fill="C6EFCE"/>
            <w:noWrap/>
          </w:tcPr>
          <w:p w14:paraId="22FC640A"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 14-4.3. Kohtusüsteemi tõhususe parandamine – </w:t>
            </w:r>
          </w:p>
          <w:p w14:paraId="4796950C" w14:textId="77777777" w:rsidR="00356CBA" w:rsidRPr="00E02B5D" w:rsidRDefault="00356CBA">
            <w:pPr>
              <w:spacing w:after="0" w:line="240" w:lineRule="auto"/>
              <w:rPr>
                <w:rFonts w:eastAsia="Times New Roman"/>
                <w:noProof/>
                <w:color w:val="006100"/>
                <w:sz w:val="18"/>
                <w:szCs w:val="18"/>
              </w:rPr>
            </w:pPr>
            <w:r>
              <w:rPr>
                <w:noProof/>
                <w:color w:val="006100"/>
                <w:sz w:val="18"/>
              </w:rPr>
              <w:t>16727 õiguse digitaalne ümberkujundamine (e-õiguskeskkond)</w:t>
            </w:r>
          </w:p>
        </w:tc>
        <w:tc>
          <w:tcPr>
            <w:tcW w:w="1424" w:type="dxa"/>
            <w:tcBorders>
              <w:top w:val="nil"/>
              <w:left w:val="nil"/>
              <w:bottom w:val="single" w:sz="4" w:space="0" w:color="auto"/>
              <w:right w:val="single" w:sz="4" w:space="0" w:color="auto"/>
            </w:tcBorders>
            <w:shd w:val="clear" w:color="auto" w:fill="C6EFCE"/>
            <w:noWrap/>
          </w:tcPr>
          <w:p w14:paraId="76E0B6C9"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nil"/>
              <w:left w:val="nil"/>
              <w:bottom w:val="single" w:sz="4" w:space="0" w:color="auto"/>
              <w:right w:val="single" w:sz="4" w:space="0" w:color="auto"/>
            </w:tcBorders>
            <w:shd w:val="clear" w:color="auto" w:fill="C6EFCE"/>
            <w:noWrap/>
          </w:tcPr>
          <w:p w14:paraId="25D13D86" w14:textId="77777777" w:rsidR="00356CBA" w:rsidRPr="00E02B5D" w:rsidRDefault="00356CBA">
            <w:pPr>
              <w:spacing w:after="0" w:line="240" w:lineRule="auto"/>
              <w:rPr>
                <w:rFonts w:eastAsia="Times New Roman"/>
                <w:noProof/>
                <w:color w:val="006100"/>
                <w:sz w:val="18"/>
                <w:szCs w:val="18"/>
              </w:rPr>
            </w:pPr>
            <w:r>
              <w:rPr>
                <w:noProof/>
                <w:color w:val="006100"/>
                <w:sz w:val="18"/>
              </w:rPr>
              <w:t>Registrisüsteemide ja IT-õigussüsteemide ajakohastamine</w:t>
            </w:r>
          </w:p>
        </w:tc>
        <w:tc>
          <w:tcPr>
            <w:tcW w:w="2061" w:type="dxa"/>
            <w:tcBorders>
              <w:top w:val="nil"/>
              <w:left w:val="nil"/>
              <w:bottom w:val="single" w:sz="4" w:space="0" w:color="auto"/>
              <w:right w:val="single" w:sz="4" w:space="0" w:color="auto"/>
            </w:tcBorders>
            <w:shd w:val="clear" w:color="auto" w:fill="C6EFCE"/>
            <w:noWrap/>
          </w:tcPr>
          <w:p w14:paraId="673204EF"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Projektiauditi aruanded, et kinnitada lepinguliste kohustuste täitmist </w:t>
            </w:r>
          </w:p>
        </w:tc>
        <w:tc>
          <w:tcPr>
            <w:tcW w:w="1221" w:type="dxa"/>
            <w:tcBorders>
              <w:top w:val="nil"/>
              <w:left w:val="nil"/>
              <w:bottom w:val="single" w:sz="4" w:space="0" w:color="auto"/>
              <w:right w:val="single" w:sz="4" w:space="0" w:color="auto"/>
            </w:tcBorders>
            <w:shd w:val="clear" w:color="auto" w:fill="C6EFCE"/>
            <w:noWrap/>
          </w:tcPr>
          <w:p w14:paraId="04F43B11" w14:textId="77777777" w:rsidR="00356CBA" w:rsidRPr="00AD4052" w:rsidRDefault="00356CBA">
            <w:pPr>
              <w:spacing w:after="0" w:line="240" w:lineRule="auto"/>
              <w:rPr>
                <w:rFonts w:eastAsia="Times New Roman"/>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288AA06B" w14:textId="77777777" w:rsidR="00356CBA" w:rsidRPr="00AD4052" w:rsidRDefault="00356CBA">
            <w:pPr>
              <w:spacing w:after="0" w:line="240" w:lineRule="auto"/>
              <w:rPr>
                <w:rFonts w:eastAsia="Times New Roman"/>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6938E6E9" w14:textId="77777777" w:rsidR="00356CBA" w:rsidRPr="00AD4052" w:rsidRDefault="00356CBA">
            <w:pPr>
              <w:spacing w:after="0" w:line="240" w:lineRule="auto"/>
              <w:rPr>
                <w:rFonts w:eastAsia="Times New Roman"/>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14:paraId="46FF61C5" w14:textId="77777777" w:rsidR="00356CBA" w:rsidRPr="00E02B5D" w:rsidRDefault="00356CBA">
            <w:pPr>
              <w:spacing w:after="0" w:line="240" w:lineRule="auto"/>
              <w:rPr>
                <w:rFonts w:eastAsia="Times New Roman"/>
                <w:noProof/>
                <w:color w:val="006100"/>
                <w:sz w:val="18"/>
                <w:szCs w:val="18"/>
              </w:rPr>
            </w:pPr>
            <w:r>
              <w:rPr>
                <w:noProof/>
                <w:color w:val="006100"/>
                <w:sz w:val="18"/>
              </w:rPr>
              <w:t>2. kv</w:t>
            </w:r>
          </w:p>
        </w:tc>
        <w:tc>
          <w:tcPr>
            <w:tcW w:w="656" w:type="dxa"/>
            <w:tcBorders>
              <w:top w:val="nil"/>
              <w:left w:val="nil"/>
              <w:bottom w:val="single" w:sz="4" w:space="0" w:color="auto"/>
              <w:right w:val="single" w:sz="4" w:space="0" w:color="auto"/>
            </w:tcBorders>
            <w:shd w:val="clear" w:color="auto" w:fill="C6EFCE"/>
            <w:noWrap/>
          </w:tcPr>
          <w:p w14:paraId="4E569656" w14:textId="77777777" w:rsidR="00356CBA" w:rsidRPr="00E02B5D" w:rsidRDefault="00356CBA">
            <w:pPr>
              <w:spacing w:after="0" w:line="240" w:lineRule="auto"/>
              <w:rPr>
                <w:rFonts w:eastAsia="Times New Roman"/>
                <w:noProof/>
                <w:color w:val="006100"/>
                <w:sz w:val="18"/>
                <w:szCs w:val="18"/>
              </w:rPr>
            </w:pPr>
            <w:r>
              <w:rPr>
                <w:noProof/>
                <w:color w:val="006100"/>
                <w:sz w:val="18"/>
              </w:rPr>
              <w:t>2023</w:t>
            </w:r>
          </w:p>
        </w:tc>
        <w:tc>
          <w:tcPr>
            <w:tcW w:w="3866" w:type="dxa"/>
            <w:tcBorders>
              <w:top w:val="nil"/>
              <w:left w:val="nil"/>
              <w:bottom w:val="single" w:sz="4" w:space="0" w:color="auto"/>
              <w:right w:val="single" w:sz="4" w:space="0" w:color="auto"/>
            </w:tcBorders>
            <w:shd w:val="clear" w:color="auto" w:fill="C6EFCE"/>
            <w:noWrap/>
          </w:tcPr>
          <w:p w14:paraId="6AD23DED" w14:textId="77777777" w:rsidR="00356CBA" w:rsidRPr="00E02B5D" w:rsidRDefault="00356CBA" w:rsidP="0070159A">
            <w:pPr>
              <w:spacing w:after="0" w:line="240" w:lineRule="auto"/>
              <w:rPr>
                <w:rFonts w:eastAsia="Times New Roman"/>
                <w:noProof/>
                <w:color w:val="006100"/>
                <w:sz w:val="18"/>
                <w:szCs w:val="18"/>
              </w:rPr>
            </w:pPr>
            <w:r>
              <w:rPr>
                <w:noProof/>
                <w:color w:val="006100"/>
                <w:sz w:val="18"/>
              </w:rPr>
              <w:t>Asjakohaste vahenditega (nt projektiauditi aruanded, kvalitatiivse ja kvantitatiivse aktsepteerimise protokollid ja väljastatud arved) kõigi selliste lepinguliste kohustuste nõuetekohase ja õigeaegse täitmise kohta, mis tuleb esitada välisaudiitorile kooskõlas projektikalendritega ja mis hõlmavad kõiki kahe allprojekti elemente (kohturegistrisüsteemid ja IT-õigussüsteemide ajakohastamine (OSDDY-PP, kontrollikoda, riiklik karistusregister)) asjakohaste vahenditega (nt projektiauditi aruanded, kvalitatiivse/kvantitatiivse üleandmise tõendid ja väljamaksetõendid).</w:t>
            </w:r>
          </w:p>
        </w:tc>
      </w:tr>
      <w:tr w:rsidR="00356CBA" w:rsidRPr="003B132A" w14:paraId="5C09B514"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hideMark/>
          </w:tcPr>
          <w:p w14:paraId="46A22935" w14:textId="77777777" w:rsidR="00356CBA" w:rsidRPr="00E02B5D" w:rsidRDefault="00356CBA">
            <w:pPr>
              <w:spacing w:after="0" w:line="240" w:lineRule="auto"/>
              <w:rPr>
                <w:rFonts w:eastAsia="Times New Roman"/>
                <w:noProof/>
                <w:color w:val="006100"/>
                <w:sz w:val="18"/>
                <w:szCs w:val="18"/>
              </w:rPr>
            </w:pPr>
            <w:r>
              <w:rPr>
                <w:noProof/>
                <w:color w:val="006100"/>
                <w:sz w:val="18"/>
              </w:rPr>
              <w:t>230</w:t>
            </w:r>
          </w:p>
        </w:tc>
        <w:tc>
          <w:tcPr>
            <w:tcW w:w="1767" w:type="dxa"/>
            <w:tcBorders>
              <w:top w:val="nil"/>
              <w:left w:val="nil"/>
              <w:bottom w:val="single" w:sz="4" w:space="0" w:color="auto"/>
              <w:right w:val="single" w:sz="4" w:space="0" w:color="auto"/>
            </w:tcBorders>
            <w:shd w:val="clear" w:color="auto" w:fill="C6EFCE"/>
            <w:noWrap/>
            <w:hideMark/>
          </w:tcPr>
          <w:p w14:paraId="5613B2B7"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 14-4.3. Kohtusüsteemi tõhususe parandamine – </w:t>
            </w:r>
          </w:p>
          <w:p w14:paraId="4CBBF5DD" w14:textId="77777777" w:rsidR="00356CBA" w:rsidRPr="00E02B5D" w:rsidRDefault="00356CBA">
            <w:pPr>
              <w:spacing w:after="0" w:line="240" w:lineRule="auto"/>
              <w:rPr>
                <w:rFonts w:eastAsia="Times New Roman"/>
                <w:noProof/>
                <w:color w:val="006100"/>
                <w:sz w:val="18"/>
                <w:szCs w:val="18"/>
              </w:rPr>
            </w:pPr>
            <w:r>
              <w:rPr>
                <w:noProof/>
                <w:color w:val="006100"/>
                <w:sz w:val="18"/>
              </w:rPr>
              <w:t>16575 õigusemõistmise kiirendamine</w:t>
            </w:r>
          </w:p>
        </w:tc>
        <w:tc>
          <w:tcPr>
            <w:tcW w:w="1424" w:type="dxa"/>
            <w:tcBorders>
              <w:top w:val="nil"/>
              <w:left w:val="nil"/>
              <w:bottom w:val="single" w:sz="4" w:space="0" w:color="auto"/>
              <w:right w:val="single" w:sz="4" w:space="0" w:color="auto"/>
            </w:tcBorders>
            <w:shd w:val="clear" w:color="auto" w:fill="C6EFCE"/>
            <w:noWrap/>
            <w:hideMark/>
          </w:tcPr>
          <w:p w14:paraId="61D401E4" w14:textId="77777777" w:rsidR="00356CBA" w:rsidRPr="00E02B5D" w:rsidRDefault="00356CBA">
            <w:pPr>
              <w:spacing w:after="0" w:line="240" w:lineRule="auto"/>
              <w:rPr>
                <w:rFonts w:eastAsia="Times New Roman"/>
                <w:noProof/>
                <w:color w:val="006100"/>
                <w:sz w:val="18"/>
                <w:szCs w:val="18"/>
              </w:rPr>
            </w:pPr>
            <w:r>
              <w:rPr>
                <w:noProof/>
                <w:color w:val="006100"/>
                <w:sz w:val="18"/>
              </w:rPr>
              <w:t> Eesmärk</w:t>
            </w:r>
          </w:p>
        </w:tc>
        <w:tc>
          <w:tcPr>
            <w:tcW w:w="1609" w:type="dxa"/>
            <w:tcBorders>
              <w:top w:val="nil"/>
              <w:left w:val="nil"/>
              <w:bottom w:val="single" w:sz="4" w:space="0" w:color="auto"/>
              <w:right w:val="single" w:sz="4" w:space="0" w:color="auto"/>
            </w:tcBorders>
            <w:shd w:val="clear" w:color="auto" w:fill="C6EFCE"/>
            <w:noWrap/>
            <w:hideMark/>
          </w:tcPr>
          <w:p w14:paraId="1D59632B" w14:textId="77777777" w:rsidR="00356CBA" w:rsidRPr="00E02B5D" w:rsidRDefault="00356CBA">
            <w:pPr>
              <w:spacing w:after="0" w:line="240" w:lineRule="auto"/>
              <w:rPr>
                <w:rFonts w:eastAsia="Times New Roman"/>
                <w:noProof/>
                <w:color w:val="006100"/>
                <w:sz w:val="18"/>
                <w:szCs w:val="18"/>
              </w:rPr>
            </w:pPr>
            <w:r>
              <w:rPr>
                <w:noProof/>
                <w:color w:val="006100"/>
                <w:sz w:val="18"/>
              </w:rPr>
              <w:t>Jõustumine – kohtuametnike tulemusvahend</w:t>
            </w:r>
          </w:p>
        </w:tc>
        <w:tc>
          <w:tcPr>
            <w:tcW w:w="2061" w:type="dxa"/>
            <w:tcBorders>
              <w:top w:val="nil"/>
              <w:left w:val="nil"/>
              <w:bottom w:val="single" w:sz="4" w:space="0" w:color="auto"/>
              <w:right w:val="single" w:sz="4" w:space="0" w:color="auto"/>
            </w:tcBorders>
            <w:shd w:val="clear" w:color="auto" w:fill="C6EFCE"/>
            <w:noWrap/>
            <w:hideMark/>
          </w:tcPr>
          <w:p w14:paraId="093E2C36" w14:textId="77777777" w:rsidR="00356CBA" w:rsidRPr="00E02B5D" w:rsidRDefault="00356CBA">
            <w:pPr>
              <w:spacing w:after="0" w:line="240" w:lineRule="auto"/>
              <w:rPr>
                <w:rFonts w:eastAsia="Times New Roman"/>
                <w:noProof/>
                <w:color w:val="006100"/>
                <w:sz w:val="18"/>
                <w:szCs w:val="18"/>
              </w:rPr>
            </w:pPr>
            <w:r>
              <w:rPr>
                <w:noProof/>
                <w:color w:val="006100"/>
                <w:sz w:val="18"/>
              </w:rPr>
              <w:t>Esmaste ja teiseste õigusaktide jõustumine</w:t>
            </w:r>
          </w:p>
        </w:tc>
        <w:tc>
          <w:tcPr>
            <w:tcW w:w="1221" w:type="dxa"/>
            <w:tcBorders>
              <w:top w:val="nil"/>
              <w:left w:val="nil"/>
              <w:bottom w:val="single" w:sz="4" w:space="0" w:color="auto"/>
              <w:right w:val="single" w:sz="4" w:space="0" w:color="auto"/>
            </w:tcBorders>
            <w:shd w:val="clear" w:color="auto" w:fill="C6EFCE"/>
            <w:noWrap/>
            <w:hideMark/>
          </w:tcPr>
          <w:p w14:paraId="3132C0F3"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 </w:t>
            </w:r>
          </w:p>
        </w:tc>
        <w:tc>
          <w:tcPr>
            <w:tcW w:w="966" w:type="dxa"/>
            <w:tcBorders>
              <w:top w:val="nil"/>
              <w:left w:val="nil"/>
              <w:bottom w:val="single" w:sz="4" w:space="0" w:color="auto"/>
              <w:right w:val="single" w:sz="4" w:space="0" w:color="auto"/>
            </w:tcBorders>
            <w:shd w:val="clear" w:color="auto" w:fill="C6EFCE"/>
            <w:noWrap/>
            <w:hideMark/>
          </w:tcPr>
          <w:p w14:paraId="03210000"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 </w:t>
            </w:r>
          </w:p>
        </w:tc>
        <w:tc>
          <w:tcPr>
            <w:tcW w:w="906" w:type="dxa"/>
            <w:tcBorders>
              <w:top w:val="nil"/>
              <w:left w:val="nil"/>
              <w:bottom w:val="single" w:sz="4" w:space="0" w:color="auto"/>
              <w:right w:val="single" w:sz="4" w:space="0" w:color="auto"/>
            </w:tcBorders>
            <w:shd w:val="clear" w:color="auto" w:fill="C6EFCE"/>
            <w:noWrap/>
            <w:hideMark/>
          </w:tcPr>
          <w:p w14:paraId="2409ABAF"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 </w:t>
            </w:r>
          </w:p>
        </w:tc>
        <w:tc>
          <w:tcPr>
            <w:tcW w:w="846" w:type="dxa"/>
            <w:tcBorders>
              <w:top w:val="nil"/>
              <w:left w:val="nil"/>
              <w:bottom w:val="single" w:sz="4" w:space="0" w:color="auto"/>
              <w:right w:val="single" w:sz="4" w:space="0" w:color="auto"/>
            </w:tcBorders>
            <w:shd w:val="clear" w:color="auto" w:fill="C6EFCE"/>
            <w:noWrap/>
            <w:hideMark/>
          </w:tcPr>
          <w:p w14:paraId="220C2E72" w14:textId="77777777" w:rsidR="00356CBA" w:rsidRPr="00E02B5D" w:rsidRDefault="00356CBA">
            <w:pPr>
              <w:spacing w:after="0" w:line="240" w:lineRule="auto"/>
              <w:rPr>
                <w:rFonts w:eastAsia="Times New Roman"/>
                <w:noProof/>
                <w:color w:val="006100"/>
                <w:sz w:val="18"/>
                <w:szCs w:val="18"/>
              </w:rPr>
            </w:pPr>
            <w:r>
              <w:rPr>
                <w:noProof/>
                <w:color w:val="006100"/>
                <w:sz w:val="18"/>
              </w:rPr>
              <w:t>2. kv</w:t>
            </w:r>
          </w:p>
          <w:p w14:paraId="485E9C09" w14:textId="77777777" w:rsidR="00356CBA" w:rsidRPr="00E02B5D" w:rsidRDefault="00356CBA">
            <w:pPr>
              <w:spacing w:after="0" w:line="240" w:lineRule="auto"/>
              <w:rPr>
                <w:rFonts w:eastAsia="Times New Roman"/>
                <w:noProof/>
                <w:color w:val="006100"/>
                <w:sz w:val="18"/>
                <w:szCs w:val="18"/>
                <w:lang w:val="en-GB" w:eastAsia="en-GB"/>
              </w:rPr>
            </w:pPr>
          </w:p>
        </w:tc>
        <w:tc>
          <w:tcPr>
            <w:tcW w:w="656" w:type="dxa"/>
            <w:tcBorders>
              <w:top w:val="nil"/>
              <w:left w:val="nil"/>
              <w:bottom w:val="single" w:sz="4" w:space="0" w:color="auto"/>
              <w:right w:val="single" w:sz="4" w:space="0" w:color="auto"/>
            </w:tcBorders>
            <w:shd w:val="clear" w:color="auto" w:fill="C6EFCE"/>
            <w:noWrap/>
            <w:hideMark/>
          </w:tcPr>
          <w:p w14:paraId="7094F031" w14:textId="77777777" w:rsidR="00356CBA" w:rsidRPr="00E02B5D" w:rsidRDefault="00356CBA" w:rsidP="00D16F13">
            <w:pPr>
              <w:spacing w:after="0" w:line="240" w:lineRule="auto"/>
              <w:rPr>
                <w:rFonts w:eastAsia="Times New Roman"/>
                <w:noProof/>
                <w:color w:val="006100"/>
                <w:sz w:val="18"/>
                <w:szCs w:val="18"/>
              </w:rPr>
            </w:pPr>
            <w:r>
              <w:rPr>
                <w:noProof/>
                <w:color w:val="006100"/>
                <w:sz w:val="18"/>
              </w:rPr>
              <w:t>2023</w:t>
            </w:r>
          </w:p>
        </w:tc>
        <w:tc>
          <w:tcPr>
            <w:tcW w:w="3866" w:type="dxa"/>
            <w:tcBorders>
              <w:top w:val="nil"/>
              <w:left w:val="nil"/>
              <w:bottom w:val="single" w:sz="4" w:space="0" w:color="auto"/>
              <w:right w:val="single" w:sz="4" w:space="0" w:color="auto"/>
            </w:tcBorders>
            <w:shd w:val="clear" w:color="auto" w:fill="C6EFCE"/>
            <w:noWrap/>
            <w:hideMark/>
          </w:tcPr>
          <w:p w14:paraId="1CCF695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Esmaste ja teiseste õigusaktide jõustamine, et luua ajutine boonussüsteem, mis põhineks kohtuametnike tulemuslikkuse vahendi väljatöötamisel, milles seatakse strateegilised eesmärgid ja kehtestatakse objektiivsed võtmetähtsusega tulemuslikkuse põhinäitajad (nt ülesande täitmiseks kuluv aeg, individuaalsed tulemused aja, teabevahetuse ja motivatsiooni osas) osakonna ja/või ametnike kategooria kaupa ning esitatakse täpsed ja objektiivsed andmed boonuste määramise kohta; lisatasud, mis tuleb maksta esimese kvartali jooksul pärast asjaomase aasta lõppu selle aasta tulemuste alusel.</w:t>
            </w:r>
          </w:p>
        </w:tc>
      </w:tr>
      <w:tr w:rsidR="00356CBA" w:rsidRPr="003B132A" w14:paraId="775137E5"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hideMark/>
          </w:tcPr>
          <w:p w14:paraId="7B74A51E" w14:textId="77777777" w:rsidR="00356CBA" w:rsidRPr="00E02B5D" w:rsidRDefault="00356CBA">
            <w:pPr>
              <w:spacing w:after="0" w:line="240" w:lineRule="auto"/>
              <w:rPr>
                <w:rFonts w:eastAsia="Times New Roman"/>
                <w:noProof/>
                <w:color w:val="006100"/>
                <w:sz w:val="18"/>
                <w:szCs w:val="18"/>
              </w:rPr>
            </w:pPr>
            <w:r>
              <w:rPr>
                <w:noProof/>
                <w:color w:val="006100"/>
                <w:sz w:val="18"/>
              </w:rPr>
              <w:t>231</w:t>
            </w:r>
          </w:p>
        </w:tc>
        <w:tc>
          <w:tcPr>
            <w:tcW w:w="1767" w:type="dxa"/>
            <w:tcBorders>
              <w:top w:val="nil"/>
              <w:left w:val="nil"/>
              <w:bottom w:val="single" w:sz="4" w:space="0" w:color="auto"/>
              <w:right w:val="single" w:sz="4" w:space="0" w:color="auto"/>
            </w:tcBorders>
            <w:shd w:val="clear" w:color="auto" w:fill="C6EFCE"/>
            <w:noWrap/>
            <w:hideMark/>
          </w:tcPr>
          <w:p w14:paraId="44EF5C78" w14:textId="77777777" w:rsidR="00356CBA" w:rsidRPr="00E02B5D" w:rsidRDefault="00356CBA">
            <w:pPr>
              <w:spacing w:after="0" w:line="240" w:lineRule="auto"/>
              <w:rPr>
                <w:rFonts w:eastAsia="Times New Roman"/>
                <w:noProof/>
                <w:color w:val="006100"/>
                <w:sz w:val="18"/>
                <w:szCs w:val="18"/>
              </w:rPr>
            </w:pPr>
            <w:r>
              <w:rPr>
                <w:noProof/>
                <w:color w:val="006100"/>
                <w:sz w:val="18"/>
              </w:rPr>
              <w:t> 14-4.3. Kohtusüsteemi tõhususe parandamine – 16292_Uued kohtuhooned</w:t>
            </w:r>
          </w:p>
        </w:tc>
        <w:tc>
          <w:tcPr>
            <w:tcW w:w="1424" w:type="dxa"/>
            <w:tcBorders>
              <w:top w:val="nil"/>
              <w:left w:val="nil"/>
              <w:bottom w:val="single" w:sz="4" w:space="0" w:color="auto"/>
              <w:right w:val="single" w:sz="4" w:space="0" w:color="auto"/>
            </w:tcBorders>
            <w:shd w:val="clear" w:color="auto" w:fill="C6EFCE"/>
            <w:noWrap/>
            <w:hideMark/>
          </w:tcPr>
          <w:p w14:paraId="2DBB4914" w14:textId="77777777" w:rsidR="00356CBA" w:rsidRPr="00E02B5D" w:rsidRDefault="00356CBA">
            <w:pPr>
              <w:spacing w:after="0" w:line="240" w:lineRule="auto"/>
              <w:rPr>
                <w:rFonts w:eastAsia="Times New Roman"/>
                <w:noProof/>
                <w:color w:val="006100"/>
                <w:sz w:val="18"/>
                <w:szCs w:val="18"/>
              </w:rPr>
            </w:pPr>
            <w:r>
              <w:rPr>
                <w:noProof/>
                <w:color w:val="006100"/>
                <w:sz w:val="18"/>
              </w:rPr>
              <w:t> Eesmärk</w:t>
            </w:r>
          </w:p>
        </w:tc>
        <w:tc>
          <w:tcPr>
            <w:tcW w:w="1609" w:type="dxa"/>
            <w:tcBorders>
              <w:top w:val="nil"/>
              <w:left w:val="nil"/>
              <w:bottom w:val="single" w:sz="4" w:space="0" w:color="auto"/>
              <w:right w:val="single" w:sz="4" w:space="0" w:color="auto"/>
            </w:tcBorders>
            <w:shd w:val="clear" w:color="auto" w:fill="C6EFCE"/>
            <w:noWrap/>
            <w:hideMark/>
          </w:tcPr>
          <w:p w14:paraId="04EF43CF"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Lepingud </w:t>
            </w:r>
          </w:p>
        </w:tc>
        <w:tc>
          <w:tcPr>
            <w:tcW w:w="2061" w:type="dxa"/>
            <w:tcBorders>
              <w:top w:val="nil"/>
              <w:left w:val="nil"/>
              <w:bottom w:val="single" w:sz="4" w:space="0" w:color="auto"/>
              <w:right w:val="single" w:sz="4" w:space="0" w:color="auto"/>
            </w:tcBorders>
            <w:shd w:val="clear" w:color="auto" w:fill="C6EFCE"/>
            <w:noWrap/>
            <w:hideMark/>
          </w:tcPr>
          <w:p w14:paraId="6A0910DF" w14:textId="77777777" w:rsidR="00356CBA" w:rsidRPr="00E02B5D" w:rsidRDefault="00356CBA">
            <w:pPr>
              <w:spacing w:after="0" w:line="240" w:lineRule="auto"/>
              <w:rPr>
                <w:rFonts w:eastAsia="Times New Roman"/>
                <w:noProof/>
                <w:color w:val="006100"/>
                <w:sz w:val="18"/>
                <w:szCs w:val="18"/>
              </w:rPr>
            </w:pPr>
            <w:r>
              <w:rPr>
                <w:noProof/>
                <w:color w:val="006100"/>
                <w:sz w:val="18"/>
              </w:rPr>
              <w:t>Lepingute sõlmimine</w:t>
            </w:r>
          </w:p>
        </w:tc>
        <w:tc>
          <w:tcPr>
            <w:tcW w:w="1221" w:type="dxa"/>
            <w:tcBorders>
              <w:top w:val="nil"/>
              <w:left w:val="nil"/>
              <w:bottom w:val="single" w:sz="4" w:space="0" w:color="auto"/>
              <w:right w:val="single" w:sz="4" w:space="0" w:color="auto"/>
            </w:tcBorders>
            <w:shd w:val="clear" w:color="auto" w:fill="C6EFCE"/>
            <w:noWrap/>
            <w:hideMark/>
          </w:tcPr>
          <w:p w14:paraId="78D92F72"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 </w:t>
            </w:r>
          </w:p>
        </w:tc>
        <w:tc>
          <w:tcPr>
            <w:tcW w:w="966" w:type="dxa"/>
            <w:tcBorders>
              <w:top w:val="nil"/>
              <w:left w:val="nil"/>
              <w:bottom w:val="single" w:sz="4" w:space="0" w:color="auto"/>
              <w:right w:val="single" w:sz="4" w:space="0" w:color="auto"/>
            </w:tcBorders>
            <w:shd w:val="clear" w:color="auto" w:fill="C6EFCE"/>
            <w:noWrap/>
            <w:hideMark/>
          </w:tcPr>
          <w:p w14:paraId="3EFE32F5"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 </w:t>
            </w:r>
          </w:p>
        </w:tc>
        <w:tc>
          <w:tcPr>
            <w:tcW w:w="906" w:type="dxa"/>
            <w:tcBorders>
              <w:top w:val="nil"/>
              <w:left w:val="nil"/>
              <w:bottom w:val="single" w:sz="4" w:space="0" w:color="auto"/>
              <w:right w:val="single" w:sz="4" w:space="0" w:color="auto"/>
            </w:tcBorders>
            <w:shd w:val="clear" w:color="auto" w:fill="C6EFCE"/>
            <w:noWrap/>
            <w:hideMark/>
          </w:tcPr>
          <w:p w14:paraId="38F5B54D"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 </w:t>
            </w:r>
          </w:p>
        </w:tc>
        <w:tc>
          <w:tcPr>
            <w:tcW w:w="846" w:type="dxa"/>
            <w:tcBorders>
              <w:top w:val="nil"/>
              <w:left w:val="nil"/>
              <w:bottom w:val="single" w:sz="4" w:space="0" w:color="auto"/>
              <w:right w:val="single" w:sz="4" w:space="0" w:color="auto"/>
            </w:tcBorders>
            <w:shd w:val="clear" w:color="auto" w:fill="C6EFCE"/>
            <w:noWrap/>
            <w:hideMark/>
          </w:tcPr>
          <w:p w14:paraId="45390BB6" w14:textId="77777777" w:rsidR="00356CBA" w:rsidRPr="00E02B5D" w:rsidRDefault="00356CBA">
            <w:pPr>
              <w:spacing w:after="0" w:line="240" w:lineRule="auto"/>
              <w:rPr>
                <w:rFonts w:eastAsia="Times New Roman"/>
                <w:noProof/>
                <w:color w:val="006100"/>
                <w:sz w:val="18"/>
                <w:szCs w:val="18"/>
              </w:rPr>
            </w:pPr>
            <w:r>
              <w:rPr>
                <w:noProof/>
                <w:color w:val="006100"/>
                <w:sz w:val="18"/>
              </w:rPr>
              <w:t>2. kv</w:t>
            </w:r>
          </w:p>
        </w:tc>
        <w:tc>
          <w:tcPr>
            <w:tcW w:w="656" w:type="dxa"/>
            <w:tcBorders>
              <w:top w:val="nil"/>
              <w:left w:val="nil"/>
              <w:bottom w:val="single" w:sz="4" w:space="0" w:color="auto"/>
              <w:right w:val="single" w:sz="4" w:space="0" w:color="auto"/>
            </w:tcBorders>
            <w:shd w:val="clear" w:color="auto" w:fill="C6EFCE"/>
            <w:noWrap/>
            <w:hideMark/>
          </w:tcPr>
          <w:p w14:paraId="38831C8F" w14:textId="77777777" w:rsidR="00356CBA" w:rsidRPr="00E02B5D" w:rsidRDefault="00356CBA" w:rsidP="00D16F13">
            <w:pPr>
              <w:spacing w:after="0" w:line="240" w:lineRule="auto"/>
              <w:rPr>
                <w:rFonts w:eastAsia="Times New Roman"/>
                <w:noProof/>
                <w:color w:val="006100"/>
                <w:sz w:val="18"/>
                <w:szCs w:val="18"/>
              </w:rPr>
            </w:pPr>
            <w:r>
              <w:rPr>
                <w:noProof/>
                <w:color w:val="006100"/>
                <w:sz w:val="18"/>
              </w:rPr>
              <w:t>2023</w:t>
            </w:r>
          </w:p>
        </w:tc>
        <w:tc>
          <w:tcPr>
            <w:tcW w:w="3866" w:type="dxa"/>
            <w:tcBorders>
              <w:top w:val="nil"/>
              <w:left w:val="nil"/>
              <w:bottom w:val="single" w:sz="4" w:space="0" w:color="auto"/>
              <w:right w:val="single" w:sz="4" w:space="0" w:color="auto"/>
            </w:tcBorders>
            <w:shd w:val="clear" w:color="auto" w:fill="C6EFCE"/>
            <w:noWrap/>
            <w:hideMark/>
          </w:tcPr>
          <w:p w14:paraId="18EB72D1" w14:textId="77777777" w:rsidR="00356CBA" w:rsidRPr="00E02B5D" w:rsidRDefault="00356CBA">
            <w:pPr>
              <w:spacing w:after="0" w:line="240" w:lineRule="auto"/>
              <w:jc w:val="both"/>
              <w:rPr>
                <w:noProof/>
                <w:color w:val="006100"/>
                <w:sz w:val="18"/>
                <w:szCs w:val="18"/>
              </w:rPr>
            </w:pPr>
            <w:r>
              <w:rPr>
                <w:noProof/>
                <w:color w:val="006100"/>
                <w:sz w:val="18"/>
              </w:rPr>
              <w:t>Lepingute sõlmimine ehitusprojektide jaoks, mida kohtukaardi läbivaatamine ei mõjuta.</w:t>
            </w:r>
          </w:p>
          <w:p w14:paraId="1BA07FB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Lepingu tingimustes sätestatakse, et ehitatavad uued ehitised peavad saavutama primaarenergia nõudluse, mis on vähemalt 20 % madalam liginullenergiahoone nõudest (liginullenergiahoone, riiklikud direktiivid).</w:t>
            </w:r>
          </w:p>
        </w:tc>
      </w:tr>
      <w:tr w:rsidR="00356CBA" w:rsidRPr="003B132A" w14:paraId="3F591817" w14:textId="77777777" w:rsidTr="005D5392">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01DA3BE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232</w:t>
            </w:r>
          </w:p>
        </w:tc>
        <w:tc>
          <w:tcPr>
            <w:tcW w:w="1767" w:type="dxa"/>
            <w:tcBorders>
              <w:top w:val="single" w:sz="4" w:space="0" w:color="auto"/>
              <w:left w:val="nil"/>
              <w:bottom w:val="single" w:sz="4" w:space="0" w:color="auto"/>
              <w:right w:val="single" w:sz="4" w:space="0" w:color="auto"/>
            </w:tcBorders>
            <w:shd w:val="clear" w:color="auto" w:fill="C6EFCE"/>
            <w:noWrap/>
          </w:tcPr>
          <w:p w14:paraId="2C392CE4"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16575 Õigusmõistmise kiirendamine</w:t>
            </w:r>
          </w:p>
        </w:tc>
        <w:tc>
          <w:tcPr>
            <w:tcW w:w="1424" w:type="dxa"/>
            <w:tcBorders>
              <w:top w:val="single" w:sz="4" w:space="0" w:color="auto"/>
              <w:left w:val="nil"/>
              <w:bottom w:val="single" w:sz="4" w:space="0" w:color="auto"/>
              <w:right w:val="single" w:sz="4" w:space="0" w:color="auto"/>
            </w:tcBorders>
            <w:shd w:val="clear" w:color="auto" w:fill="C6EFCE"/>
            <w:noWrap/>
          </w:tcPr>
          <w:p w14:paraId="287BF91A"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single" w:sz="4" w:space="0" w:color="auto"/>
              <w:left w:val="nil"/>
              <w:bottom w:val="single" w:sz="4" w:space="0" w:color="auto"/>
              <w:right w:val="single" w:sz="4" w:space="0" w:color="auto"/>
            </w:tcBorders>
            <w:shd w:val="clear" w:color="auto" w:fill="C6EFCE"/>
            <w:noWrap/>
          </w:tcPr>
          <w:p w14:paraId="371035DC" w14:textId="77777777" w:rsidR="00356CBA" w:rsidRPr="00E02B5D" w:rsidRDefault="00356CBA">
            <w:pPr>
              <w:spacing w:after="0" w:line="240" w:lineRule="auto"/>
              <w:rPr>
                <w:rFonts w:eastAsia="Times New Roman"/>
                <w:noProof/>
                <w:color w:val="006100"/>
                <w:sz w:val="18"/>
                <w:szCs w:val="18"/>
              </w:rPr>
            </w:pPr>
            <w:r>
              <w:rPr>
                <w:noProof/>
                <w:color w:val="006100"/>
                <w:sz w:val="18"/>
              </w:rPr>
              <w:t>Kohtukaardi läbivaatamine – esmased õigusaktid – tsiviil- ja karistusõigus</w:t>
            </w:r>
          </w:p>
        </w:tc>
        <w:tc>
          <w:tcPr>
            <w:tcW w:w="2061" w:type="dxa"/>
            <w:tcBorders>
              <w:top w:val="single" w:sz="4" w:space="0" w:color="auto"/>
              <w:left w:val="nil"/>
              <w:bottom w:val="single" w:sz="4" w:space="0" w:color="auto"/>
              <w:right w:val="single" w:sz="4" w:space="0" w:color="auto"/>
            </w:tcBorders>
            <w:shd w:val="clear" w:color="auto" w:fill="C6EFCE"/>
            <w:noWrap/>
          </w:tcPr>
          <w:p w14:paraId="03EF037B" w14:textId="77777777" w:rsidR="00356CBA" w:rsidRPr="00E02B5D" w:rsidRDefault="00356CBA">
            <w:pPr>
              <w:spacing w:after="0" w:line="240" w:lineRule="auto"/>
              <w:rPr>
                <w:rFonts w:eastAsia="Times New Roman"/>
                <w:noProof/>
                <w:color w:val="006100"/>
                <w:sz w:val="18"/>
                <w:szCs w:val="18"/>
              </w:rPr>
            </w:pPr>
            <w:r>
              <w:rPr>
                <w:noProof/>
                <w:color w:val="006100"/>
                <w:sz w:val="18"/>
              </w:rPr>
              <w:t>Õigusaktide jõustumine</w:t>
            </w:r>
          </w:p>
        </w:tc>
        <w:tc>
          <w:tcPr>
            <w:tcW w:w="1221" w:type="dxa"/>
            <w:tcBorders>
              <w:top w:val="single" w:sz="4" w:space="0" w:color="auto"/>
              <w:left w:val="nil"/>
              <w:bottom w:val="single" w:sz="4" w:space="0" w:color="auto"/>
              <w:right w:val="single" w:sz="4" w:space="0" w:color="auto"/>
            </w:tcBorders>
            <w:shd w:val="clear" w:color="auto" w:fill="C6EFCE"/>
            <w:noWrap/>
          </w:tcPr>
          <w:p w14:paraId="03652EE6"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5BC4DD48"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2A6A080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40C3759F"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56" w:type="dxa"/>
            <w:tcBorders>
              <w:top w:val="single" w:sz="4" w:space="0" w:color="auto"/>
              <w:left w:val="nil"/>
              <w:bottom w:val="single" w:sz="4" w:space="0" w:color="auto"/>
              <w:right w:val="single" w:sz="4" w:space="0" w:color="auto"/>
            </w:tcBorders>
            <w:shd w:val="clear" w:color="auto" w:fill="C6EFCE"/>
            <w:noWrap/>
          </w:tcPr>
          <w:p w14:paraId="2584369F" w14:textId="77777777" w:rsidR="00356CBA" w:rsidRPr="00E02B5D" w:rsidRDefault="00356CBA">
            <w:pPr>
              <w:spacing w:after="0" w:line="240" w:lineRule="auto"/>
              <w:rPr>
                <w:rFonts w:eastAsia="Times New Roman"/>
                <w:noProof/>
                <w:color w:val="006100"/>
                <w:sz w:val="18"/>
                <w:szCs w:val="18"/>
              </w:rPr>
            </w:pPr>
            <w:r>
              <w:rPr>
                <w:noProof/>
                <w:color w:val="006100"/>
                <w:sz w:val="18"/>
              </w:rPr>
              <w:t>2023</w:t>
            </w:r>
          </w:p>
        </w:tc>
        <w:tc>
          <w:tcPr>
            <w:tcW w:w="3866" w:type="dxa"/>
            <w:tcBorders>
              <w:top w:val="single" w:sz="4" w:space="0" w:color="auto"/>
              <w:left w:val="nil"/>
              <w:bottom w:val="single" w:sz="4" w:space="0" w:color="auto"/>
              <w:right w:val="single" w:sz="4" w:space="0" w:color="auto"/>
            </w:tcBorders>
            <w:shd w:val="clear" w:color="auto" w:fill="C6EFCE"/>
            <w:noWrap/>
          </w:tcPr>
          <w:p w14:paraId="5C302DC7" w14:textId="77777777" w:rsidR="00356CBA" w:rsidRPr="00E02B5D" w:rsidRDefault="00356CBA">
            <w:pPr>
              <w:spacing w:after="0" w:line="240" w:lineRule="auto"/>
              <w:rPr>
                <w:noProof/>
                <w:color w:val="006100"/>
                <w:sz w:val="18"/>
                <w:szCs w:val="18"/>
              </w:rPr>
            </w:pPr>
            <w:r>
              <w:rPr>
                <w:noProof/>
                <w:color w:val="006100"/>
                <w:sz w:val="18"/>
              </w:rPr>
              <w:t>Esmase õigusakti jõustumine tsiviil- ja kriminaalõiguse valdkonna kohtute nimekirja läbivaatamiseks.</w:t>
            </w:r>
          </w:p>
        </w:tc>
      </w:tr>
      <w:tr w:rsidR="00356CBA" w:rsidRPr="003B132A" w14:paraId="484D7CF3" w14:textId="77777777" w:rsidTr="005D5392">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57FDFA4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233</w:t>
            </w:r>
          </w:p>
        </w:tc>
        <w:tc>
          <w:tcPr>
            <w:tcW w:w="1767" w:type="dxa"/>
            <w:tcBorders>
              <w:top w:val="single" w:sz="4" w:space="0" w:color="auto"/>
              <w:left w:val="nil"/>
              <w:bottom w:val="single" w:sz="4" w:space="0" w:color="auto"/>
              <w:right w:val="single" w:sz="4" w:space="0" w:color="auto"/>
            </w:tcBorders>
            <w:shd w:val="clear" w:color="auto" w:fill="C6EFCE"/>
            <w:noWrap/>
          </w:tcPr>
          <w:p w14:paraId="457854E8"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16292_Uued kohtuhooned</w:t>
            </w:r>
          </w:p>
        </w:tc>
        <w:tc>
          <w:tcPr>
            <w:tcW w:w="1424" w:type="dxa"/>
            <w:tcBorders>
              <w:top w:val="single" w:sz="4" w:space="0" w:color="auto"/>
              <w:left w:val="nil"/>
              <w:bottom w:val="single" w:sz="4" w:space="0" w:color="auto"/>
              <w:right w:val="single" w:sz="4" w:space="0" w:color="auto"/>
            </w:tcBorders>
            <w:shd w:val="clear" w:color="auto" w:fill="C6EFCE"/>
            <w:noWrap/>
          </w:tcPr>
          <w:p w14:paraId="345E2891"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single" w:sz="4" w:space="0" w:color="auto"/>
              <w:left w:val="nil"/>
              <w:bottom w:val="single" w:sz="4" w:space="0" w:color="auto"/>
              <w:right w:val="single" w:sz="4" w:space="0" w:color="auto"/>
            </w:tcBorders>
            <w:shd w:val="clear" w:color="auto" w:fill="C6EFCE"/>
            <w:noWrap/>
          </w:tcPr>
          <w:p w14:paraId="1B4705D0" w14:textId="77777777" w:rsidR="00356CBA" w:rsidRPr="00E02B5D" w:rsidRDefault="00356CBA">
            <w:pPr>
              <w:spacing w:after="0" w:line="240" w:lineRule="auto"/>
              <w:rPr>
                <w:rFonts w:eastAsia="Times New Roman"/>
                <w:noProof/>
                <w:color w:val="006100"/>
                <w:sz w:val="18"/>
                <w:szCs w:val="18"/>
              </w:rPr>
            </w:pPr>
            <w:r>
              <w:rPr>
                <w:noProof/>
                <w:color w:val="006100"/>
                <w:sz w:val="18"/>
              </w:rPr>
              <w:t>Kohtuhoonete ehitamine ja renoveerimine – hangete algatamine</w:t>
            </w:r>
          </w:p>
        </w:tc>
        <w:tc>
          <w:tcPr>
            <w:tcW w:w="2061" w:type="dxa"/>
            <w:tcBorders>
              <w:top w:val="single" w:sz="4" w:space="0" w:color="auto"/>
              <w:left w:val="nil"/>
              <w:bottom w:val="single" w:sz="4" w:space="0" w:color="auto"/>
              <w:right w:val="single" w:sz="4" w:space="0" w:color="auto"/>
            </w:tcBorders>
            <w:shd w:val="clear" w:color="auto" w:fill="C6EFCE"/>
            <w:noWrap/>
          </w:tcPr>
          <w:p w14:paraId="0EB6CCD0" w14:textId="77777777" w:rsidR="00356CBA" w:rsidRPr="00E02B5D" w:rsidRDefault="00356CBA">
            <w:pPr>
              <w:spacing w:after="0" w:line="240" w:lineRule="auto"/>
              <w:rPr>
                <w:rFonts w:eastAsia="Times New Roman"/>
                <w:noProof/>
                <w:color w:val="006100"/>
                <w:sz w:val="18"/>
                <w:szCs w:val="18"/>
              </w:rPr>
            </w:pPr>
            <w:r>
              <w:rPr>
                <w:noProof/>
                <w:color w:val="006100"/>
                <w:sz w:val="18"/>
              </w:rPr>
              <w:t>Pakkumiste algatamine</w:t>
            </w:r>
          </w:p>
        </w:tc>
        <w:tc>
          <w:tcPr>
            <w:tcW w:w="1221" w:type="dxa"/>
            <w:tcBorders>
              <w:top w:val="single" w:sz="4" w:space="0" w:color="auto"/>
              <w:left w:val="nil"/>
              <w:bottom w:val="single" w:sz="4" w:space="0" w:color="auto"/>
              <w:right w:val="single" w:sz="4" w:space="0" w:color="auto"/>
            </w:tcBorders>
            <w:shd w:val="clear" w:color="auto" w:fill="C6EFCE"/>
            <w:noWrap/>
          </w:tcPr>
          <w:p w14:paraId="15DC0FA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3650FCBE"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5BFCC9A8"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0BD11A8F"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56" w:type="dxa"/>
            <w:tcBorders>
              <w:top w:val="single" w:sz="4" w:space="0" w:color="auto"/>
              <w:left w:val="nil"/>
              <w:bottom w:val="single" w:sz="4" w:space="0" w:color="auto"/>
              <w:right w:val="single" w:sz="4" w:space="0" w:color="auto"/>
            </w:tcBorders>
            <w:shd w:val="clear" w:color="auto" w:fill="C6EFCE"/>
            <w:noWrap/>
          </w:tcPr>
          <w:p w14:paraId="6FF4A255" w14:textId="77777777" w:rsidR="00356CBA" w:rsidRPr="00E02B5D" w:rsidRDefault="00356CBA">
            <w:pPr>
              <w:spacing w:after="0" w:line="240" w:lineRule="auto"/>
              <w:rPr>
                <w:rFonts w:eastAsia="Times New Roman"/>
                <w:noProof/>
                <w:color w:val="006100"/>
                <w:sz w:val="18"/>
                <w:szCs w:val="18"/>
              </w:rPr>
            </w:pPr>
            <w:r>
              <w:rPr>
                <w:noProof/>
                <w:color w:val="006100"/>
                <w:sz w:val="18"/>
              </w:rPr>
              <w:t>2023</w:t>
            </w:r>
          </w:p>
        </w:tc>
        <w:tc>
          <w:tcPr>
            <w:tcW w:w="3866" w:type="dxa"/>
            <w:tcBorders>
              <w:top w:val="single" w:sz="4" w:space="0" w:color="auto"/>
              <w:left w:val="nil"/>
              <w:bottom w:val="single" w:sz="4" w:space="0" w:color="auto"/>
              <w:right w:val="single" w:sz="4" w:space="0" w:color="auto"/>
            </w:tcBorders>
            <w:shd w:val="clear" w:color="auto" w:fill="C6EFCE"/>
            <w:noWrap/>
          </w:tcPr>
          <w:p w14:paraId="17049489" w14:textId="77777777" w:rsidR="00356CBA" w:rsidRPr="00E02B5D" w:rsidRDefault="00356CBA">
            <w:pPr>
              <w:spacing w:after="0" w:line="240" w:lineRule="auto"/>
              <w:rPr>
                <w:noProof/>
                <w:color w:val="006100"/>
                <w:sz w:val="18"/>
                <w:szCs w:val="18"/>
              </w:rPr>
            </w:pPr>
            <w:r>
              <w:rPr>
                <w:noProof/>
                <w:color w:val="006100"/>
                <w:sz w:val="18"/>
              </w:rPr>
              <w:t>Projektide loetelu kohandamine kooskõlas kohtukaardi läbivaatamist käsitleva seadusega.</w:t>
            </w:r>
          </w:p>
          <w:p w14:paraId="25C316C6" w14:textId="77777777" w:rsidR="00356CBA" w:rsidRPr="00E02B5D" w:rsidRDefault="00356CBA">
            <w:pPr>
              <w:spacing w:after="0" w:line="240" w:lineRule="auto"/>
              <w:rPr>
                <w:noProof/>
                <w:color w:val="006100"/>
                <w:sz w:val="18"/>
                <w:szCs w:val="18"/>
              </w:rPr>
            </w:pPr>
            <w:r>
              <w:rPr>
                <w:noProof/>
                <w:color w:val="006100"/>
                <w:sz w:val="18"/>
              </w:rPr>
              <w:t>Hankemenetluse algatamine renoveerimistööde muudetud loetelus sisalduvate tsiviil- ja kriminaalasjade kohtumajadega seotud projektide jaoks. Hanketingimustes sätestatakse, et ehitatavad uued ehitised peavad saavutama primaarenergia nõudluse, mis on vähemalt 20 % madalam liginullenergiahoone nõudest (ligi nullenergiahoone, riiklikud direktiivid).</w:t>
            </w:r>
          </w:p>
        </w:tc>
      </w:tr>
      <w:tr w:rsidR="00356CBA" w:rsidRPr="003B132A" w14:paraId="1F2CAF92" w14:textId="77777777" w:rsidTr="005D5392">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5FBF5A0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234</w:t>
            </w:r>
          </w:p>
        </w:tc>
        <w:tc>
          <w:tcPr>
            <w:tcW w:w="1767" w:type="dxa"/>
            <w:tcBorders>
              <w:top w:val="single" w:sz="4" w:space="0" w:color="auto"/>
              <w:left w:val="nil"/>
              <w:bottom w:val="single" w:sz="4" w:space="0" w:color="auto"/>
              <w:right w:val="single" w:sz="4" w:space="0" w:color="auto"/>
            </w:tcBorders>
            <w:shd w:val="clear" w:color="auto" w:fill="C6EFCE"/>
            <w:noWrap/>
          </w:tcPr>
          <w:p w14:paraId="4AECCF80"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16575 Õigusmõistmise kiirendamine</w:t>
            </w:r>
          </w:p>
        </w:tc>
        <w:tc>
          <w:tcPr>
            <w:tcW w:w="1424" w:type="dxa"/>
            <w:tcBorders>
              <w:top w:val="single" w:sz="4" w:space="0" w:color="auto"/>
              <w:left w:val="nil"/>
              <w:bottom w:val="single" w:sz="4" w:space="0" w:color="auto"/>
              <w:right w:val="single" w:sz="4" w:space="0" w:color="auto"/>
            </w:tcBorders>
            <w:shd w:val="clear" w:color="auto" w:fill="C6EFCE"/>
            <w:noWrap/>
          </w:tcPr>
          <w:p w14:paraId="79E133FE"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single" w:sz="4" w:space="0" w:color="auto"/>
              <w:left w:val="nil"/>
              <w:bottom w:val="single" w:sz="4" w:space="0" w:color="auto"/>
              <w:right w:val="single" w:sz="4" w:space="0" w:color="auto"/>
            </w:tcBorders>
            <w:shd w:val="clear" w:color="auto" w:fill="C6EFCE"/>
            <w:noWrap/>
          </w:tcPr>
          <w:p w14:paraId="4F9496F3" w14:textId="77777777" w:rsidR="00356CBA" w:rsidRPr="00E02B5D" w:rsidRDefault="00356CBA">
            <w:pPr>
              <w:spacing w:after="0" w:line="240" w:lineRule="auto"/>
              <w:rPr>
                <w:rFonts w:eastAsia="Times New Roman"/>
                <w:noProof/>
                <w:color w:val="006100"/>
                <w:sz w:val="18"/>
                <w:szCs w:val="18"/>
              </w:rPr>
            </w:pPr>
            <w:r>
              <w:rPr>
                <w:noProof/>
                <w:color w:val="006100"/>
                <w:sz w:val="18"/>
              </w:rPr>
              <w:t>Õiguskaitsepolitsei operatiivtegevus</w:t>
            </w:r>
          </w:p>
        </w:tc>
        <w:tc>
          <w:tcPr>
            <w:tcW w:w="2061" w:type="dxa"/>
            <w:tcBorders>
              <w:top w:val="single" w:sz="4" w:space="0" w:color="auto"/>
              <w:left w:val="nil"/>
              <w:bottom w:val="single" w:sz="4" w:space="0" w:color="auto"/>
              <w:right w:val="single" w:sz="4" w:space="0" w:color="auto"/>
            </w:tcBorders>
            <w:shd w:val="clear" w:color="auto" w:fill="C6EFCE"/>
            <w:noWrap/>
          </w:tcPr>
          <w:p w14:paraId="126FD5E7" w14:textId="77777777" w:rsidR="00356CBA" w:rsidRPr="00E02B5D" w:rsidRDefault="00356CBA">
            <w:pPr>
              <w:spacing w:after="0" w:line="240" w:lineRule="auto"/>
              <w:rPr>
                <w:rFonts w:eastAsia="Times New Roman"/>
                <w:noProof/>
                <w:color w:val="006100"/>
                <w:sz w:val="18"/>
                <w:szCs w:val="18"/>
              </w:rPr>
            </w:pPr>
            <w:r>
              <w:rPr>
                <w:noProof/>
                <w:color w:val="006100"/>
                <w:sz w:val="18"/>
              </w:rPr>
              <w:t>Kohtupolitsei toimib ja toimib täielikult nii kesk- kui ka piirkondlikul tasandil</w:t>
            </w:r>
          </w:p>
        </w:tc>
        <w:tc>
          <w:tcPr>
            <w:tcW w:w="1221" w:type="dxa"/>
            <w:tcBorders>
              <w:top w:val="single" w:sz="4" w:space="0" w:color="auto"/>
              <w:left w:val="nil"/>
              <w:bottom w:val="single" w:sz="4" w:space="0" w:color="auto"/>
              <w:right w:val="single" w:sz="4" w:space="0" w:color="auto"/>
            </w:tcBorders>
            <w:shd w:val="clear" w:color="auto" w:fill="C6EFCE"/>
            <w:noWrap/>
          </w:tcPr>
          <w:p w14:paraId="676DA86D"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74E34F90"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4F702BB7"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1D49F49B" w14:textId="77777777" w:rsidR="00356CBA" w:rsidRPr="00E02B5D" w:rsidRDefault="0020601B" w:rsidP="0020601B">
            <w:pPr>
              <w:spacing w:after="0" w:line="240" w:lineRule="auto"/>
              <w:rPr>
                <w:rFonts w:eastAsia="Times New Roman"/>
                <w:noProof/>
                <w:color w:val="006100"/>
                <w:sz w:val="18"/>
                <w:szCs w:val="18"/>
              </w:rPr>
            </w:pPr>
            <w:r>
              <w:rPr>
                <w:noProof/>
                <w:color w:val="006100"/>
                <w:sz w:val="18"/>
              </w:rPr>
              <w:t>2. kv</w:t>
            </w:r>
          </w:p>
        </w:tc>
        <w:tc>
          <w:tcPr>
            <w:tcW w:w="656" w:type="dxa"/>
            <w:tcBorders>
              <w:top w:val="single" w:sz="4" w:space="0" w:color="auto"/>
              <w:left w:val="nil"/>
              <w:bottom w:val="single" w:sz="4" w:space="0" w:color="auto"/>
              <w:right w:val="single" w:sz="4" w:space="0" w:color="auto"/>
            </w:tcBorders>
            <w:shd w:val="clear" w:color="auto" w:fill="C6EFCE"/>
            <w:noWrap/>
          </w:tcPr>
          <w:p w14:paraId="3939B214" w14:textId="77777777" w:rsidR="00356CBA" w:rsidRPr="00E02B5D" w:rsidRDefault="00356CBA" w:rsidP="0020601B">
            <w:pPr>
              <w:spacing w:after="0" w:line="240" w:lineRule="auto"/>
              <w:rPr>
                <w:rFonts w:eastAsia="Times New Roman"/>
                <w:noProof/>
                <w:color w:val="006100"/>
                <w:sz w:val="18"/>
                <w:szCs w:val="18"/>
              </w:rPr>
            </w:pPr>
            <w:r>
              <w:rPr>
                <w:noProof/>
                <w:color w:val="006100"/>
                <w:sz w:val="18"/>
              </w:rPr>
              <w:t>2024</w:t>
            </w:r>
          </w:p>
        </w:tc>
        <w:tc>
          <w:tcPr>
            <w:tcW w:w="3866" w:type="dxa"/>
            <w:tcBorders>
              <w:top w:val="single" w:sz="4" w:space="0" w:color="auto"/>
              <w:left w:val="nil"/>
              <w:bottom w:val="single" w:sz="4" w:space="0" w:color="auto"/>
              <w:right w:val="single" w:sz="4" w:space="0" w:color="auto"/>
            </w:tcBorders>
            <w:shd w:val="clear" w:color="auto" w:fill="C6EFCE"/>
            <w:noWrap/>
          </w:tcPr>
          <w:p w14:paraId="757185F3" w14:textId="77777777" w:rsidR="00356CBA" w:rsidRPr="00E02B5D" w:rsidRDefault="00356CBA">
            <w:pPr>
              <w:spacing w:before="120" w:after="0" w:line="240" w:lineRule="auto"/>
              <w:jc w:val="both"/>
              <w:rPr>
                <w:rFonts w:eastAsia="Times New Roman"/>
                <w:noProof/>
                <w:color w:val="006100"/>
                <w:sz w:val="18"/>
                <w:szCs w:val="18"/>
              </w:rPr>
            </w:pPr>
            <w:r>
              <w:rPr>
                <w:noProof/>
                <w:color w:val="006100"/>
                <w:sz w:val="18"/>
              </w:rPr>
              <w:t>Kohtupolitsei operatiivseks muutmine kogu oma pädevuse ulatuses nii keskvalitsuse tasandil kui ka piirkondlikul tasandil kohtutes</w:t>
            </w:r>
          </w:p>
        </w:tc>
      </w:tr>
      <w:tr w:rsidR="00356CBA" w:rsidRPr="003B132A" w14:paraId="39184696" w14:textId="77777777" w:rsidTr="005D5392">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05823E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235</w:t>
            </w:r>
          </w:p>
        </w:tc>
        <w:tc>
          <w:tcPr>
            <w:tcW w:w="1767" w:type="dxa"/>
            <w:tcBorders>
              <w:top w:val="single" w:sz="4" w:space="0" w:color="auto"/>
              <w:left w:val="nil"/>
              <w:bottom w:val="single" w:sz="4" w:space="0" w:color="auto"/>
              <w:right w:val="single" w:sz="4" w:space="0" w:color="auto"/>
            </w:tcBorders>
            <w:shd w:val="clear" w:color="auto" w:fill="C6EFCE"/>
            <w:noWrap/>
          </w:tcPr>
          <w:p w14:paraId="2066CAD6"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16733_Kutseoskused ja digioskused kohtunike ja kohtutöötajate jaoks (kohtutöötajad)</w:t>
            </w:r>
          </w:p>
        </w:tc>
        <w:tc>
          <w:tcPr>
            <w:tcW w:w="1424" w:type="dxa"/>
            <w:tcBorders>
              <w:top w:val="single" w:sz="4" w:space="0" w:color="auto"/>
              <w:left w:val="nil"/>
              <w:bottom w:val="single" w:sz="4" w:space="0" w:color="auto"/>
              <w:right w:val="single" w:sz="4" w:space="0" w:color="auto"/>
            </w:tcBorders>
            <w:shd w:val="clear" w:color="auto" w:fill="C6EFCE"/>
            <w:noWrap/>
          </w:tcPr>
          <w:p w14:paraId="22802CC4"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single" w:sz="4" w:space="0" w:color="auto"/>
              <w:left w:val="nil"/>
              <w:bottom w:val="single" w:sz="4" w:space="0" w:color="auto"/>
              <w:right w:val="single" w:sz="4" w:space="0" w:color="auto"/>
            </w:tcBorders>
            <w:shd w:val="clear" w:color="auto" w:fill="C6EFCE"/>
            <w:noWrap/>
          </w:tcPr>
          <w:p w14:paraId="2A421772" w14:textId="77777777" w:rsidR="00356CBA" w:rsidRPr="00E02B5D" w:rsidRDefault="00356CBA">
            <w:pPr>
              <w:spacing w:after="0" w:line="240" w:lineRule="auto"/>
              <w:rPr>
                <w:rFonts w:eastAsia="Times New Roman"/>
                <w:noProof/>
                <w:color w:val="006100"/>
                <w:sz w:val="18"/>
                <w:szCs w:val="18"/>
              </w:rPr>
            </w:pPr>
            <w:r>
              <w:rPr>
                <w:noProof/>
                <w:color w:val="006100"/>
                <w:sz w:val="18"/>
              </w:rPr>
              <w:t>Koolitus – kohtunikud ja kantseleitöötajad</w:t>
            </w:r>
          </w:p>
        </w:tc>
        <w:tc>
          <w:tcPr>
            <w:tcW w:w="2061" w:type="dxa"/>
            <w:tcBorders>
              <w:top w:val="single" w:sz="4" w:space="0" w:color="auto"/>
              <w:left w:val="nil"/>
              <w:bottom w:val="single" w:sz="4" w:space="0" w:color="auto"/>
              <w:right w:val="single" w:sz="4" w:space="0" w:color="auto"/>
            </w:tcBorders>
            <w:shd w:val="clear" w:color="auto" w:fill="C6EFCE"/>
            <w:noWrap/>
          </w:tcPr>
          <w:p w14:paraId="448A4BC0" w14:textId="77777777" w:rsidR="00356CBA" w:rsidRPr="00E02B5D" w:rsidRDefault="00356CBA">
            <w:pPr>
              <w:spacing w:after="0" w:line="240" w:lineRule="auto"/>
              <w:rPr>
                <w:noProof/>
                <w:color w:val="006100"/>
                <w:sz w:val="18"/>
                <w:szCs w:val="18"/>
              </w:rPr>
            </w:pPr>
            <w:r>
              <w:rPr>
                <w:noProof/>
                <w:color w:val="006100"/>
                <w:sz w:val="18"/>
              </w:rPr>
              <w:t xml:space="preserve">Aruande kinnitamine </w:t>
            </w:r>
          </w:p>
          <w:p w14:paraId="0888EEB4" w14:textId="77777777" w:rsidR="00356CBA" w:rsidRPr="00E02B5D" w:rsidRDefault="00356CBA">
            <w:pPr>
              <w:spacing w:after="0" w:line="240" w:lineRule="auto"/>
              <w:rPr>
                <w:noProof/>
                <w:color w:val="006100"/>
                <w:sz w:val="18"/>
                <w:szCs w:val="18"/>
              </w:rPr>
            </w:pPr>
            <w:r>
              <w:rPr>
                <w:noProof/>
                <w:color w:val="006100"/>
                <w:sz w:val="18"/>
              </w:rPr>
              <w:t>Muudatuste rakendamine riikliku kohtunike kooli õppekavas ning 65 % kohtunike ja ametnike osalemine elukestvas õppes</w:t>
            </w:r>
          </w:p>
        </w:tc>
        <w:tc>
          <w:tcPr>
            <w:tcW w:w="1221" w:type="dxa"/>
            <w:tcBorders>
              <w:top w:val="single" w:sz="4" w:space="0" w:color="auto"/>
              <w:left w:val="nil"/>
              <w:bottom w:val="single" w:sz="4" w:space="0" w:color="auto"/>
              <w:right w:val="single" w:sz="4" w:space="0" w:color="auto"/>
            </w:tcBorders>
            <w:shd w:val="clear" w:color="auto" w:fill="C6EFCE"/>
            <w:noWrap/>
          </w:tcPr>
          <w:p w14:paraId="083A1CBA"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386CBAED"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3E4BE825"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0115A950"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56" w:type="dxa"/>
            <w:tcBorders>
              <w:top w:val="single" w:sz="4" w:space="0" w:color="auto"/>
              <w:left w:val="nil"/>
              <w:bottom w:val="single" w:sz="4" w:space="0" w:color="auto"/>
              <w:right w:val="single" w:sz="4" w:space="0" w:color="auto"/>
            </w:tcBorders>
            <w:shd w:val="clear" w:color="auto" w:fill="C6EFCE"/>
            <w:noWrap/>
          </w:tcPr>
          <w:p w14:paraId="370D1BAF" w14:textId="77777777" w:rsidR="00356CBA" w:rsidRPr="00E02B5D" w:rsidRDefault="00356CBA">
            <w:pPr>
              <w:spacing w:after="0" w:line="240" w:lineRule="auto"/>
              <w:rPr>
                <w:rFonts w:eastAsia="Times New Roman"/>
                <w:noProof/>
                <w:color w:val="006100"/>
                <w:sz w:val="18"/>
                <w:szCs w:val="18"/>
              </w:rPr>
            </w:pPr>
            <w:r>
              <w:rPr>
                <w:noProof/>
                <w:color w:val="006100"/>
                <w:sz w:val="18"/>
              </w:rPr>
              <w:t>2024</w:t>
            </w:r>
          </w:p>
        </w:tc>
        <w:tc>
          <w:tcPr>
            <w:tcW w:w="3866" w:type="dxa"/>
            <w:tcBorders>
              <w:top w:val="single" w:sz="4" w:space="0" w:color="auto"/>
              <w:left w:val="nil"/>
              <w:bottom w:val="single" w:sz="4" w:space="0" w:color="auto"/>
              <w:right w:val="single" w:sz="4" w:space="0" w:color="auto"/>
            </w:tcBorders>
            <w:shd w:val="clear" w:color="auto" w:fill="C6EFCE"/>
            <w:noWrap/>
          </w:tcPr>
          <w:p w14:paraId="0CEBD634" w14:textId="77777777" w:rsidR="00356CBA" w:rsidRPr="00E02B5D" w:rsidRDefault="00356CBA">
            <w:pPr>
              <w:spacing w:after="0" w:line="240" w:lineRule="auto"/>
              <w:rPr>
                <w:noProof/>
                <w:color w:val="006100"/>
                <w:sz w:val="18"/>
                <w:szCs w:val="18"/>
              </w:rPr>
            </w:pPr>
            <w:r>
              <w:rPr>
                <w:noProof/>
                <w:color w:val="006100"/>
                <w:sz w:val="18"/>
              </w:rPr>
              <w:t>Kõigi kohtunike ja kohtutöötajate oskusi ja digitaaloskusi käsitleva reformiga hõlmatud projektide täielik rakendamine, sealhulgas: </w:t>
            </w:r>
          </w:p>
          <w:p w14:paraId="4E854EB9" w14:textId="77777777" w:rsidR="00356CBA" w:rsidRPr="00E02B5D" w:rsidRDefault="00356CBA" w:rsidP="00DE1EE5">
            <w:pPr>
              <w:numPr>
                <w:ilvl w:val="0"/>
                <w:numId w:val="24"/>
              </w:numPr>
              <w:spacing w:before="120" w:after="0" w:line="240" w:lineRule="auto"/>
              <w:jc w:val="both"/>
              <w:rPr>
                <w:noProof/>
                <w:color w:val="006100"/>
                <w:sz w:val="18"/>
                <w:szCs w:val="18"/>
              </w:rPr>
            </w:pPr>
            <w:r>
              <w:rPr>
                <w:noProof/>
                <w:color w:val="006100"/>
                <w:sz w:val="18"/>
              </w:rPr>
              <w:t>65 % kohtunikest ja ametnikest, kes on registreerunud elukestvasse õppesse ja osalenud vähemalt ühel koolitusel (seminaril)</w:t>
            </w:r>
          </w:p>
          <w:p w14:paraId="6B29F422" w14:textId="77777777" w:rsidR="00356CBA" w:rsidRPr="00E02B5D" w:rsidRDefault="00356CBA" w:rsidP="00584C80">
            <w:pPr>
              <w:spacing w:before="120" w:after="0" w:line="240" w:lineRule="auto"/>
              <w:ind w:left="360"/>
              <w:jc w:val="both"/>
              <w:rPr>
                <w:noProof/>
                <w:color w:val="006100"/>
                <w:sz w:val="18"/>
                <w:szCs w:val="18"/>
              </w:rPr>
            </w:pPr>
            <w:r>
              <w:rPr>
                <w:noProof/>
                <w:color w:val="006100"/>
                <w:sz w:val="18"/>
              </w:rPr>
              <w:t>2. Täielikult toimiva riikliku kohtunike kooli kohtunike koolitusprogramm</w:t>
            </w:r>
          </w:p>
          <w:p w14:paraId="4387AFE4" w14:textId="77777777" w:rsidR="00356CBA" w:rsidRPr="00E02B5D" w:rsidRDefault="00356CBA" w:rsidP="00DE1EE5">
            <w:pPr>
              <w:numPr>
                <w:ilvl w:val="0"/>
                <w:numId w:val="25"/>
              </w:numPr>
              <w:spacing w:before="120" w:after="0" w:line="240" w:lineRule="auto"/>
              <w:jc w:val="both"/>
              <w:rPr>
                <w:noProof/>
                <w:color w:val="006100"/>
                <w:sz w:val="18"/>
                <w:szCs w:val="18"/>
              </w:rPr>
            </w:pPr>
            <w:r>
              <w:rPr>
                <w:noProof/>
                <w:color w:val="006100"/>
                <w:sz w:val="18"/>
              </w:rPr>
              <w:t>Kõik valikukriteeriumide ja rakendatud õppekava muudatused</w:t>
            </w:r>
          </w:p>
          <w:p w14:paraId="47739B43" w14:textId="77777777" w:rsidR="00356CBA" w:rsidRPr="00E02B5D" w:rsidRDefault="00356CBA">
            <w:pPr>
              <w:spacing w:before="120" w:after="0" w:line="240" w:lineRule="auto"/>
              <w:rPr>
                <w:b/>
                <w:bCs/>
                <w:noProof/>
                <w:color w:val="006100"/>
                <w:sz w:val="18"/>
                <w:szCs w:val="18"/>
              </w:rPr>
            </w:pPr>
            <w:r>
              <w:rPr>
                <w:noProof/>
                <w:color w:val="006100"/>
                <w:sz w:val="18"/>
              </w:rPr>
              <w:t xml:space="preserve">Muudatused riikliku kohtunike kooli haridusprogrammis, mille eesmärk on eelkõige tõhustada praktilist koolitust ning pakkuda eetikat, ajahaldust, psühholoogiat, majandusteooriat ja -analüüsi, kohtute haldamist ja uusi tehnoloogiaid käsitlevaid kursusi. </w:t>
            </w:r>
            <w:r>
              <w:rPr>
                <w:rFonts w:ascii="Times New Roman" w:hAnsi="Times New Roman"/>
                <w:noProof/>
                <w:sz w:val="24"/>
              </w:rPr>
              <w:t xml:space="preserve"> </w:t>
            </w:r>
            <w:r>
              <w:rPr>
                <w:noProof/>
                <w:color w:val="006100"/>
                <w:sz w:val="18"/>
              </w:rPr>
              <w:t>Kohtunikele elukestva õppe pakkumine, mis hõlmab erinevaid õigusvaldkondi ning õigusemõistmisega seotud juhtimis- ja menetlusaspekte (kohtute haldamine, kohtuasjade haldamine, teabevahetus ning koostöö siseriiklike ja välisriikide ametiasutustega); Selline koolitus on ametialase edutamise eeltingimus.</w:t>
            </w:r>
            <w:r>
              <w:rPr>
                <w:rFonts w:ascii="Times New Roman" w:hAnsi="Times New Roman"/>
                <w:noProof/>
                <w:sz w:val="24"/>
              </w:rPr>
              <w:t xml:space="preserve"> </w:t>
            </w:r>
            <w:r>
              <w:rPr>
                <w:noProof/>
                <w:color w:val="006100"/>
                <w:sz w:val="18"/>
              </w:rPr>
              <w:t>Kohtutöötajate koolitamine, mis hõlmab nende ametikohustuste täitmiseks olulisi teemasid, st teenistuse juhtimine ja korraldamine, digioskused, menetlus- ja materiaalõigus.</w:t>
            </w:r>
          </w:p>
        </w:tc>
      </w:tr>
      <w:tr w:rsidR="00356CBA" w:rsidRPr="003B132A" w14:paraId="27395684" w14:textId="77777777" w:rsidTr="005D5392">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358BBE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236</w:t>
            </w:r>
          </w:p>
        </w:tc>
        <w:tc>
          <w:tcPr>
            <w:tcW w:w="1767" w:type="dxa"/>
            <w:tcBorders>
              <w:top w:val="single" w:sz="4" w:space="0" w:color="auto"/>
              <w:left w:val="nil"/>
              <w:bottom w:val="single" w:sz="4" w:space="0" w:color="auto"/>
              <w:right w:val="single" w:sz="4" w:space="0" w:color="auto"/>
            </w:tcBorders>
            <w:shd w:val="clear" w:color="auto" w:fill="C6EFCE"/>
            <w:noWrap/>
          </w:tcPr>
          <w:p w14:paraId="2E2CD3AD"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16575 Õigusmõistmise kiirendamine</w:t>
            </w:r>
          </w:p>
        </w:tc>
        <w:tc>
          <w:tcPr>
            <w:tcW w:w="1424" w:type="dxa"/>
            <w:tcBorders>
              <w:top w:val="single" w:sz="4" w:space="0" w:color="auto"/>
              <w:left w:val="nil"/>
              <w:bottom w:val="single" w:sz="4" w:space="0" w:color="auto"/>
              <w:right w:val="single" w:sz="4" w:space="0" w:color="auto"/>
            </w:tcBorders>
            <w:shd w:val="clear" w:color="auto" w:fill="C6EFCE"/>
            <w:noWrap/>
          </w:tcPr>
          <w:p w14:paraId="08C15005"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single" w:sz="4" w:space="0" w:color="auto"/>
              <w:left w:val="nil"/>
              <w:bottom w:val="single" w:sz="4" w:space="0" w:color="auto"/>
              <w:right w:val="single" w:sz="4" w:space="0" w:color="auto"/>
            </w:tcBorders>
            <w:shd w:val="clear" w:color="auto" w:fill="C6EFCE"/>
            <w:noWrap/>
          </w:tcPr>
          <w:p w14:paraId="7B277DD2"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Kohtukaardi läbivaatamine – edusammud </w:t>
            </w:r>
          </w:p>
        </w:tc>
        <w:tc>
          <w:tcPr>
            <w:tcW w:w="2061" w:type="dxa"/>
            <w:tcBorders>
              <w:top w:val="single" w:sz="4" w:space="0" w:color="auto"/>
              <w:left w:val="nil"/>
              <w:bottom w:val="single" w:sz="4" w:space="0" w:color="auto"/>
              <w:right w:val="single" w:sz="4" w:space="0" w:color="auto"/>
            </w:tcBorders>
            <w:shd w:val="clear" w:color="auto" w:fill="C6EFCE"/>
            <w:noWrap/>
          </w:tcPr>
          <w:p w14:paraId="3512CF5C" w14:textId="77777777" w:rsidR="00356CBA" w:rsidRPr="00E02B5D" w:rsidRDefault="00356CBA">
            <w:pPr>
              <w:spacing w:after="0" w:line="240" w:lineRule="auto"/>
              <w:rPr>
                <w:noProof/>
                <w:color w:val="006100"/>
                <w:sz w:val="18"/>
                <w:szCs w:val="18"/>
              </w:rPr>
            </w:pPr>
            <w:r>
              <w:rPr>
                <w:noProof/>
                <w:color w:val="006100"/>
                <w:sz w:val="18"/>
              </w:rPr>
              <w:t>Eduaruanne, milles kajastatakse ja kontrollitakse protsendimäärasid, mida tõendavad vastavate kohtute asutuste ametlikud avaldused, mis kinnitavad reformitud üksuste tegevuse alustamist ja toimimist.</w:t>
            </w:r>
          </w:p>
        </w:tc>
        <w:tc>
          <w:tcPr>
            <w:tcW w:w="1221" w:type="dxa"/>
            <w:tcBorders>
              <w:top w:val="single" w:sz="4" w:space="0" w:color="auto"/>
              <w:left w:val="nil"/>
              <w:bottom w:val="single" w:sz="4" w:space="0" w:color="auto"/>
              <w:right w:val="single" w:sz="4" w:space="0" w:color="auto"/>
            </w:tcBorders>
            <w:shd w:val="clear" w:color="auto" w:fill="C6EFCE"/>
            <w:noWrap/>
          </w:tcPr>
          <w:p w14:paraId="2DA9CFD2"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66966522"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32B2ABE2"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0B78D179"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56" w:type="dxa"/>
            <w:tcBorders>
              <w:top w:val="single" w:sz="4" w:space="0" w:color="auto"/>
              <w:left w:val="nil"/>
              <w:bottom w:val="single" w:sz="4" w:space="0" w:color="auto"/>
              <w:right w:val="single" w:sz="4" w:space="0" w:color="auto"/>
            </w:tcBorders>
            <w:shd w:val="clear" w:color="auto" w:fill="C6EFCE"/>
            <w:noWrap/>
          </w:tcPr>
          <w:p w14:paraId="3508D6AA" w14:textId="77777777" w:rsidR="00356CBA" w:rsidRPr="00E02B5D" w:rsidRDefault="00356CBA">
            <w:pPr>
              <w:spacing w:after="0" w:line="240" w:lineRule="auto"/>
              <w:rPr>
                <w:rFonts w:eastAsia="Times New Roman"/>
                <w:noProof/>
                <w:color w:val="006100"/>
                <w:sz w:val="18"/>
                <w:szCs w:val="18"/>
              </w:rPr>
            </w:pPr>
            <w:r>
              <w:rPr>
                <w:noProof/>
                <w:color w:val="006100"/>
                <w:sz w:val="18"/>
              </w:rPr>
              <w:t>2024</w:t>
            </w:r>
          </w:p>
        </w:tc>
        <w:tc>
          <w:tcPr>
            <w:tcW w:w="3866" w:type="dxa"/>
            <w:tcBorders>
              <w:top w:val="single" w:sz="4" w:space="0" w:color="auto"/>
              <w:left w:val="nil"/>
              <w:bottom w:val="single" w:sz="4" w:space="0" w:color="auto"/>
              <w:right w:val="single" w:sz="4" w:space="0" w:color="auto"/>
            </w:tcBorders>
            <w:shd w:val="clear" w:color="auto" w:fill="C6EFCE"/>
            <w:noWrap/>
          </w:tcPr>
          <w:p w14:paraId="2F200B14" w14:textId="77777777" w:rsidR="00356CBA" w:rsidRPr="00E02B5D" w:rsidRDefault="00356CBA">
            <w:pPr>
              <w:spacing w:after="0" w:line="240" w:lineRule="auto"/>
              <w:rPr>
                <w:noProof/>
                <w:color w:val="006100"/>
                <w:sz w:val="18"/>
                <w:szCs w:val="18"/>
              </w:rPr>
            </w:pPr>
            <w:r>
              <w:rPr>
                <w:noProof/>
                <w:color w:val="006100"/>
                <w:sz w:val="18"/>
              </w:rPr>
              <w:t>Kohtukaardi läbivaatamine</w:t>
            </w:r>
          </w:p>
          <w:p w14:paraId="7B55D780" w14:textId="77777777" w:rsidR="00356CBA" w:rsidRPr="00E02B5D" w:rsidRDefault="00356CBA">
            <w:pPr>
              <w:spacing w:after="0" w:line="240" w:lineRule="auto"/>
              <w:rPr>
                <w:noProof/>
                <w:color w:val="006100"/>
                <w:sz w:val="18"/>
                <w:szCs w:val="18"/>
              </w:rPr>
            </w:pPr>
            <w:r>
              <w:rPr>
                <w:noProof/>
                <w:color w:val="006100"/>
                <w:sz w:val="18"/>
              </w:rPr>
              <w:t xml:space="preserve">Vähemalt 70 % mõjutatud üksustest (kohtutest) toimivad ja toimivad täielikult haldusõiguse valdkonnas; vähemalt 40 % mõjutatud üksustest (kohtutest) toimivad ja toimivad täielikult tsiviil- ja kriminaalõiguse valdkonnas </w:t>
            </w:r>
          </w:p>
        </w:tc>
      </w:tr>
      <w:tr w:rsidR="00356CBA" w:rsidRPr="003B132A" w14:paraId="0673FA95" w14:textId="77777777" w:rsidTr="005D5392">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5DB8DA1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237</w:t>
            </w:r>
          </w:p>
        </w:tc>
        <w:tc>
          <w:tcPr>
            <w:tcW w:w="1767" w:type="dxa"/>
            <w:tcBorders>
              <w:top w:val="single" w:sz="4" w:space="0" w:color="auto"/>
              <w:left w:val="nil"/>
              <w:bottom w:val="single" w:sz="4" w:space="0" w:color="auto"/>
              <w:right w:val="single" w:sz="4" w:space="0" w:color="auto"/>
            </w:tcBorders>
            <w:shd w:val="clear" w:color="auto" w:fill="C6EFCE"/>
            <w:noWrap/>
          </w:tcPr>
          <w:p w14:paraId="1793CA40"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16292_Uued kohtuhooned</w:t>
            </w:r>
          </w:p>
        </w:tc>
        <w:tc>
          <w:tcPr>
            <w:tcW w:w="1424" w:type="dxa"/>
            <w:tcBorders>
              <w:top w:val="single" w:sz="4" w:space="0" w:color="auto"/>
              <w:left w:val="nil"/>
              <w:bottom w:val="single" w:sz="4" w:space="0" w:color="auto"/>
              <w:right w:val="single" w:sz="4" w:space="0" w:color="auto"/>
            </w:tcBorders>
            <w:shd w:val="clear" w:color="auto" w:fill="C6EFCE"/>
            <w:noWrap/>
          </w:tcPr>
          <w:p w14:paraId="1BC2B293"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single" w:sz="4" w:space="0" w:color="auto"/>
              <w:left w:val="nil"/>
              <w:bottom w:val="single" w:sz="4" w:space="0" w:color="auto"/>
              <w:right w:val="single" w:sz="4" w:space="0" w:color="auto"/>
            </w:tcBorders>
            <w:shd w:val="clear" w:color="auto" w:fill="C6EFCE"/>
            <w:noWrap/>
          </w:tcPr>
          <w:p w14:paraId="17496328"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Ehitus- ja renoveerimistööd – e-identiteet – lõpuleviimine </w:t>
            </w:r>
          </w:p>
        </w:tc>
        <w:tc>
          <w:tcPr>
            <w:tcW w:w="2061" w:type="dxa"/>
            <w:tcBorders>
              <w:top w:val="single" w:sz="4" w:space="0" w:color="auto"/>
              <w:left w:val="nil"/>
              <w:bottom w:val="single" w:sz="4" w:space="0" w:color="auto"/>
              <w:right w:val="single" w:sz="4" w:space="0" w:color="auto"/>
            </w:tcBorders>
            <w:shd w:val="clear" w:color="auto" w:fill="C6EFCE"/>
            <w:noWrap/>
          </w:tcPr>
          <w:p w14:paraId="756DC062" w14:textId="77777777" w:rsidR="00356CBA" w:rsidRPr="00E02B5D" w:rsidRDefault="00356CBA">
            <w:pPr>
              <w:spacing w:after="0" w:line="240" w:lineRule="auto"/>
              <w:rPr>
                <w:noProof/>
                <w:color w:val="006100"/>
                <w:sz w:val="18"/>
                <w:szCs w:val="18"/>
              </w:rPr>
            </w:pPr>
            <w:r>
              <w:rPr>
                <w:noProof/>
                <w:color w:val="006100"/>
                <w:sz w:val="18"/>
              </w:rPr>
              <w:t>Aruanne, milles kontrollitakse, kas kõik ehitusprojektid on täielikult lõpule viidud ja kasutajatele üle antud. </w:t>
            </w:r>
          </w:p>
          <w:p w14:paraId="0E7A5B0D" w14:textId="77777777" w:rsidR="00356CBA" w:rsidRPr="00AD4052" w:rsidRDefault="00356CBA">
            <w:pPr>
              <w:spacing w:after="0" w:line="240" w:lineRule="auto"/>
              <w:rPr>
                <w:rFonts w:cs="Calibri"/>
                <w:noProof/>
                <w:color w:val="006100"/>
                <w:sz w:val="18"/>
                <w:szCs w:val="18"/>
              </w:rPr>
            </w:pPr>
          </w:p>
          <w:p w14:paraId="0703C77C" w14:textId="77777777" w:rsidR="00356CBA" w:rsidRPr="00E02B5D" w:rsidRDefault="00356CBA">
            <w:pPr>
              <w:spacing w:after="0" w:line="240" w:lineRule="auto"/>
              <w:rPr>
                <w:noProof/>
                <w:color w:val="006100"/>
                <w:sz w:val="18"/>
                <w:szCs w:val="18"/>
              </w:rPr>
            </w:pPr>
            <w:r>
              <w:rPr>
                <w:noProof/>
                <w:color w:val="006100"/>
                <w:sz w:val="18"/>
              </w:rPr>
              <w:t>E-identimise platvormi täieliku kasutuselevõtmise ja toimimise kinnitus.</w:t>
            </w:r>
          </w:p>
          <w:p w14:paraId="370897A5" w14:textId="77777777" w:rsidR="00356CBA" w:rsidRPr="00E02B5D" w:rsidRDefault="00356CBA">
            <w:pPr>
              <w:spacing w:after="0" w:line="240" w:lineRule="auto"/>
              <w:rPr>
                <w:rFonts w:cs="Calibri"/>
                <w:noProof/>
                <w:color w:val="006100"/>
                <w:sz w:val="18"/>
                <w:szCs w:val="18"/>
                <w:lang w:val="en-GB"/>
              </w:rPr>
            </w:pPr>
          </w:p>
        </w:tc>
        <w:tc>
          <w:tcPr>
            <w:tcW w:w="1221" w:type="dxa"/>
            <w:tcBorders>
              <w:top w:val="single" w:sz="4" w:space="0" w:color="auto"/>
              <w:left w:val="nil"/>
              <w:bottom w:val="single" w:sz="4" w:space="0" w:color="auto"/>
              <w:right w:val="single" w:sz="4" w:space="0" w:color="auto"/>
            </w:tcBorders>
            <w:shd w:val="clear" w:color="auto" w:fill="C6EFCE"/>
            <w:noWrap/>
          </w:tcPr>
          <w:p w14:paraId="5FAE663D"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40950F12"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3170085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31FDEE64"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56" w:type="dxa"/>
            <w:tcBorders>
              <w:top w:val="single" w:sz="4" w:space="0" w:color="auto"/>
              <w:left w:val="nil"/>
              <w:bottom w:val="single" w:sz="4" w:space="0" w:color="auto"/>
              <w:right w:val="single" w:sz="4" w:space="0" w:color="auto"/>
            </w:tcBorders>
            <w:shd w:val="clear" w:color="auto" w:fill="C6EFCE"/>
            <w:noWrap/>
          </w:tcPr>
          <w:p w14:paraId="75AF4FE9" w14:textId="77777777" w:rsidR="00356CBA" w:rsidRPr="00E02B5D" w:rsidRDefault="00356CBA">
            <w:pPr>
              <w:spacing w:after="0" w:line="240" w:lineRule="auto"/>
              <w:rPr>
                <w:rFonts w:eastAsia="Times New Roman"/>
                <w:noProof/>
                <w:color w:val="006100"/>
                <w:sz w:val="18"/>
                <w:szCs w:val="18"/>
              </w:rPr>
            </w:pPr>
            <w:r>
              <w:rPr>
                <w:noProof/>
                <w:color w:val="006100"/>
                <w:sz w:val="18"/>
              </w:rPr>
              <w:t>2025</w:t>
            </w:r>
          </w:p>
        </w:tc>
        <w:tc>
          <w:tcPr>
            <w:tcW w:w="3866" w:type="dxa"/>
            <w:tcBorders>
              <w:top w:val="single" w:sz="4" w:space="0" w:color="auto"/>
              <w:left w:val="nil"/>
              <w:bottom w:val="single" w:sz="4" w:space="0" w:color="auto"/>
              <w:right w:val="single" w:sz="4" w:space="0" w:color="auto"/>
            </w:tcBorders>
            <w:shd w:val="clear" w:color="auto" w:fill="C6EFCE"/>
            <w:noWrap/>
          </w:tcPr>
          <w:p w14:paraId="619998D3" w14:textId="77777777" w:rsidR="00356CBA" w:rsidRPr="00E02B5D" w:rsidRDefault="00356CBA">
            <w:pPr>
              <w:spacing w:before="120" w:after="0" w:line="240" w:lineRule="auto"/>
              <w:jc w:val="both"/>
              <w:rPr>
                <w:noProof/>
                <w:color w:val="006100"/>
                <w:sz w:val="18"/>
                <w:szCs w:val="18"/>
              </w:rPr>
            </w:pPr>
            <w:r>
              <w:rPr>
                <w:noProof/>
                <w:color w:val="006100"/>
                <w:sz w:val="18"/>
              </w:rPr>
              <w:t xml:space="preserve">Kõigi ülejäänud uute hoonete valmimine ja renoveerimine, mis käivitati 2023. aasta esimeses kvartalis kooskõlas kohtusüsteemi läbivaadatud kaardi vajadustega. </w:t>
            </w:r>
          </w:p>
          <w:p w14:paraId="5C88C82B" w14:textId="77777777" w:rsidR="00356CBA" w:rsidRPr="00E02B5D" w:rsidRDefault="00356CBA">
            <w:pPr>
              <w:spacing w:before="120" w:after="0" w:line="240" w:lineRule="auto"/>
              <w:jc w:val="both"/>
              <w:rPr>
                <w:b/>
                <w:bCs/>
                <w:noProof/>
                <w:color w:val="006100"/>
                <w:sz w:val="18"/>
                <w:szCs w:val="18"/>
              </w:rPr>
            </w:pPr>
            <w:r>
              <w:rPr>
                <w:noProof/>
                <w:color w:val="006100"/>
                <w:sz w:val="18"/>
              </w:rPr>
              <w:t xml:space="preserve">Kohtuhoonete e-identimise platvormi lõpuleviimine ja täielik veebipõhine kasutuselevõtt </w:t>
            </w:r>
          </w:p>
        </w:tc>
      </w:tr>
      <w:tr w:rsidR="00356CBA" w:rsidRPr="003B132A" w14:paraId="664B706A" w14:textId="77777777" w:rsidTr="005D5392">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A60DB4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238</w:t>
            </w:r>
          </w:p>
        </w:tc>
        <w:tc>
          <w:tcPr>
            <w:tcW w:w="1767" w:type="dxa"/>
            <w:tcBorders>
              <w:top w:val="single" w:sz="4" w:space="0" w:color="auto"/>
              <w:left w:val="nil"/>
              <w:bottom w:val="single" w:sz="4" w:space="0" w:color="auto"/>
              <w:right w:val="single" w:sz="4" w:space="0" w:color="auto"/>
            </w:tcBorders>
            <w:shd w:val="clear" w:color="auto" w:fill="C6EFCE"/>
            <w:noWrap/>
          </w:tcPr>
          <w:p w14:paraId="60C81E22"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16575 Õigusmõistmise kiirendamine</w:t>
            </w:r>
          </w:p>
        </w:tc>
        <w:tc>
          <w:tcPr>
            <w:tcW w:w="1424" w:type="dxa"/>
            <w:tcBorders>
              <w:top w:val="single" w:sz="4" w:space="0" w:color="auto"/>
              <w:left w:val="nil"/>
              <w:bottom w:val="single" w:sz="4" w:space="0" w:color="auto"/>
              <w:right w:val="single" w:sz="4" w:space="0" w:color="auto"/>
            </w:tcBorders>
            <w:shd w:val="clear" w:color="auto" w:fill="C6EFCE"/>
            <w:noWrap/>
          </w:tcPr>
          <w:p w14:paraId="7838F02A"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single" w:sz="4" w:space="0" w:color="auto"/>
              <w:left w:val="nil"/>
              <w:bottom w:val="single" w:sz="4" w:space="0" w:color="auto"/>
              <w:right w:val="single" w:sz="4" w:space="0" w:color="auto"/>
            </w:tcBorders>
            <w:shd w:val="clear" w:color="auto" w:fill="C6EFCE"/>
            <w:noWrap/>
          </w:tcPr>
          <w:p w14:paraId="3B627817" w14:textId="77777777" w:rsidR="00356CBA" w:rsidRPr="00E02B5D" w:rsidRDefault="00356CBA">
            <w:pPr>
              <w:spacing w:after="0" w:line="240" w:lineRule="auto"/>
              <w:rPr>
                <w:rFonts w:eastAsia="Times New Roman"/>
                <w:noProof/>
                <w:color w:val="006100"/>
                <w:sz w:val="18"/>
                <w:szCs w:val="18"/>
              </w:rPr>
            </w:pPr>
            <w:r>
              <w:rPr>
                <w:noProof/>
                <w:color w:val="006100"/>
                <w:sz w:val="18"/>
              </w:rPr>
              <w:t>Kohtukaardi läbivaatamine – täielik rakendamine</w:t>
            </w:r>
          </w:p>
        </w:tc>
        <w:tc>
          <w:tcPr>
            <w:tcW w:w="2061" w:type="dxa"/>
            <w:tcBorders>
              <w:top w:val="single" w:sz="4" w:space="0" w:color="auto"/>
              <w:left w:val="nil"/>
              <w:bottom w:val="single" w:sz="4" w:space="0" w:color="auto"/>
              <w:right w:val="single" w:sz="4" w:space="0" w:color="auto"/>
            </w:tcBorders>
            <w:shd w:val="clear" w:color="auto" w:fill="C6EFCE"/>
            <w:noWrap/>
          </w:tcPr>
          <w:p w14:paraId="4BA5D582" w14:textId="77777777" w:rsidR="00356CBA" w:rsidRPr="00E02B5D" w:rsidRDefault="00356CBA">
            <w:pPr>
              <w:spacing w:after="0" w:line="240" w:lineRule="auto"/>
              <w:rPr>
                <w:noProof/>
                <w:color w:val="006100"/>
                <w:sz w:val="18"/>
                <w:szCs w:val="18"/>
              </w:rPr>
            </w:pPr>
            <w:r>
              <w:rPr>
                <w:noProof/>
                <w:color w:val="006100"/>
                <w:sz w:val="18"/>
              </w:rPr>
              <w:t>Eduaruanne, mis kinnitab kõigi reformitud üksuste tegevuse alustamist ja toimimist ametlike dokumentide alusel.</w:t>
            </w:r>
          </w:p>
        </w:tc>
        <w:tc>
          <w:tcPr>
            <w:tcW w:w="1221" w:type="dxa"/>
            <w:tcBorders>
              <w:top w:val="single" w:sz="4" w:space="0" w:color="auto"/>
              <w:left w:val="nil"/>
              <w:bottom w:val="single" w:sz="4" w:space="0" w:color="auto"/>
              <w:right w:val="single" w:sz="4" w:space="0" w:color="auto"/>
            </w:tcBorders>
            <w:shd w:val="clear" w:color="auto" w:fill="C6EFCE"/>
            <w:noWrap/>
          </w:tcPr>
          <w:p w14:paraId="33FCBD2F"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01F28F91"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517A58D5"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5DAED532"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56" w:type="dxa"/>
            <w:tcBorders>
              <w:top w:val="single" w:sz="4" w:space="0" w:color="auto"/>
              <w:left w:val="nil"/>
              <w:bottom w:val="single" w:sz="4" w:space="0" w:color="auto"/>
              <w:right w:val="single" w:sz="4" w:space="0" w:color="auto"/>
            </w:tcBorders>
            <w:shd w:val="clear" w:color="auto" w:fill="C6EFCE"/>
            <w:noWrap/>
          </w:tcPr>
          <w:p w14:paraId="1735CCA3" w14:textId="77777777" w:rsidR="00356CBA" w:rsidRPr="00E02B5D" w:rsidRDefault="00356CBA">
            <w:pPr>
              <w:spacing w:after="0" w:line="240" w:lineRule="auto"/>
              <w:rPr>
                <w:rFonts w:eastAsia="Times New Roman"/>
                <w:noProof/>
                <w:color w:val="006100"/>
                <w:sz w:val="18"/>
                <w:szCs w:val="18"/>
              </w:rPr>
            </w:pPr>
            <w:r>
              <w:rPr>
                <w:noProof/>
                <w:color w:val="006100"/>
                <w:sz w:val="18"/>
              </w:rPr>
              <w:t>2025</w:t>
            </w:r>
          </w:p>
        </w:tc>
        <w:tc>
          <w:tcPr>
            <w:tcW w:w="3866" w:type="dxa"/>
            <w:tcBorders>
              <w:top w:val="single" w:sz="4" w:space="0" w:color="auto"/>
              <w:left w:val="nil"/>
              <w:bottom w:val="single" w:sz="4" w:space="0" w:color="auto"/>
              <w:right w:val="single" w:sz="4" w:space="0" w:color="auto"/>
            </w:tcBorders>
            <w:shd w:val="clear" w:color="auto" w:fill="C6EFCE"/>
            <w:noWrap/>
          </w:tcPr>
          <w:p w14:paraId="05F84B28" w14:textId="77777777" w:rsidR="00356CBA" w:rsidRPr="00E02B5D" w:rsidRDefault="00356CBA">
            <w:pPr>
              <w:spacing w:after="0" w:line="240" w:lineRule="auto"/>
              <w:rPr>
                <w:noProof/>
                <w:color w:val="006100"/>
                <w:sz w:val="18"/>
                <w:szCs w:val="18"/>
              </w:rPr>
            </w:pPr>
            <w:r>
              <w:rPr>
                <w:noProof/>
                <w:color w:val="006100"/>
                <w:sz w:val="18"/>
              </w:rPr>
              <w:t>Kohtukaardi läbivaatamine</w:t>
            </w:r>
          </w:p>
          <w:p w14:paraId="2167EB04" w14:textId="77777777" w:rsidR="00356CBA" w:rsidRPr="00E02B5D" w:rsidRDefault="00356CBA">
            <w:pPr>
              <w:spacing w:after="0" w:line="240" w:lineRule="auto"/>
              <w:rPr>
                <w:noProof/>
                <w:color w:val="006100"/>
                <w:sz w:val="18"/>
                <w:szCs w:val="18"/>
              </w:rPr>
            </w:pPr>
            <w:r>
              <w:rPr>
                <w:noProof/>
                <w:color w:val="006100"/>
                <w:sz w:val="18"/>
              </w:rPr>
              <w:t xml:space="preserve">Iga haldus-, tsiviil- ja kriminaalõiguse valdkonna kohtute kaartide täielik rakendamine või läbivaatamine, mida tõendavad vastavate kohtute asutuste ametlikud avaldused, mis kinnitavad reformitud üksuste toimimist ja funktsionaalsust. </w:t>
            </w:r>
          </w:p>
          <w:p w14:paraId="2AAFB5BF" w14:textId="77777777" w:rsidR="00356CBA" w:rsidRPr="00E02B5D" w:rsidRDefault="00356CBA" w:rsidP="00D16F13">
            <w:pPr>
              <w:spacing w:after="0" w:line="240" w:lineRule="auto"/>
              <w:rPr>
                <w:noProof/>
                <w:color w:val="006100"/>
                <w:sz w:val="18"/>
                <w:szCs w:val="18"/>
              </w:rPr>
            </w:pPr>
            <w:r>
              <w:rPr>
                <w:noProof/>
                <w:color w:val="006100"/>
                <w:sz w:val="18"/>
              </w:rPr>
              <w:t xml:space="preserve">Vahendusalase koolituse läbimine programmis osalevatele õigusnõustajatele ja/või vahendajatele konkursikutse kaudu.  </w:t>
            </w:r>
          </w:p>
          <w:p w14:paraId="31DC2A31" w14:textId="77777777" w:rsidR="00356CBA" w:rsidRPr="00E02B5D" w:rsidRDefault="00356CBA">
            <w:pPr>
              <w:spacing w:after="0" w:line="240" w:lineRule="auto"/>
              <w:rPr>
                <w:rFonts w:cs="Calibri"/>
                <w:b/>
                <w:noProof/>
                <w:color w:val="006100"/>
                <w:sz w:val="18"/>
                <w:szCs w:val="18"/>
              </w:rPr>
            </w:pPr>
            <w:r>
              <w:rPr>
                <w:noProof/>
                <w:color w:val="006100"/>
                <w:sz w:val="18"/>
              </w:rPr>
              <w:t>Kõigi valitud vahendus- ja vahekohtukeskuste jaoks kasutajasõbralike digisüsteemide loomiseks tehtud väljamaksete lõpuleviimine.</w:t>
            </w:r>
          </w:p>
        </w:tc>
      </w:tr>
      <w:tr w:rsidR="00356CBA" w:rsidRPr="003B132A" w14:paraId="54F3E09C" w14:textId="77777777" w:rsidTr="005D5392">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72491C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239</w:t>
            </w:r>
          </w:p>
        </w:tc>
        <w:tc>
          <w:tcPr>
            <w:tcW w:w="1767" w:type="dxa"/>
            <w:tcBorders>
              <w:top w:val="single" w:sz="4" w:space="0" w:color="auto"/>
              <w:left w:val="nil"/>
              <w:bottom w:val="single" w:sz="4" w:space="0" w:color="auto"/>
              <w:right w:val="single" w:sz="4" w:space="0" w:color="auto"/>
            </w:tcBorders>
            <w:shd w:val="clear" w:color="auto" w:fill="C6EFCE"/>
            <w:noWrap/>
          </w:tcPr>
          <w:p w14:paraId="50FAA357" w14:textId="77777777" w:rsidR="00356CBA" w:rsidRPr="00E02B5D" w:rsidRDefault="00356CBA">
            <w:pPr>
              <w:spacing w:after="0" w:line="240" w:lineRule="auto"/>
              <w:rPr>
                <w:rFonts w:eastAsia="Times New Roman"/>
                <w:noProof/>
                <w:color w:val="006100"/>
                <w:sz w:val="18"/>
                <w:szCs w:val="18"/>
              </w:rPr>
            </w:pPr>
            <w:r>
              <w:rPr>
                <w:noProof/>
                <w:color w:val="006100"/>
                <w:sz w:val="18"/>
              </w:rPr>
              <w:t>14-4.3. Kohtusüsteemi tõhususe parandamine – 16727_Õiguse digitaalne ümberkujundamine (e-õiguskeskkond)</w:t>
            </w:r>
          </w:p>
        </w:tc>
        <w:tc>
          <w:tcPr>
            <w:tcW w:w="1424" w:type="dxa"/>
            <w:tcBorders>
              <w:top w:val="single" w:sz="4" w:space="0" w:color="auto"/>
              <w:left w:val="nil"/>
              <w:bottom w:val="single" w:sz="4" w:space="0" w:color="auto"/>
              <w:right w:val="single" w:sz="4" w:space="0" w:color="auto"/>
            </w:tcBorders>
            <w:shd w:val="clear" w:color="auto" w:fill="C6EFCE"/>
            <w:noWrap/>
          </w:tcPr>
          <w:p w14:paraId="3A59253C"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609" w:type="dxa"/>
            <w:tcBorders>
              <w:top w:val="single" w:sz="4" w:space="0" w:color="auto"/>
              <w:left w:val="nil"/>
              <w:bottom w:val="single" w:sz="4" w:space="0" w:color="auto"/>
              <w:right w:val="single" w:sz="4" w:space="0" w:color="auto"/>
            </w:tcBorders>
            <w:shd w:val="clear" w:color="auto" w:fill="C6EFCE"/>
            <w:noWrap/>
          </w:tcPr>
          <w:p w14:paraId="08F64677" w14:textId="77777777" w:rsidR="00356CBA" w:rsidRPr="00E02B5D" w:rsidRDefault="00356CBA">
            <w:pPr>
              <w:spacing w:after="0" w:line="240" w:lineRule="auto"/>
              <w:rPr>
                <w:rFonts w:eastAsia="Times New Roman"/>
                <w:noProof/>
                <w:color w:val="006100"/>
                <w:sz w:val="18"/>
                <w:szCs w:val="18"/>
              </w:rPr>
            </w:pPr>
            <w:r>
              <w:rPr>
                <w:noProof/>
                <w:color w:val="006100"/>
                <w:sz w:val="18"/>
              </w:rPr>
              <w:t>Andmete säilitamine ja IT-uuendused</w:t>
            </w:r>
          </w:p>
        </w:tc>
        <w:tc>
          <w:tcPr>
            <w:tcW w:w="2061" w:type="dxa"/>
            <w:tcBorders>
              <w:top w:val="single" w:sz="4" w:space="0" w:color="auto"/>
              <w:left w:val="nil"/>
              <w:bottom w:val="single" w:sz="4" w:space="0" w:color="auto"/>
              <w:right w:val="single" w:sz="4" w:space="0" w:color="auto"/>
            </w:tcBorders>
            <w:shd w:val="clear" w:color="auto" w:fill="C6EFCE"/>
            <w:noWrap/>
          </w:tcPr>
          <w:p w14:paraId="6AFA0AA3" w14:textId="77777777" w:rsidR="00356CBA" w:rsidRPr="00E02B5D" w:rsidRDefault="00356CBA">
            <w:pPr>
              <w:spacing w:after="0" w:line="240" w:lineRule="auto"/>
              <w:rPr>
                <w:noProof/>
                <w:color w:val="006100"/>
                <w:sz w:val="18"/>
                <w:szCs w:val="18"/>
              </w:rPr>
            </w:pPr>
            <w:r>
              <w:rPr>
                <w:noProof/>
                <w:color w:val="006100"/>
                <w:sz w:val="18"/>
              </w:rPr>
              <w:t>Andmete salvestamise audiosüsteemid toimivad täielikult kõikides tsiviil- ja kriminaalkohtutes.</w:t>
            </w:r>
          </w:p>
          <w:p w14:paraId="1576ED07" w14:textId="77777777" w:rsidR="00356CBA" w:rsidRPr="00AD4052" w:rsidRDefault="00356CBA">
            <w:pPr>
              <w:spacing w:after="0" w:line="240" w:lineRule="auto"/>
              <w:rPr>
                <w:rFonts w:cs="Calibri"/>
                <w:noProof/>
                <w:color w:val="006100"/>
                <w:sz w:val="18"/>
                <w:szCs w:val="18"/>
              </w:rPr>
            </w:pPr>
          </w:p>
          <w:p w14:paraId="0E6FE8E8" w14:textId="77777777" w:rsidR="00356CBA" w:rsidRPr="00E02B5D" w:rsidRDefault="00356CBA">
            <w:pPr>
              <w:spacing w:after="0" w:line="240" w:lineRule="auto"/>
              <w:rPr>
                <w:rFonts w:cs="Calibri"/>
                <w:noProof/>
                <w:color w:val="006100"/>
                <w:sz w:val="18"/>
                <w:szCs w:val="18"/>
              </w:rPr>
            </w:pPr>
            <w:r>
              <w:rPr>
                <w:noProof/>
                <w:color w:val="006100"/>
                <w:sz w:val="18"/>
              </w:rPr>
              <w:t>OSDDY-PP II etapp, OSDDY-DD, täielikult rakendatud, ellu viidud ja toimivad kontrollikoja ja riikliku karistusregistri projektid.</w:t>
            </w:r>
          </w:p>
        </w:tc>
        <w:tc>
          <w:tcPr>
            <w:tcW w:w="1221" w:type="dxa"/>
            <w:tcBorders>
              <w:top w:val="single" w:sz="4" w:space="0" w:color="auto"/>
              <w:left w:val="nil"/>
              <w:bottom w:val="single" w:sz="4" w:space="0" w:color="auto"/>
              <w:right w:val="single" w:sz="4" w:space="0" w:color="auto"/>
            </w:tcBorders>
            <w:shd w:val="clear" w:color="auto" w:fill="C6EFCE"/>
            <w:noWrap/>
          </w:tcPr>
          <w:p w14:paraId="7646CB11" w14:textId="77777777" w:rsidR="00356CBA" w:rsidRPr="00AD4052" w:rsidRDefault="00356CBA">
            <w:pPr>
              <w:spacing w:after="0" w:line="240" w:lineRule="auto"/>
              <w:rPr>
                <w:rFonts w:eastAsia="Times New Roman"/>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14E953A0" w14:textId="77777777" w:rsidR="00356CBA" w:rsidRPr="00AD4052" w:rsidRDefault="00356CBA">
            <w:pPr>
              <w:spacing w:after="0" w:line="240" w:lineRule="auto"/>
              <w:rPr>
                <w:rFonts w:eastAsia="Times New Roman"/>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5639CBC2" w14:textId="77777777" w:rsidR="00356CBA" w:rsidRPr="00AD4052" w:rsidRDefault="00356CBA">
            <w:pPr>
              <w:spacing w:after="0" w:line="240" w:lineRule="auto"/>
              <w:rPr>
                <w:rFonts w:eastAsia="Times New Roman"/>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14:paraId="024AB8E2"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56" w:type="dxa"/>
            <w:tcBorders>
              <w:top w:val="single" w:sz="4" w:space="0" w:color="auto"/>
              <w:left w:val="nil"/>
              <w:bottom w:val="single" w:sz="4" w:space="0" w:color="auto"/>
              <w:right w:val="single" w:sz="4" w:space="0" w:color="auto"/>
            </w:tcBorders>
            <w:shd w:val="clear" w:color="auto" w:fill="C6EFCE"/>
            <w:noWrap/>
          </w:tcPr>
          <w:p w14:paraId="07A35CB2" w14:textId="77777777" w:rsidR="00356CBA" w:rsidRPr="00E02B5D" w:rsidRDefault="00356CBA">
            <w:pPr>
              <w:spacing w:after="0" w:line="240" w:lineRule="auto"/>
              <w:rPr>
                <w:rFonts w:eastAsia="Times New Roman"/>
                <w:noProof/>
                <w:color w:val="006100"/>
                <w:sz w:val="18"/>
                <w:szCs w:val="18"/>
              </w:rPr>
            </w:pPr>
            <w:r>
              <w:rPr>
                <w:noProof/>
                <w:color w:val="006100"/>
                <w:sz w:val="18"/>
              </w:rPr>
              <w:t>2025</w:t>
            </w:r>
          </w:p>
        </w:tc>
        <w:tc>
          <w:tcPr>
            <w:tcW w:w="3866" w:type="dxa"/>
            <w:tcBorders>
              <w:top w:val="single" w:sz="4" w:space="0" w:color="auto"/>
              <w:left w:val="nil"/>
              <w:bottom w:val="single" w:sz="4" w:space="0" w:color="auto"/>
              <w:right w:val="single" w:sz="4" w:space="0" w:color="auto"/>
            </w:tcBorders>
            <w:shd w:val="clear" w:color="auto" w:fill="C6EFCE"/>
            <w:noWrap/>
          </w:tcPr>
          <w:p w14:paraId="2127BAB0" w14:textId="77777777" w:rsidR="00356CBA" w:rsidRPr="00E02B5D" w:rsidRDefault="00356CBA">
            <w:pPr>
              <w:spacing w:after="0" w:line="240" w:lineRule="auto"/>
              <w:rPr>
                <w:noProof/>
                <w:color w:val="006100"/>
                <w:sz w:val="18"/>
                <w:szCs w:val="18"/>
              </w:rPr>
            </w:pPr>
            <w:r>
              <w:rPr>
                <w:noProof/>
                <w:color w:val="006100"/>
                <w:sz w:val="18"/>
              </w:rPr>
              <w:t xml:space="preserve">E-õiguskeskkond: Tulemuste heakskiitmine seoses kohtusüsteemi IT-süsteemide täiustamise ja laiendamisega järgmistes valdkondades: </w:t>
            </w:r>
          </w:p>
          <w:p w14:paraId="0C31A7E1" w14:textId="77777777" w:rsidR="00356CBA" w:rsidRPr="00E02B5D" w:rsidRDefault="00356CBA" w:rsidP="00DE1EE5">
            <w:pPr>
              <w:numPr>
                <w:ilvl w:val="0"/>
                <w:numId w:val="26"/>
              </w:numPr>
              <w:spacing w:before="120" w:after="0" w:line="240" w:lineRule="auto"/>
              <w:ind w:left="314"/>
              <w:jc w:val="both"/>
              <w:rPr>
                <w:noProof/>
                <w:color w:val="006100"/>
                <w:sz w:val="18"/>
                <w:szCs w:val="18"/>
              </w:rPr>
            </w:pPr>
            <w:r>
              <w:rPr>
                <w:noProof/>
                <w:color w:val="006100"/>
                <w:sz w:val="18"/>
              </w:rPr>
              <w:t>Kohtute registripidamise süsteemi ajakohastamine.</w:t>
            </w:r>
          </w:p>
          <w:p w14:paraId="680224EF" w14:textId="77777777" w:rsidR="00356CBA" w:rsidRPr="00E02B5D" w:rsidRDefault="00356CBA" w:rsidP="00DE1EE5">
            <w:pPr>
              <w:numPr>
                <w:ilvl w:val="0"/>
                <w:numId w:val="26"/>
              </w:numPr>
              <w:spacing w:before="120" w:after="0" w:line="259" w:lineRule="auto"/>
              <w:ind w:left="314"/>
              <w:contextualSpacing/>
              <w:jc w:val="both"/>
              <w:rPr>
                <w:noProof/>
                <w:color w:val="006100"/>
                <w:sz w:val="18"/>
                <w:szCs w:val="18"/>
              </w:rPr>
            </w:pPr>
            <w:r>
              <w:rPr>
                <w:noProof/>
                <w:color w:val="006100"/>
                <w:sz w:val="18"/>
              </w:rPr>
              <w:t>Õigussektori IT-süsteemide ajakohastamine ja toetamine tsiviil- ja kriminaalkohtute, auditikohtute ja riiklike karistusregistrite jaoks.</w:t>
            </w:r>
          </w:p>
          <w:p w14:paraId="354FE43E" w14:textId="77777777" w:rsidR="00356CBA" w:rsidRPr="00E02B5D" w:rsidRDefault="00356CBA">
            <w:pPr>
              <w:spacing w:after="0" w:line="240" w:lineRule="auto"/>
              <w:rPr>
                <w:rFonts w:eastAsia="Times New Roman"/>
                <w:noProof/>
                <w:color w:val="006100"/>
                <w:sz w:val="18"/>
                <w:szCs w:val="18"/>
              </w:rPr>
            </w:pPr>
            <w:r>
              <w:rPr>
                <w:noProof/>
                <w:color w:val="006100"/>
                <w:sz w:val="18"/>
              </w:rPr>
              <w:t>Kohtute registrisüsteemi ajakohastamine - Kohtute registripidamise süsteemi ajakohastamine – Tsiviil- ja kriminaalkohtute integreeritud kohtuasjade haldamise süsteemi (OSDDY-PP A) ajakohastamine ja tugiteenused ning süsteemi kasutuselevõtmine kõigisse riigi tsiviil- ja kriminaalkohtutesse (OSDDY-PP B).  - Riikliku karistusregistri süsteemi (NCRI) ajakohastamis- ja tugiteenused – Kreeka kontrollikoja kohtuasjade haldamise süsteemi (ELSYN) ajakohastamis- ja tugiteenused</w:t>
            </w:r>
          </w:p>
        </w:tc>
      </w:tr>
    </w:tbl>
    <w:p w14:paraId="3AC882BD" w14:textId="77777777" w:rsidR="00356CBA" w:rsidRPr="00AD4052" w:rsidRDefault="00356CBA" w:rsidP="00DC13C5">
      <w:pPr>
        <w:spacing w:before="120" w:after="120" w:line="240" w:lineRule="auto"/>
        <w:jc w:val="both"/>
        <w:rPr>
          <w:rFonts w:ascii="Times New Roman" w:hAnsi="Times New Roman" w:cs="Times New Roman"/>
          <w:noProof/>
          <w:sz w:val="24"/>
        </w:rPr>
        <w:sectPr w:rsidR="00356CBA" w:rsidRPr="00AD4052" w:rsidSect="0030238F">
          <w:headerReference w:type="even" r:id="rId296"/>
          <w:headerReference w:type="default" r:id="rId297"/>
          <w:footerReference w:type="even" r:id="rId298"/>
          <w:footerReference w:type="default" r:id="rId299"/>
          <w:headerReference w:type="first" r:id="rId300"/>
          <w:footerReference w:type="first" r:id="rId301"/>
          <w:pgSz w:w="16839" w:h="11907" w:orient="landscape"/>
          <w:pgMar w:top="720" w:right="720" w:bottom="720" w:left="720" w:header="709" w:footer="212" w:gutter="0"/>
          <w:cols w:space="720"/>
          <w:docGrid w:linePitch="360"/>
        </w:sectPr>
      </w:pPr>
    </w:p>
    <w:p w14:paraId="394C5052" w14:textId="77777777" w:rsidR="00356CBA" w:rsidRPr="00E02B5D" w:rsidRDefault="00356CBA"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O. KOMPONENT 4.4. FINANTSSEKTORI JA KAPITALITURGUDE TUGEVDAMINE</w:t>
      </w:r>
    </w:p>
    <w:p w14:paraId="3FB2347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selle osa eesmärk on tugevdada finantssüsteemi suutlikkust toetada majanduse arengut, rahastades ettevõtteid ja üksikisikuid uute tegevuste arendamiseks. See toetab Kreeka pangandussektoris viivisnõuete ja viivislaenude suure osakaalu käsitlemist, parandades samal ajal ka juurdepääsu teabele turul tegutsevate äriühingute ja üksikisikute krediidiprofiilide kohta. </w:t>
      </w:r>
    </w:p>
    <w:p w14:paraId="329317BD"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Rahastamisvahendiga toetatakse ka erasektori võlakoormuse vähendamist ja kapitaliturgude tugevdamist. Struktuurimuutused nendes kahes valdkonnas aitavad kaasa majanduskasvule ja suurendavad Kreeka majanduslikku vastupanuvõimet tulevaste šokkide suhtes. </w:t>
      </w:r>
    </w:p>
    <w:p w14:paraId="50028015"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Selle komponendi raames teostatavad reformid hõlmavad järgmist: </w:t>
      </w:r>
    </w:p>
    <w:p w14:paraId="0AF877FB" w14:textId="77777777" w:rsidR="00356CBA" w:rsidRPr="00E02B5D" w:rsidRDefault="00356CBA" w:rsidP="00DE1EE5">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Tõhusam kapitaliturgude järelevalve ja usaldusväärsus; </w:t>
      </w:r>
    </w:p>
    <w:p w14:paraId="791F7D32" w14:textId="77777777" w:rsidR="00356CBA" w:rsidRPr="00E02B5D" w:rsidRDefault="00356CBA" w:rsidP="00DE1EE5">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Finantssüsteemi suutlikkuse suurendamine, et tulla toime varasemate probleemidega ja rahastada reaalmajandust; </w:t>
      </w:r>
    </w:p>
    <w:p w14:paraId="4812DD07" w14:textId="77777777" w:rsidR="00356CBA" w:rsidRPr="00E02B5D" w:rsidRDefault="00356CBA" w:rsidP="00DE1EE5">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Võla ja 2. võimaluse restruktureerimise uue ühtse maksejõuetusraamistiku rakendamiseks vajaliku digitaalse taristu ajakohastamine; </w:t>
      </w:r>
    </w:p>
    <w:p w14:paraId="16B624B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Mõned neist reformidest hõlmavad meetmeid, millega kõrvaldatakse teabelüngad, mis takistavad edukat krediidivoogu ja tõhusat riskiseiret. Need hõlmavad erasektori võla seireregistri, riikliku krediidibüroo, keskse krediidiregistri ja krediidi laienemise vaatluskeskuse arendamist. Need meetmed aitavad kaasa ka Kreeka majanduse digiüleminekule, kuna need põhinevad infotehnoloogial. </w:t>
      </w:r>
    </w:p>
    <w:p w14:paraId="64AC66A3"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Selle komponendi raames võetavad meetmed suurendavad majanduslikku ja institutsioonilist vastupanuvõimet, tugevdavad kriisiks valmisolekut ja institutsioonilist suutlikkust ning seega toetavad riigipõhise soovituse „Struktuurireformid majanduse toimimise parandamiseks“ (riigipõhine soovitus 1/2019 ja riigipõhine soovitus 4/2020) elluviimist.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44EA5E58" w14:textId="77777777" w:rsidR="00356CBA" w:rsidRPr="00E02B5D" w:rsidRDefault="00356CBA" w:rsidP="00645BC7">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O.1. </w:t>
      </w:r>
      <w:r>
        <w:rPr>
          <w:noProof/>
        </w:rPr>
        <w:tab/>
      </w:r>
      <w:r>
        <w:rPr>
          <w:rFonts w:ascii="Times New Roman" w:hAnsi="Times New Roman"/>
          <w:b/>
          <w:noProof/>
          <w:sz w:val="24"/>
          <w:u w:val="single"/>
        </w:rPr>
        <w:t>Tagastamatu rahalise toetusega seotud reformide ja investeeringute kirjeldus</w:t>
      </w:r>
    </w:p>
    <w:p w14:paraId="6E323BB8"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Kapitalituru tõhustatud järelevalve ja usaldusväärsus (meetme ID 16581)</w:t>
      </w:r>
    </w:p>
    <w:p w14:paraId="1829F550"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tõhustada kapitaliturgude järelevalvet, 1) investeerides Kreeka kapitaliturgude komisjoni digitaalsesse ümberkujundamisse ja digiteerides selle siseprotsesse ja -korraldust ning 2) kodifitseerides ja ajakohastades kapitaliturgude regulatiivset ja õigusraamistikku, et suurendada kapitaliturgude järelevalvesuutlikkust. Reform jõustub 2021. aasta esimeseks kvartaliks ja investeering IT-süsteemi 31. detsembriks 2025.</w:t>
      </w:r>
    </w:p>
    <w:p w14:paraId="1CB4AE18"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Finantssüsteemi suutlikkuse suurendamine, et lahendada varasemaid probleeme ja rahastada reaalmajandust (meetme ID 16957)</w:t>
      </w:r>
    </w:p>
    <w:p w14:paraId="5A8792C1" w14:textId="77777777" w:rsidR="00356CBA" w:rsidRPr="00E02B5D" w:rsidRDefault="00356CBA" w:rsidP="00D16F13">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Selle ulatusliku reformi eesmärk on vähendada erasektori võlakoormust, parandades maksejõuetusprotsessi ja võimestades viivislaenude turgu, ning ennetada tulevast erasektori võla suurenemist teabelünkade vähendamise kaudu.  Reform koosneb järgmistest osadest: </w:t>
      </w:r>
    </w:p>
    <w:p w14:paraId="1E15CD42" w14:textId="77777777" w:rsidR="00356CBA" w:rsidRPr="00E02B5D" w:rsidRDefault="00356CBA" w:rsidP="00DE1EE5">
      <w:pPr>
        <w:pStyle w:val="ListParagraph"/>
        <w:numPr>
          <w:ilvl w:val="0"/>
          <w:numId w:val="84"/>
        </w:numPr>
        <w:spacing w:before="120" w:after="240" w:line="240" w:lineRule="auto"/>
        <w:ind w:left="357" w:hanging="357"/>
        <w:contextualSpacing w:val="0"/>
        <w:jc w:val="both"/>
        <w:rPr>
          <w:rFonts w:ascii="Times New Roman" w:hAnsi="Times New Roman" w:cs="Times New Roman"/>
          <w:noProof/>
          <w:sz w:val="24"/>
        </w:rPr>
      </w:pPr>
      <w:r>
        <w:rPr>
          <w:rFonts w:ascii="Times New Roman" w:hAnsi="Times New Roman"/>
          <w:noProof/>
        </w:rPr>
        <w:t xml:space="preserve">Esiteks puudutab see e-enampakkumise protsessi parandamist ja </w:t>
      </w:r>
      <w:r>
        <w:rPr>
          <w:rFonts w:ascii="Times New Roman" w:hAnsi="Times New Roman"/>
          <w:b/>
          <w:noProof/>
        </w:rPr>
        <w:t>e-enampakkumise</w:t>
      </w:r>
      <w:r>
        <w:rPr>
          <w:rFonts w:ascii="Times New Roman" w:hAnsi="Times New Roman"/>
          <w:noProof/>
        </w:rPr>
        <w:t xml:space="preserve"> platvormil enampakkumisel müüdavate varade kohta kättesaadava teabe laiendamist.</w:t>
      </w:r>
      <w:r>
        <w:rPr>
          <w:rFonts w:ascii="Times New Roman" w:hAnsi="Times New Roman"/>
          <w:noProof/>
          <w:sz w:val="24"/>
        </w:rPr>
        <w:t xml:space="preserve"> </w:t>
      </w:r>
    </w:p>
    <w:p w14:paraId="457019F8" w14:textId="77777777" w:rsidR="00356CBA" w:rsidRPr="00E02B5D" w:rsidRDefault="00356CBA" w:rsidP="00DE1EE5">
      <w:pPr>
        <w:pStyle w:val="ListParagraph"/>
        <w:numPr>
          <w:ilvl w:val="0"/>
          <w:numId w:val="84"/>
        </w:numPr>
        <w:spacing w:before="120" w:line="240" w:lineRule="auto"/>
        <w:ind w:left="357" w:hanging="357"/>
        <w:contextualSpacing w:val="0"/>
        <w:jc w:val="both"/>
        <w:rPr>
          <w:rFonts w:ascii="Times New Roman" w:hAnsi="Times New Roman" w:cs="Times New Roman"/>
          <w:noProof/>
          <w:sz w:val="24"/>
        </w:rPr>
      </w:pPr>
      <w:r>
        <w:rPr>
          <w:rFonts w:ascii="Times New Roman" w:hAnsi="Times New Roman"/>
          <w:noProof/>
          <w:sz w:val="24"/>
        </w:rPr>
        <w:t xml:space="preserve">Teiseks puudutab see </w:t>
      </w:r>
      <w:r>
        <w:rPr>
          <w:rFonts w:ascii="Times New Roman" w:hAnsi="Times New Roman"/>
          <w:b/>
          <w:noProof/>
          <w:sz w:val="24"/>
        </w:rPr>
        <w:t>eravõla haldamise riiklikus strateegias</w:t>
      </w:r>
      <w:r>
        <w:rPr>
          <w:rFonts w:ascii="Times New Roman" w:hAnsi="Times New Roman"/>
          <w:noProof/>
          <w:sz w:val="24"/>
        </w:rPr>
        <w:t xml:space="preserve"> kavandatud poliitikameetmete lõpuleviimist, eelkõige järgmiste meetmete kaudu:</w:t>
      </w:r>
    </w:p>
    <w:p w14:paraId="78A11363" w14:textId="77777777" w:rsidR="00356CBA" w:rsidRPr="00E02B5D" w:rsidRDefault="00356CBA" w:rsidP="00DE1EE5">
      <w:pPr>
        <w:pStyle w:val="ListParagraph"/>
        <w:numPr>
          <w:ilvl w:val="1"/>
          <w:numId w:val="84"/>
        </w:numPr>
        <w:spacing w:before="120" w:line="240" w:lineRule="auto"/>
        <w:contextualSpacing w:val="0"/>
        <w:jc w:val="both"/>
        <w:rPr>
          <w:rFonts w:ascii="Times New Roman" w:hAnsi="Times New Roman" w:cs="Times New Roman"/>
          <w:noProof/>
          <w:sz w:val="24"/>
        </w:rPr>
      </w:pPr>
      <w:r>
        <w:rPr>
          <w:rFonts w:ascii="Times New Roman" w:hAnsi="Times New Roman"/>
          <w:noProof/>
          <w:sz w:val="24"/>
        </w:rPr>
        <w:t xml:space="preserve">Avaliku sektori krediidibüroo loomine eesmärgiga kõrvaldada teabe asümmeetria avaliku sektori asutuste ja pankade vahel, tuginedes avaliku sektori andmetele ja teabele. </w:t>
      </w:r>
    </w:p>
    <w:p w14:paraId="5671A411" w14:textId="77777777" w:rsidR="00356CBA" w:rsidRPr="00E02B5D" w:rsidRDefault="00356CBA" w:rsidP="00DE1EE5">
      <w:pPr>
        <w:pStyle w:val="ListParagraph"/>
        <w:numPr>
          <w:ilvl w:val="1"/>
          <w:numId w:val="84"/>
        </w:numPr>
        <w:spacing w:before="120" w:after="240" w:line="240" w:lineRule="auto"/>
        <w:contextualSpacing w:val="0"/>
        <w:jc w:val="both"/>
        <w:rPr>
          <w:rFonts w:ascii="Times New Roman" w:hAnsi="Times New Roman" w:cs="Times New Roman"/>
          <w:noProof/>
          <w:sz w:val="24"/>
        </w:rPr>
      </w:pPr>
      <w:r>
        <w:rPr>
          <w:rFonts w:ascii="Times New Roman" w:hAnsi="Times New Roman"/>
          <w:b/>
          <w:noProof/>
          <w:sz w:val="24"/>
        </w:rPr>
        <w:t>Erasektori võlaseire registri</w:t>
      </w:r>
      <w:r>
        <w:rPr>
          <w:rFonts w:ascii="Times New Roman" w:hAnsi="Times New Roman"/>
          <w:noProof/>
          <w:sz w:val="24"/>
        </w:rPr>
        <w:t xml:space="preserve"> IT-süsteemi käivitamine, mis kogub andmeid nii avaliku ja erasektori võlausaldajatelt kui ka muudest asjakohastest allikatest.</w:t>
      </w:r>
    </w:p>
    <w:p w14:paraId="60AFF79E" w14:textId="77777777" w:rsidR="00356CBA" w:rsidRPr="00E02B5D" w:rsidRDefault="00356CBA" w:rsidP="00DE1EE5">
      <w:pPr>
        <w:pStyle w:val="ListParagraph"/>
        <w:numPr>
          <w:ilvl w:val="1"/>
          <w:numId w:val="84"/>
        </w:numPr>
        <w:spacing w:before="120" w:after="240" w:line="240" w:lineRule="auto"/>
        <w:contextualSpacing w:val="0"/>
        <w:jc w:val="both"/>
        <w:rPr>
          <w:rFonts w:ascii="Times New Roman" w:hAnsi="Times New Roman" w:cs="Times New Roman"/>
          <w:noProof/>
          <w:sz w:val="24"/>
        </w:rPr>
      </w:pPr>
      <w:r>
        <w:rPr>
          <w:rFonts w:ascii="Times New Roman" w:hAnsi="Times New Roman"/>
          <w:noProof/>
          <w:sz w:val="24"/>
        </w:rPr>
        <w:t>Viivislaenude järelturu süvendamise toetamine, kõrvaldades viivislaenude ülekandeid pärssivad maksualased tegurid, luues viivislaenude jaoks ühise tehinguplatvormi ja luues ühised andmevormid.</w:t>
      </w:r>
    </w:p>
    <w:p w14:paraId="59BB4143" w14:textId="77777777" w:rsidR="00356CBA" w:rsidRPr="00E02B5D" w:rsidRDefault="00356CBA" w:rsidP="00DE1EE5">
      <w:pPr>
        <w:pStyle w:val="ListParagraph"/>
        <w:numPr>
          <w:ilvl w:val="0"/>
          <w:numId w:val="84"/>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Kolmandas allreformis viidatakse </w:t>
      </w:r>
      <w:r>
        <w:rPr>
          <w:rFonts w:ascii="Times New Roman" w:hAnsi="Times New Roman"/>
          <w:b/>
          <w:noProof/>
          <w:sz w:val="24"/>
        </w:rPr>
        <w:t>krediidi keskregistri</w:t>
      </w:r>
      <w:r>
        <w:rPr>
          <w:rFonts w:ascii="Times New Roman" w:hAnsi="Times New Roman"/>
          <w:noProof/>
          <w:sz w:val="24"/>
        </w:rPr>
        <w:t xml:space="preserve"> loomisele, mis täiendaks Heraklese varade kaitse kava, edendades viivislaenude järelturgu.</w:t>
      </w:r>
      <w:r>
        <w:rPr>
          <w:rFonts w:ascii="Times New Roman" w:hAnsi="Times New Roman"/>
          <w:noProof/>
          <w:color w:val="000000"/>
          <w:sz w:val="24"/>
        </w:rPr>
        <w:t xml:space="preserve"> CCRi majutab Kreeka keskpank ja selles dokumenteeritakse üksikasjalikult iga kliendilaenu maksete ajalugu ja antud tagatise liigid. </w:t>
      </w:r>
      <w:r>
        <w:rPr>
          <w:rFonts w:ascii="Times New Roman" w:hAnsi="Times New Roman"/>
          <w:noProof/>
          <w:sz w:val="24"/>
        </w:rPr>
        <w:t>Vastaspoole krediidiriski aruanne, kogudes asjakohaseid andmeid kõigist vajalikest allikatest, aitab kaasa ka krediidi laiendamise vaatluskeskuse toimimisele ja funktsioonidele, et jälgida krediidikasvu arengut. CRR võimaldab juurdepääsu krediiditeabele, kõrvaldades asümmeetrilisest teabest tulenevad turutõrked, hõlbustades seeläbi juurdepääsu krediidile.</w:t>
      </w:r>
      <w:r>
        <w:rPr>
          <w:noProof/>
          <w:color w:val="000000"/>
          <w:bdr w:val="none" w:sz="0" w:space="0" w:color="auto" w:frame="1"/>
        </w:rPr>
        <w:t xml:space="preserve"> </w:t>
      </w:r>
    </w:p>
    <w:p w14:paraId="7FC39182" w14:textId="77777777" w:rsidR="00356CBA" w:rsidRPr="00E02B5D" w:rsidRDefault="00356CB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Üldise reformi rakendamine viiakse lõpule 31. detsember 2025.</w:t>
      </w:r>
    </w:p>
    <w:p w14:paraId="0CB23731"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Võla restruktureerimise ja 2. võimaluse andmise uue ühtse maksejõuetusraamistiku rakendamiseks vajaliku digitaalse taristu ajakohastamine (meetme ID 16580)</w:t>
      </w:r>
    </w:p>
    <w:p w14:paraId="2BFC1C28"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ajakohastada vajalikku digitaalset taristut, et toetada varajase hoiatamise ja ennetavaid võla restruktureerimise menetlusi, mis on ette nähtud üksikisikute ja juriidiliste isikute võla haldamiseks uue ühtse/kodifitseeritud õigusraamistikuga;</w:t>
      </w:r>
    </w:p>
    <w:p w14:paraId="01D0FDB5"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 viiakse lõpule 31. detsembriks 2025.</w:t>
      </w:r>
    </w:p>
    <w:p w14:paraId="49A1ADB1" w14:textId="77777777" w:rsidR="00356CBA" w:rsidRPr="00AD4052" w:rsidRDefault="00356CBA" w:rsidP="00645BC7">
      <w:pPr>
        <w:spacing w:before="120" w:after="120" w:line="240" w:lineRule="auto"/>
        <w:ind w:left="709"/>
        <w:jc w:val="both"/>
        <w:rPr>
          <w:rFonts w:ascii="Times New Roman" w:hAnsi="Times New Roman" w:cs="Times New Roman"/>
          <w:b/>
          <w:bCs/>
          <w:noProof/>
          <w:sz w:val="24"/>
          <w:u w:val="single"/>
        </w:rPr>
      </w:pPr>
    </w:p>
    <w:p w14:paraId="3EB69964" w14:textId="77777777" w:rsidR="00356CBA" w:rsidRPr="00AD4052" w:rsidRDefault="00356CBA" w:rsidP="00645BC7">
      <w:pPr>
        <w:spacing w:before="120" w:after="120" w:line="240" w:lineRule="auto"/>
        <w:ind w:left="709"/>
        <w:jc w:val="both"/>
        <w:rPr>
          <w:rFonts w:ascii="Times New Roman" w:hAnsi="Times New Roman" w:cs="Times New Roman"/>
          <w:noProof/>
          <w:sz w:val="24"/>
        </w:rPr>
        <w:sectPr w:rsidR="00356CBA" w:rsidRPr="00AD4052" w:rsidSect="00271D33">
          <w:headerReference w:type="even" r:id="rId302"/>
          <w:headerReference w:type="default" r:id="rId303"/>
          <w:footerReference w:type="even" r:id="rId304"/>
          <w:footerReference w:type="default" r:id="rId305"/>
          <w:headerReference w:type="first" r:id="rId306"/>
          <w:footerReference w:type="first" r:id="rId307"/>
          <w:pgSz w:w="11907" w:h="16839"/>
          <w:pgMar w:top="1134" w:right="1417" w:bottom="1134" w:left="1417" w:header="709" w:footer="327" w:gutter="0"/>
          <w:cols w:space="720"/>
          <w:docGrid w:linePitch="360"/>
        </w:sectPr>
      </w:pPr>
    </w:p>
    <w:p w14:paraId="7E276698" w14:textId="77777777" w:rsidR="00356CBA" w:rsidRPr="00E02B5D" w:rsidRDefault="00356CBA" w:rsidP="00645BC7">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O.2. </w:t>
      </w:r>
      <w:r>
        <w:rPr>
          <w:noProof/>
        </w:rPr>
        <w:tab/>
      </w:r>
      <w:r>
        <w:rPr>
          <w:rFonts w:ascii="Times New Roman" w:hAnsi="Times New Roman"/>
          <w:b/>
          <w:noProof/>
          <w:sz w:val="24"/>
          <w:u w:val="single"/>
        </w:rPr>
        <w:t>Tagastamatu rahalise toetuse eesmärgid, sihid, näitajad ning seire ja rakendamise ajakava</w:t>
      </w:r>
    </w:p>
    <w:p w14:paraId="4897CA2E" w14:textId="77777777" w:rsidR="00356CBA" w:rsidRPr="00AD4052" w:rsidRDefault="00356CBA" w:rsidP="00584C80">
      <w:pPr>
        <w:rPr>
          <w:noProof/>
        </w:rPr>
      </w:pPr>
    </w:p>
    <w:p w14:paraId="02343562"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22: Finantssektori ja kapitaliturgude tugevdamine</w:t>
      </w:r>
    </w:p>
    <w:p w14:paraId="27F0AEF2" w14:textId="77777777" w:rsidR="00356CBA" w:rsidRPr="00E02B5D" w:rsidRDefault="00356CBA" w:rsidP="00DE1EE5">
      <w:pPr>
        <w:numPr>
          <w:ilvl w:val="0"/>
          <w:numId w:val="35"/>
        </w:numPr>
        <w:spacing w:before="120" w:after="0" w:line="240" w:lineRule="auto"/>
        <w:jc w:val="both"/>
        <w:rPr>
          <w:rFonts w:ascii="Times New Roman" w:hAnsi="Times New Roman" w:cs="Times New Roman"/>
          <w:noProof/>
          <w:sz w:val="24"/>
        </w:rPr>
      </w:pPr>
      <w:r>
        <w:rPr>
          <w:rFonts w:ascii="Times New Roman" w:hAnsi="Times New Roman"/>
          <w:noProof/>
          <w:sz w:val="24"/>
        </w:rPr>
        <w:t>Tõhustatud kapitalituru järelevalve ja usaldusväärsus (ID: 16581)</w:t>
      </w:r>
    </w:p>
    <w:p w14:paraId="57743230" w14:textId="77777777" w:rsidR="00356CBA" w:rsidRPr="00E02B5D" w:rsidRDefault="00356CBA" w:rsidP="00DE1EE5">
      <w:pPr>
        <w:numPr>
          <w:ilvl w:val="0"/>
          <w:numId w:val="35"/>
        </w:numPr>
        <w:spacing w:before="120" w:after="0" w:line="240" w:lineRule="auto"/>
        <w:jc w:val="both"/>
        <w:rPr>
          <w:rFonts w:ascii="Times New Roman" w:hAnsi="Times New Roman" w:cs="Times New Roman"/>
          <w:noProof/>
          <w:sz w:val="24"/>
        </w:rPr>
      </w:pPr>
      <w:r>
        <w:rPr>
          <w:rFonts w:ascii="Times New Roman" w:hAnsi="Times New Roman"/>
          <w:noProof/>
          <w:sz w:val="24"/>
        </w:rPr>
        <w:t>Finantssüsteemi suutlikkuse suurendamine, et tulla toime varasemate probleemidega ja rahastada reaalmajandust (ID: 16957)</w:t>
      </w:r>
    </w:p>
    <w:p w14:paraId="1FB635BA" w14:textId="77777777" w:rsidR="00356CBA" w:rsidRPr="00E02B5D" w:rsidRDefault="00356CBA" w:rsidP="00DE1EE5">
      <w:pPr>
        <w:numPr>
          <w:ilvl w:val="0"/>
          <w:numId w:val="35"/>
        </w:numPr>
        <w:spacing w:before="120" w:after="0" w:line="240" w:lineRule="auto"/>
        <w:jc w:val="both"/>
        <w:rPr>
          <w:rFonts w:ascii="Times New Roman" w:hAnsi="Times New Roman" w:cs="Times New Roman"/>
          <w:noProof/>
          <w:sz w:val="24"/>
        </w:rPr>
      </w:pPr>
      <w:r>
        <w:rPr>
          <w:rFonts w:ascii="Times New Roman" w:hAnsi="Times New Roman"/>
          <w:noProof/>
          <w:sz w:val="24"/>
        </w:rPr>
        <w:t>Uue ühtse maksejõuetusraamistiku rakendamine võlgade restruktureerimiseks ja teine võimalus (ID: 16580)</w:t>
      </w:r>
    </w:p>
    <w:p w14:paraId="2C37F5B1" w14:textId="77777777" w:rsidR="00356CBA" w:rsidRPr="00AD4052" w:rsidRDefault="00356CBA" w:rsidP="00584C80">
      <w:pPr>
        <w:spacing w:before="120" w:after="120" w:line="240" w:lineRule="auto"/>
        <w:ind w:left="720"/>
        <w:jc w:val="both"/>
        <w:rPr>
          <w:rFonts w:ascii="Times New Roman" w:hAnsi="Times New Roman" w:cs="Times New Roman"/>
          <w:noProof/>
          <w:sz w:val="24"/>
        </w:rPr>
      </w:pPr>
    </w:p>
    <w:tbl>
      <w:tblPr>
        <w:tblW w:w="16155" w:type="dxa"/>
        <w:jc w:val="center"/>
        <w:tblLook w:val="04A0" w:firstRow="1" w:lastRow="0" w:firstColumn="1" w:lastColumn="0" w:noHBand="0" w:noVBand="1"/>
      </w:tblPr>
      <w:tblGrid>
        <w:gridCol w:w="1116"/>
        <w:gridCol w:w="2004"/>
        <w:gridCol w:w="966"/>
        <w:gridCol w:w="1847"/>
        <w:gridCol w:w="1663"/>
        <w:gridCol w:w="977"/>
        <w:gridCol w:w="966"/>
        <w:gridCol w:w="906"/>
        <w:gridCol w:w="846"/>
        <w:gridCol w:w="673"/>
        <w:gridCol w:w="4191"/>
      </w:tblGrid>
      <w:tr w:rsidR="007B4D63" w:rsidRPr="003B132A" w14:paraId="280ADEFD" w14:textId="77777777" w:rsidTr="005D5392">
        <w:trPr>
          <w:trHeight w:val="695"/>
          <w:tblHeader/>
          <w:jc w:val="center"/>
        </w:trPr>
        <w:tc>
          <w:tcPr>
            <w:tcW w:w="111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9D947F6" w14:textId="62C18831"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5D5392">
              <w:rPr>
                <w:rFonts w:ascii="Times New Roman" w:hAnsi="Times New Roman"/>
                <w:b/>
                <w:noProof/>
                <w:sz w:val="18"/>
              </w:rPr>
              <w:t>-</w:t>
            </w:r>
            <w:r>
              <w:rPr>
                <w:rFonts w:ascii="Times New Roman" w:hAnsi="Times New Roman"/>
                <w:b/>
                <w:noProof/>
                <w:sz w:val="18"/>
              </w:rPr>
              <w:t>number</w:t>
            </w:r>
          </w:p>
        </w:tc>
        <w:tc>
          <w:tcPr>
            <w:tcW w:w="20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FAA9F35"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FAA6B06"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847" w:type="dxa"/>
            <w:vMerge w:val="restart"/>
            <w:tcBorders>
              <w:top w:val="single" w:sz="4" w:space="0" w:color="auto"/>
              <w:left w:val="nil"/>
              <w:bottom w:val="single" w:sz="4" w:space="0" w:color="000000"/>
              <w:right w:val="single" w:sz="4" w:space="0" w:color="auto"/>
            </w:tcBorders>
            <w:shd w:val="clear" w:color="auto" w:fill="BDD7EE"/>
            <w:vAlign w:val="center"/>
            <w:hideMark/>
          </w:tcPr>
          <w:p w14:paraId="77D8BCE9"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0D44109"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Kvalitatiivsed näitajad </w:t>
            </w:r>
            <w:r>
              <w:rPr>
                <w:rFonts w:ascii="Times New Roman" w:hAnsi="Times New Roman"/>
                <w:noProof/>
              </w:rPr>
              <w:t xml:space="preserve"> </w:t>
            </w:r>
            <w:r>
              <w:rPr>
                <w:rFonts w:ascii="Times New Roman" w:hAnsi="Times New Roman"/>
                <w:b/>
                <w:noProof/>
                <w:sz w:val="18"/>
              </w:rPr>
              <w:t>(eesmärkide puhul)</w:t>
            </w:r>
          </w:p>
        </w:tc>
        <w:tc>
          <w:tcPr>
            <w:tcW w:w="2849" w:type="dxa"/>
            <w:gridSpan w:val="3"/>
            <w:tcBorders>
              <w:top w:val="single" w:sz="4" w:space="0" w:color="auto"/>
              <w:left w:val="nil"/>
              <w:bottom w:val="single" w:sz="4" w:space="0" w:color="auto"/>
              <w:right w:val="single" w:sz="4" w:space="0" w:color="auto"/>
            </w:tcBorders>
            <w:shd w:val="clear" w:color="auto" w:fill="BDD7EE"/>
            <w:vAlign w:val="center"/>
            <w:hideMark/>
          </w:tcPr>
          <w:p w14:paraId="79CFE2FD"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Kvantitatiivsed näitajad </w:t>
            </w:r>
            <w:r>
              <w:rPr>
                <w:rFonts w:ascii="Times New Roman" w:hAnsi="Times New Roman"/>
                <w:noProof/>
              </w:rPr>
              <w:t xml:space="preserve"> </w:t>
            </w:r>
            <w:r>
              <w:rPr>
                <w:rFonts w:ascii="Times New Roman" w:hAnsi="Times New Roman"/>
                <w:b/>
                <w:noProof/>
                <w:sz w:val="18"/>
              </w:rPr>
              <w:t>(sihtide puhul)</w:t>
            </w:r>
          </w:p>
        </w:tc>
        <w:tc>
          <w:tcPr>
            <w:tcW w:w="1519" w:type="dxa"/>
            <w:gridSpan w:val="2"/>
            <w:tcBorders>
              <w:top w:val="single" w:sz="4" w:space="0" w:color="auto"/>
              <w:left w:val="nil"/>
              <w:bottom w:val="single" w:sz="4" w:space="0" w:color="auto"/>
              <w:right w:val="single" w:sz="4" w:space="0" w:color="auto"/>
            </w:tcBorders>
            <w:shd w:val="clear" w:color="auto" w:fill="BDD7EE"/>
            <w:vAlign w:val="center"/>
            <w:hideMark/>
          </w:tcPr>
          <w:p w14:paraId="3743F341"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1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4D7DB75"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7B4D63" w:rsidRPr="00E02B5D" w14:paraId="647FAA56" w14:textId="77777777" w:rsidTr="005D5392">
        <w:trPr>
          <w:trHeight w:val="610"/>
          <w:tblHeader/>
          <w:jc w:val="center"/>
        </w:trPr>
        <w:tc>
          <w:tcPr>
            <w:tcW w:w="1116" w:type="dxa"/>
            <w:vMerge/>
            <w:tcBorders>
              <w:top w:val="single" w:sz="4" w:space="0" w:color="auto"/>
              <w:left w:val="single" w:sz="4" w:space="0" w:color="auto"/>
              <w:bottom w:val="single" w:sz="4" w:space="0" w:color="000000"/>
              <w:right w:val="single" w:sz="4" w:space="0" w:color="auto"/>
            </w:tcBorders>
            <w:vAlign w:val="center"/>
            <w:hideMark/>
          </w:tcPr>
          <w:p w14:paraId="44194E53"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004" w:type="dxa"/>
            <w:vMerge/>
            <w:tcBorders>
              <w:top w:val="single" w:sz="4" w:space="0" w:color="auto"/>
              <w:left w:val="single" w:sz="4" w:space="0" w:color="auto"/>
              <w:bottom w:val="single" w:sz="4" w:space="0" w:color="000000"/>
              <w:right w:val="single" w:sz="4" w:space="0" w:color="auto"/>
            </w:tcBorders>
            <w:vAlign w:val="center"/>
            <w:hideMark/>
          </w:tcPr>
          <w:p w14:paraId="19DEABC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14:paraId="0E6FF0A5"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847" w:type="dxa"/>
            <w:vMerge/>
            <w:tcBorders>
              <w:top w:val="single" w:sz="4" w:space="0" w:color="auto"/>
              <w:left w:val="nil"/>
              <w:bottom w:val="single" w:sz="4" w:space="0" w:color="000000"/>
              <w:right w:val="single" w:sz="4" w:space="0" w:color="auto"/>
            </w:tcBorders>
            <w:vAlign w:val="center"/>
            <w:hideMark/>
          </w:tcPr>
          <w:p w14:paraId="776FA22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663" w:type="dxa"/>
            <w:vMerge/>
            <w:tcBorders>
              <w:top w:val="single" w:sz="4" w:space="0" w:color="auto"/>
              <w:left w:val="single" w:sz="4" w:space="0" w:color="auto"/>
              <w:bottom w:val="single" w:sz="4" w:space="0" w:color="000000"/>
              <w:right w:val="single" w:sz="4" w:space="0" w:color="auto"/>
            </w:tcBorders>
            <w:vAlign w:val="center"/>
            <w:hideMark/>
          </w:tcPr>
          <w:p w14:paraId="10ABFB66"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77" w:type="dxa"/>
            <w:tcBorders>
              <w:top w:val="nil"/>
              <w:left w:val="nil"/>
              <w:bottom w:val="single" w:sz="4" w:space="0" w:color="auto"/>
              <w:right w:val="single" w:sz="4" w:space="0" w:color="auto"/>
            </w:tcBorders>
            <w:shd w:val="clear" w:color="auto" w:fill="BDD7EE"/>
            <w:vAlign w:val="center"/>
            <w:hideMark/>
          </w:tcPr>
          <w:p w14:paraId="30D83413"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tcBorders>
              <w:top w:val="nil"/>
              <w:left w:val="nil"/>
              <w:bottom w:val="single" w:sz="4" w:space="0" w:color="auto"/>
              <w:right w:val="single" w:sz="4" w:space="0" w:color="auto"/>
            </w:tcBorders>
            <w:shd w:val="clear" w:color="auto" w:fill="BDD7EE"/>
            <w:vAlign w:val="center"/>
            <w:hideMark/>
          </w:tcPr>
          <w:p w14:paraId="71528355"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tcBorders>
              <w:top w:val="nil"/>
              <w:left w:val="nil"/>
              <w:bottom w:val="single" w:sz="4" w:space="0" w:color="auto"/>
              <w:right w:val="single" w:sz="4" w:space="0" w:color="auto"/>
            </w:tcBorders>
            <w:shd w:val="clear" w:color="auto" w:fill="BDD7EE"/>
            <w:vAlign w:val="center"/>
            <w:hideMark/>
          </w:tcPr>
          <w:p w14:paraId="05854A32"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846" w:type="dxa"/>
            <w:tcBorders>
              <w:top w:val="nil"/>
              <w:left w:val="nil"/>
              <w:bottom w:val="single" w:sz="4" w:space="0" w:color="auto"/>
              <w:right w:val="single" w:sz="4" w:space="0" w:color="auto"/>
            </w:tcBorders>
            <w:shd w:val="clear" w:color="auto" w:fill="BDD7EE"/>
            <w:vAlign w:val="center"/>
            <w:hideMark/>
          </w:tcPr>
          <w:p w14:paraId="657C0C72"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673" w:type="dxa"/>
            <w:tcBorders>
              <w:top w:val="nil"/>
              <w:left w:val="nil"/>
              <w:bottom w:val="single" w:sz="4" w:space="0" w:color="auto"/>
              <w:right w:val="single" w:sz="4" w:space="0" w:color="auto"/>
            </w:tcBorders>
            <w:shd w:val="clear" w:color="auto" w:fill="BDD7EE"/>
            <w:vAlign w:val="center"/>
            <w:hideMark/>
          </w:tcPr>
          <w:p w14:paraId="62F658A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191" w:type="dxa"/>
            <w:vMerge/>
            <w:tcBorders>
              <w:top w:val="single" w:sz="4" w:space="0" w:color="auto"/>
              <w:left w:val="single" w:sz="4" w:space="0" w:color="auto"/>
              <w:bottom w:val="single" w:sz="4" w:space="0" w:color="auto"/>
              <w:right w:val="single" w:sz="4" w:space="0" w:color="auto"/>
            </w:tcBorders>
            <w:vAlign w:val="center"/>
            <w:hideMark/>
          </w:tcPr>
          <w:p w14:paraId="1FB45723"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14AD02F2"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10B6902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240</w:t>
            </w:r>
          </w:p>
        </w:tc>
        <w:tc>
          <w:tcPr>
            <w:tcW w:w="2004" w:type="dxa"/>
            <w:tcBorders>
              <w:top w:val="nil"/>
              <w:left w:val="nil"/>
              <w:bottom w:val="single" w:sz="4" w:space="0" w:color="auto"/>
              <w:right w:val="single" w:sz="4" w:space="0" w:color="auto"/>
            </w:tcBorders>
            <w:shd w:val="clear" w:color="auto" w:fill="C6EFCE"/>
            <w:noWrap/>
          </w:tcPr>
          <w:p w14:paraId="46C57CD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15-4.4. Finantssektori ja kapitaliturgude tugevdamine – 16581_Kapitalituru tõhustatud järelevalve ja usaldusväärsus</w:t>
            </w:r>
          </w:p>
        </w:tc>
        <w:tc>
          <w:tcPr>
            <w:tcW w:w="966" w:type="dxa"/>
            <w:tcBorders>
              <w:top w:val="nil"/>
              <w:left w:val="nil"/>
              <w:bottom w:val="single" w:sz="4" w:space="0" w:color="auto"/>
              <w:right w:val="single" w:sz="4" w:space="0" w:color="auto"/>
            </w:tcBorders>
            <w:shd w:val="clear" w:color="auto" w:fill="C6EFCE"/>
            <w:noWrap/>
          </w:tcPr>
          <w:p w14:paraId="2152246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47" w:type="dxa"/>
            <w:tcBorders>
              <w:top w:val="nil"/>
              <w:left w:val="nil"/>
              <w:bottom w:val="single" w:sz="4" w:space="0" w:color="auto"/>
              <w:right w:val="single" w:sz="4" w:space="0" w:color="auto"/>
            </w:tcBorders>
            <w:shd w:val="clear" w:color="auto" w:fill="C6EFCE"/>
            <w:noWrap/>
          </w:tcPr>
          <w:p w14:paraId="674C8D3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Kapitaliturud, järelevalve, järelevalveprotsesside digitaliseerimine, kapitaliturgude liit</w:t>
            </w:r>
          </w:p>
        </w:tc>
        <w:tc>
          <w:tcPr>
            <w:tcW w:w="1663" w:type="dxa"/>
            <w:tcBorders>
              <w:top w:val="nil"/>
              <w:left w:val="nil"/>
              <w:bottom w:val="single" w:sz="4" w:space="0" w:color="auto"/>
              <w:right w:val="single" w:sz="4" w:space="0" w:color="auto"/>
            </w:tcBorders>
            <w:shd w:val="clear" w:color="auto" w:fill="C6EFCE"/>
            <w:noWrap/>
          </w:tcPr>
          <w:p w14:paraId="7ED351F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Õigusaktide jõustumine (viide Euroopa Liidu Teatajale)</w:t>
            </w:r>
          </w:p>
        </w:tc>
        <w:tc>
          <w:tcPr>
            <w:tcW w:w="977" w:type="dxa"/>
            <w:tcBorders>
              <w:top w:val="nil"/>
              <w:left w:val="nil"/>
              <w:bottom w:val="single" w:sz="4" w:space="0" w:color="auto"/>
              <w:right w:val="single" w:sz="4" w:space="0" w:color="auto"/>
            </w:tcBorders>
            <w:shd w:val="clear" w:color="auto" w:fill="C6EFCE"/>
            <w:noWrap/>
          </w:tcPr>
          <w:p w14:paraId="0BFC9E1E"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754AA4A9"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4B9BD756"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14:paraId="34A0E67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73" w:type="dxa"/>
            <w:tcBorders>
              <w:top w:val="nil"/>
              <w:left w:val="nil"/>
              <w:bottom w:val="single" w:sz="4" w:space="0" w:color="auto"/>
              <w:right w:val="single" w:sz="4" w:space="0" w:color="auto"/>
            </w:tcBorders>
            <w:shd w:val="clear" w:color="auto" w:fill="C6EFCE"/>
            <w:noWrap/>
          </w:tcPr>
          <w:p w14:paraId="1BB6567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2021</w:t>
            </w:r>
          </w:p>
        </w:tc>
        <w:tc>
          <w:tcPr>
            <w:tcW w:w="4191" w:type="dxa"/>
            <w:tcBorders>
              <w:top w:val="nil"/>
              <w:left w:val="nil"/>
              <w:bottom w:val="single" w:sz="4" w:space="0" w:color="auto"/>
              <w:right w:val="single" w:sz="4" w:space="0" w:color="auto"/>
            </w:tcBorders>
            <w:shd w:val="clear" w:color="auto" w:fill="C6EFCE"/>
            <w:noWrap/>
          </w:tcPr>
          <w:p w14:paraId="3D20215F" w14:textId="77777777" w:rsidR="00356CBA" w:rsidRPr="00E02B5D" w:rsidRDefault="00356CBA">
            <w:pPr>
              <w:spacing w:before="120" w:after="120" w:line="240" w:lineRule="auto"/>
              <w:jc w:val="both"/>
              <w:rPr>
                <w:rFonts w:eastAsia="Times New Roman" w:cs="Calibri"/>
                <w:noProof/>
                <w:color w:val="006100"/>
                <w:sz w:val="18"/>
                <w:szCs w:val="18"/>
              </w:rPr>
            </w:pPr>
            <w:r>
              <w:rPr>
                <w:noProof/>
                <w:color w:val="006100"/>
                <w:sz w:val="18"/>
              </w:rPr>
              <w:t xml:space="preserve">Jõustub Kreeka kapitaliturgude komisjoni käsitlev uus seadus, millega muudetakse siseprotsesse ja -korraldust. </w:t>
            </w:r>
          </w:p>
        </w:tc>
      </w:tr>
      <w:tr w:rsidR="007B4D63" w:rsidRPr="003B132A" w14:paraId="413C46B7"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4C56B1B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241</w:t>
            </w:r>
          </w:p>
        </w:tc>
        <w:tc>
          <w:tcPr>
            <w:tcW w:w="2004" w:type="dxa"/>
            <w:tcBorders>
              <w:top w:val="nil"/>
              <w:left w:val="nil"/>
              <w:bottom w:val="single" w:sz="4" w:space="0" w:color="auto"/>
              <w:right w:val="single" w:sz="4" w:space="0" w:color="auto"/>
            </w:tcBorders>
            <w:shd w:val="clear" w:color="auto" w:fill="C6EFCE"/>
            <w:noWrap/>
          </w:tcPr>
          <w:p w14:paraId="34EB9A7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15-4.4. Finantssektori ja kapitaliturgude tugevdamine – 16580_Võla restruktureerimise ja teise võimaluse andmise uue ühtse maksejõuetusraamistiku rakendamine</w:t>
            </w:r>
          </w:p>
        </w:tc>
        <w:tc>
          <w:tcPr>
            <w:tcW w:w="966" w:type="dxa"/>
            <w:tcBorders>
              <w:top w:val="nil"/>
              <w:left w:val="nil"/>
              <w:bottom w:val="single" w:sz="4" w:space="0" w:color="auto"/>
              <w:right w:val="single" w:sz="4" w:space="0" w:color="auto"/>
            </w:tcBorders>
            <w:shd w:val="clear" w:color="auto" w:fill="C6EFCE"/>
            <w:noWrap/>
          </w:tcPr>
          <w:p w14:paraId="4D924FF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47" w:type="dxa"/>
            <w:tcBorders>
              <w:top w:val="nil"/>
              <w:left w:val="nil"/>
              <w:bottom w:val="single" w:sz="4" w:space="0" w:color="auto"/>
              <w:right w:val="single" w:sz="4" w:space="0" w:color="auto"/>
            </w:tcBorders>
            <w:shd w:val="clear" w:color="auto" w:fill="C6EFCE"/>
            <w:noWrap/>
          </w:tcPr>
          <w:p w14:paraId="0112135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Järelevalve, järelevalveprotsesside digiteerimine, kapitaliturgude liit, kapitaliturud, ennetav võla restruktureerimine</w:t>
            </w:r>
          </w:p>
        </w:tc>
        <w:tc>
          <w:tcPr>
            <w:tcW w:w="1663" w:type="dxa"/>
            <w:tcBorders>
              <w:top w:val="nil"/>
              <w:left w:val="nil"/>
              <w:bottom w:val="single" w:sz="4" w:space="0" w:color="auto"/>
              <w:right w:val="single" w:sz="4" w:space="0" w:color="auto"/>
            </w:tcBorders>
            <w:shd w:val="clear" w:color="auto" w:fill="C6EFCE"/>
            <w:noWrap/>
          </w:tcPr>
          <w:p w14:paraId="2D7DBAD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Aruanded, mis tõendavad eespool nimetatud süsteemide kasutuselevõttu, sealhulgas lingid veebisaitidele, kui see on asjakohane</w:t>
            </w:r>
          </w:p>
        </w:tc>
        <w:tc>
          <w:tcPr>
            <w:tcW w:w="977" w:type="dxa"/>
            <w:tcBorders>
              <w:top w:val="nil"/>
              <w:left w:val="nil"/>
              <w:bottom w:val="single" w:sz="4" w:space="0" w:color="auto"/>
              <w:right w:val="single" w:sz="4" w:space="0" w:color="auto"/>
            </w:tcBorders>
            <w:shd w:val="clear" w:color="auto" w:fill="C6EFCE"/>
            <w:noWrap/>
          </w:tcPr>
          <w:p w14:paraId="4B74AA36"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55B2A721"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41C2867D"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14:paraId="5EAE39A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73" w:type="dxa"/>
            <w:tcBorders>
              <w:top w:val="nil"/>
              <w:left w:val="nil"/>
              <w:bottom w:val="single" w:sz="4" w:space="0" w:color="auto"/>
              <w:right w:val="single" w:sz="4" w:space="0" w:color="auto"/>
            </w:tcBorders>
            <w:shd w:val="clear" w:color="auto" w:fill="C6EFCE"/>
            <w:noWrap/>
          </w:tcPr>
          <w:p w14:paraId="5CE6D07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4191" w:type="dxa"/>
            <w:tcBorders>
              <w:top w:val="nil"/>
              <w:left w:val="nil"/>
              <w:bottom w:val="single" w:sz="4" w:space="0" w:color="auto"/>
              <w:right w:val="single" w:sz="4" w:space="0" w:color="auto"/>
            </w:tcBorders>
            <w:shd w:val="clear" w:color="auto" w:fill="C6EFCE"/>
            <w:noWrap/>
          </w:tcPr>
          <w:p w14:paraId="1DD8A81F" w14:textId="77777777" w:rsidR="00356CBA" w:rsidRPr="00E02B5D" w:rsidRDefault="00356CBA">
            <w:pPr>
              <w:spacing w:after="0" w:line="240" w:lineRule="auto"/>
              <w:rPr>
                <w:rFonts w:cs="Calibri"/>
                <w:noProof/>
                <w:color w:val="006100"/>
                <w:sz w:val="18"/>
                <w:szCs w:val="18"/>
              </w:rPr>
            </w:pPr>
            <w:r>
              <w:rPr>
                <w:noProof/>
                <w:color w:val="006100"/>
                <w:sz w:val="18"/>
              </w:rPr>
              <w:t>Varajase hoiatamise ja ennetava võla restruktureerimise mehhanismi ajakohastamine, mis võimaldab üksikisikutel ja ettevõtjatel vältida ülemäärast võlgnevust ning tegeleda võlgade tasumisega kohtuväliste menetluste abil.</w:t>
            </w:r>
          </w:p>
          <w:p w14:paraId="1BB671E6" w14:textId="50ED374E" w:rsidR="00356CBA" w:rsidRPr="00E02B5D" w:rsidRDefault="00356CBA">
            <w:pPr>
              <w:spacing w:after="0" w:line="240" w:lineRule="auto"/>
              <w:rPr>
                <w:rFonts w:eastAsia="Times New Roman" w:cs="Calibri"/>
                <w:noProof/>
                <w:color w:val="006100"/>
                <w:sz w:val="18"/>
                <w:szCs w:val="18"/>
              </w:rPr>
            </w:pPr>
            <w:r>
              <w:rPr>
                <w:noProof/>
                <w:color w:val="006100"/>
                <w:sz w:val="18"/>
              </w:rPr>
              <w:t>Töövõtja uuendab rahandusministeeriumi/SecPD hallatavaid varajase hoiatamise ja ennetava võla restruktureerimise IT-süsteeme pärast nende toimimise hindamist.</w:t>
            </w:r>
          </w:p>
        </w:tc>
      </w:tr>
      <w:tr w:rsidR="007B4D63" w:rsidRPr="003B132A" w14:paraId="58732F84"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4071C33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243</w:t>
            </w:r>
          </w:p>
        </w:tc>
        <w:tc>
          <w:tcPr>
            <w:tcW w:w="2004" w:type="dxa"/>
            <w:tcBorders>
              <w:top w:val="nil"/>
              <w:left w:val="nil"/>
              <w:bottom w:val="single" w:sz="4" w:space="0" w:color="auto"/>
              <w:right w:val="single" w:sz="4" w:space="0" w:color="auto"/>
            </w:tcBorders>
            <w:shd w:val="clear" w:color="auto" w:fill="C6EFCE"/>
            <w:noWrap/>
          </w:tcPr>
          <w:p w14:paraId="675B85B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15-4.4. Finantssektori ja kapitaliturgude tugevdamine – 16581_Kapitalituru tõhustatud järelevalve ja usaldusväärsus</w:t>
            </w:r>
          </w:p>
        </w:tc>
        <w:tc>
          <w:tcPr>
            <w:tcW w:w="966" w:type="dxa"/>
            <w:tcBorders>
              <w:top w:val="nil"/>
              <w:left w:val="nil"/>
              <w:bottom w:val="single" w:sz="4" w:space="0" w:color="auto"/>
              <w:right w:val="single" w:sz="4" w:space="0" w:color="auto"/>
            </w:tcBorders>
            <w:shd w:val="clear" w:color="auto" w:fill="C6EFCE"/>
            <w:noWrap/>
          </w:tcPr>
          <w:p w14:paraId="3D25FB8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847" w:type="dxa"/>
            <w:tcBorders>
              <w:top w:val="nil"/>
              <w:left w:val="nil"/>
              <w:bottom w:val="single" w:sz="4" w:space="0" w:color="auto"/>
              <w:right w:val="single" w:sz="4" w:space="0" w:color="auto"/>
            </w:tcBorders>
            <w:shd w:val="clear" w:color="auto" w:fill="C6EFCE"/>
            <w:noWrap/>
          </w:tcPr>
          <w:p w14:paraId="752E298D" w14:textId="77777777" w:rsidR="00356CBA" w:rsidRPr="00E02B5D" w:rsidRDefault="00356CBA">
            <w:pPr>
              <w:spacing w:after="0" w:line="240" w:lineRule="auto"/>
              <w:rPr>
                <w:rFonts w:eastAsia="Times New Roman" w:cs="Calibri"/>
                <w:noProof/>
                <w:color w:val="006100"/>
                <w:sz w:val="18"/>
                <w:szCs w:val="18"/>
              </w:rPr>
            </w:pPr>
            <w:r>
              <w:rPr>
                <w:noProof/>
              </w:rPr>
              <w:t xml:space="preserve"> </w:t>
            </w:r>
            <w:r>
              <w:rPr>
                <w:noProof/>
                <w:color w:val="006100"/>
                <w:sz w:val="18"/>
              </w:rPr>
              <w:t>Järelevalveprotsessi digitaliseerimine ja Kreeka kapitaliturgude komisjoni korraldus</w:t>
            </w:r>
          </w:p>
        </w:tc>
        <w:tc>
          <w:tcPr>
            <w:tcW w:w="1663" w:type="dxa"/>
            <w:tcBorders>
              <w:top w:val="nil"/>
              <w:left w:val="nil"/>
              <w:bottom w:val="single" w:sz="4" w:space="0" w:color="auto"/>
              <w:right w:val="single" w:sz="4" w:space="0" w:color="auto"/>
            </w:tcBorders>
            <w:shd w:val="clear" w:color="auto" w:fill="C6EFCE"/>
            <w:noWrap/>
          </w:tcPr>
          <w:p w14:paraId="06FCEE1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Aruanne järelevalveprotsessi digitaliseerimise ja Kreeka kapitaliturgude komisjoni korralduse kohta</w:t>
            </w:r>
          </w:p>
        </w:tc>
        <w:tc>
          <w:tcPr>
            <w:tcW w:w="977" w:type="dxa"/>
            <w:tcBorders>
              <w:top w:val="nil"/>
              <w:left w:val="nil"/>
              <w:bottom w:val="single" w:sz="4" w:space="0" w:color="auto"/>
              <w:right w:val="single" w:sz="4" w:space="0" w:color="auto"/>
            </w:tcBorders>
            <w:shd w:val="clear" w:color="auto" w:fill="C6EFCE"/>
            <w:noWrap/>
          </w:tcPr>
          <w:p w14:paraId="30461F74"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14:paraId="0D3162BC"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3AA5859D"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14:paraId="7B039E2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73" w:type="dxa"/>
            <w:tcBorders>
              <w:top w:val="nil"/>
              <w:left w:val="nil"/>
              <w:bottom w:val="single" w:sz="4" w:space="0" w:color="auto"/>
              <w:right w:val="single" w:sz="4" w:space="0" w:color="auto"/>
            </w:tcBorders>
            <w:shd w:val="clear" w:color="auto" w:fill="C6EFCE"/>
            <w:noWrap/>
          </w:tcPr>
          <w:p w14:paraId="54D7B20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4191" w:type="dxa"/>
            <w:tcBorders>
              <w:top w:val="nil"/>
              <w:left w:val="nil"/>
              <w:bottom w:val="single" w:sz="4" w:space="0" w:color="auto"/>
              <w:right w:val="single" w:sz="4" w:space="0" w:color="auto"/>
            </w:tcBorders>
            <w:shd w:val="clear" w:color="auto" w:fill="C6EFCE"/>
            <w:noWrap/>
          </w:tcPr>
          <w:p w14:paraId="71D6CC94" w14:textId="77777777" w:rsidR="00356CBA" w:rsidRPr="00E02B5D" w:rsidRDefault="00356CBA">
            <w:pPr>
              <w:spacing w:before="120" w:after="0" w:line="240" w:lineRule="auto"/>
              <w:jc w:val="both"/>
              <w:rPr>
                <w:rFonts w:eastAsia="Times New Roman" w:cs="Calibri"/>
                <w:noProof/>
                <w:color w:val="006100"/>
                <w:sz w:val="18"/>
                <w:szCs w:val="18"/>
              </w:rPr>
            </w:pPr>
            <w:r>
              <w:rPr>
                <w:noProof/>
                <w:color w:val="006100"/>
                <w:sz w:val="18"/>
              </w:rPr>
              <w:t xml:space="preserve">1. Uue organisatsioonilise struktuuri, andmehalduse, personalikoolituse ümberkujundamine ja tegevuskava koostamine, 2. IT-taristu ja -rakenduste arendamine ja/või soetamine, et börsiandmete ja lisateabega seotud tehinguid süstemaatiliselt vastu võtta, säilitada, saada ja hallata, et koostada ja hallata hoiatusi ja auditiaruandeid; 3. Suuremahulise IT-süsteemi kasutuselevõtmine ja kõigi Kreeka kapitaliturgude komisjoni töötajate poolt praegu (ja tulevikus) kogutud andmete integreerimine, mis võimaldab mitmemõõtmelist analüüsi, ülevaadet ja ülevaadet praegustest turutingimustest, mis võimaldab menetlusi ja sekkumisi kohandada. 4. kapitaliturgude regulatiivse ja õigusraamistiku kodifitseerimine, et suurendada kapitalituru järelevalvesuutlikkust. </w:t>
            </w:r>
          </w:p>
        </w:tc>
      </w:tr>
      <w:tr w:rsidR="00356CBA" w:rsidRPr="003B132A" w14:paraId="083FCCC5"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55F2CE91" w14:textId="77777777" w:rsidR="00356CBA" w:rsidRPr="00A62FE4" w:rsidRDefault="00356CBA" w:rsidP="00D16F13">
            <w:pPr>
              <w:spacing w:after="0" w:line="240" w:lineRule="auto"/>
              <w:rPr>
                <w:noProof/>
                <w:color w:val="006100"/>
                <w:sz w:val="18"/>
              </w:rPr>
            </w:pPr>
            <w:r>
              <w:rPr>
                <w:noProof/>
                <w:color w:val="006100"/>
                <w:sz w:val="18"/>
              </w:rPr>
              <w:t>244a</w:t>
            </w:r>
          </w:p>
        </w:tc>
        <w:tc>
          <w:tcPr>
            <w:tcW w:w="2004" w:type="dxa"/>
            <w:tcBorders>
              <w:top w:val="nil"/>
              <w:left w:val="nil"/>
              <w:bottom w:val="single" w:sz="4" w:space="0" w:color="auto"/>
              <w:right w:val="single" w:sz="4" w:space="0" w:color="auto"/>
            </w:tcBorders>
            <w:shd w:val="clear" w:color="auto" w:fill="C6EFCE"/>
            <w:noWrap/>
          </w:tcPr>
          <w:p w14:paraId="5EEB74EE" w14:textId="3282A3D4" w:rsidR="00356CBA" w:rsidRPr="00A62FE4" w:rsidRDefault="00356CBA">
            <w:pPr>
              <w:spacing w:after="0" w:line="240" w:lineRule="auto"/>
              <w:rPr>
                <w:noProof/>
                <w:color w:val="006100"/>
                <w:sz w:val="18"/>
              </w:rPr>
            </w:pPr>
            <w:r>
              <w:rPr>
                <w:noProof/>
                <w:color w:val="006100"/>
                <w:sz w:val="18"/>
              </w:rPr>
              <w:t>15-4.4. Finantssektori ja kapitaliturgude tugevdamine – 16957_Finantssüsteemi suutlikkuse suurendamine, et tulla toime varasemate väljakutsetega ja rahastada reaalmajandust</w:t>
            </w:r>
          </w:p>
        </w:tc>
        <w:tc>
          <w:tcPr>
            <w:tcW w:w="966" w:type="dxa"/>
            <w:tcBorders>
              <w:top w:val="nil"/>
              <w:left w:val="nil"/>
              <w:bottom w:val="single" w:sz="4" w:space="0" w:color="auto"/>
              <w:right w:val="single" w:sz="4" w:space="0" w:color="auto"/>
            </w:tcBorders>
            <w:shd w:val="clear" w:color="auto" w:fill="C6EFCE"/>
            <w:noWrap/>
          </w:tcPr>
          <w:p w14:paraId="09F1A9A7" w14:textId="77777777" w:rsidR="00356CBA" w:rsidRPr="00A62FE4" w:rsidRDefault="00356CBA">
            <w:pPr>
              <w:spacing w:after="0" w:line="240" w:lineRule="auto"/>
              <w:rPr>
                <w:noProof/>
                <w:color w:val="006100"/>
                <w:sz w:val="18"/>
              </w:rPr>
            </w:pPr>
            <w:r>
              <w:rPr>
                <w:noProof/>
                <w:color w:val="006100"/>
                <w:sz w:val="18"/>
              </w:rPr>
              <w:t>Eesmärk</w:t>
            </w:r>
          </w:p>
        </w:tc>
        <w:tc>
          <w:tcPr>
            <w:tcW w:w="1847" w:type="dxa"/>
            <w:tcBorders>
              <w:top w:val="nil"/>
              <w:left w:val="nil"/>
              <w:bottom w:val="single" w:sz="4" w:space="0" w:color="auto"/>
              <w:right w:val="single" w:sz="4" w:space="0" w:color="auto"/>
            </w:tcBorders>
            <w:shd w:val="clear" w:color="auto" w:fill="C6EFCE"/>
            <w:noWrap/>
          </w:tcPr>
          <w:p w14:paraId="17062152" w14:textId="77777777" w:rsidR="00356CBA" w:rsidRPr="00A62FE4" w:rsidRDefault="00356CBA">
            <w:pPr>
              <w:spacing w:after="0" w:line="240" w:lineRule="auto"/>
              <w:rPr>
                <w:noProof/>
                <w:color w:val="006100"/>
                <w:sz w:val="18"/>
              </w:rPr>
            </w:pPr>
            <w:r>
              <w:rPr>
                <w:noProof/>
                <w:color w:val="006100"/>
                <w:sz w:val="18"/>
              </w:rPr>
              <w:t>E-oksjonid võlgade sissenõudmiseks</w:t>
            </w:r>
          </w:p>
        </w:tc>
        <w:tc>
          <w:tcPr>
            <w:tcW w:w="1663" w:type="dxa"/>
            <w:tcBorders>
              <w:top w:val="nil"/>
              <w:left w:val="nil"/>
              <w:bottom w:val="single" w:sz="4" w:space="0" w:color="auto"/>
              <w:right w:val="single" w:sz="4" w:space="0" w:color="auto"/>
            </w:tcBorders>
            <w:shd w:val="clear" w:color="auto" w:fill="C6EFCE"/>
            <w:noWrap/>
          </w:tcPr>
          <w:p w14:paraId="6138FC5C" w14:textId="77777777" w:rsidR="00356CBA" w:rsidRPr="00A62FE4" w:rsidRDefault="00356CBA">
            <w:pPr>
              <w:spacing w:after="0" w:line="240" w:lineRule="auto"/>
              <w:rPr>
                <w:noProof/>
                <w:color w:val="006100"/>
                <w:sz w:val="18"/>
              </w:rPr>
            </w:pPr>
            <w:r>
              <w:rPr>
                <w:noProof/>
                <w:color w:val="006100"/>
                <w:sz w:val="18"/>
              </w:rPr>
              <w:t xml:space="preserve">Õigusaktide jõustumine </w:t>
            </w:r>
          </w:p>
        </w:tc>
        <w:tc>
          <w:tcPr>
            <w:tcW w:w="977" w:type="dxa"/>
            <w:tcBorders>
              <w:top w:val="nil"/>
              <w:left w:val="nil"/>
              <w:bottom w:val="single" w:sz="4" w:space="0" w:color="auto"/>
              <w:right w:val="single" w:sz="4" w:space="0" w:color="auto"/>
            </w:tcBorders>
            <w:shd w:val="clear" w:color="auto" w:fill="C6EFCE"/>
            <w:noWrap/>
          </w:tcPr>
          <w:p w14:paraId="623650C1" w14:textId="77777777" w:rsidR="00356CBA" w:rsidRPr="00A62FE4" w:rsidRDefault="00356CBA">
            <w:pPr>
              <w:spacing w:after="0" w:line="240" w:lineRule="auto"/>
              <w:rPr>
                <w:noProof/>
                <w:color w:val="006100"/>
                <w:sz w:val="18"/>
                <w:lang w:val="en-GB"/>
              </w:rPr>
            </w:pPr>
          </w:p>
        </w:tc>
        <w:tc>
          <w:tcPr>
            <w:tcW w:w="966" w:type="dxa"/>
            <w:tcBorders>
              <w:top w:val="nil"/>
              <w:left w:val="nil"/>
              <w:bottom w:val="single" w:sz="4" w:space="0" w:color="auto"/>
              <w:right w:val="single" w:sz="4" w:space="0" w:color="auto"/>
            </w:tcBorders>
            <w:shd w:val="clear" w:color="auto" w:fill="C6EFCE"/>
            <w:noWrap/>
          </w:tcPr>
          <w:p w14:paraId="58C4D534" w14:textId="77777777" w:rsidR="00356CBA" w:rsidRPr="00A62FE4" w:rsidRDefault="00356CBA">
            <w:pPr>
              <w:spacing w:after="0" w:line="240" w:lineRule="auto"/>
              <w:rPr>
                <w:noProof/>
                <w:color w:val="006100"/>
                <w:sz w:val="18"/>
                <w:lang w:val="en-GB"/>
              </w:rPr>
            </w:pPr>
          </w:p>
        </w:tc>
        <w:tc>
          <w:tcPr>
            <w:tcW w:w="906" w:type="dxa"/>
            <w:tcBorders>
              <w:top w:val="nil"/>
              <w:left w:val="nil"/>
              <w:bottom w:val="single" w:sz="4" w:space="0" w:color="auto"/>
              <w:right w:val="single" w:sz="4" w:space="0" w:color="auto"/>
            </w:tcBorders>
            <w:shd w:val="clear" w:color="auto" w:fill="C6EFCE"/>
            <w:noWrap/>
          </w:tcPr>
          <w:p w14:paraId="1234049C" w14:textId="77777777" w:rsidR="00356CBA" w:rsidRPr="00A62FE4" w:rsidRDefault="00356CBA">
            <w:pPr>
              <w:spacing w:after="0" w:line="240" w:lineRule="auto"/>
              <w:rPr>
                <w:noProof/>
                <w:color w:val="006100"/>
                <w:sz w:val="18"/>
                <w:lang w:val="en-GB"/>
              </w:rPr>
            </w:pPr>
          </w:p>
        </w:tc>
        <w:tc>
          <w:tcPr>
            <w:tcW w:w="846" w:type="dxa"/>
            <w:tcBorders>
              <w:top w:val="nil"/>
              <w:left w:val="nil"/>
              <w:bottom w:val="single" w:sz="4" w:space="0" w:color="auto"/>
              <w:right w:val="single" w:sz="4" w:space="0" w:color="auto"/>
            </w:tcBorders>
            <w:shd w:val="clear" w:color="auto" w:fill="C6EFCE"/>
            <w:noWrap/>
          </w:tcPr>
          <w:p w14:paraId="70A18A8B" w14:textId="77777777" w:rsidR="00356CBA" w:rsidRPr="00A62FE4" w:rsidRDefault="00356CBA">
            <w:pPr>
              <w:spacing w:after="0" w:line="240" w:lineRule="auto"/>
              <w:rPr>
                <w:noProof/>
                <w:color w:val="006100"/>
                <w:sz w:val="18"/>
              </w:rPr>
            </w:pPr>
            <w:r>
              <w:rPr>
                <w:noProof/>
                <w:color w:val="006100"/>
                <w:sz w:val="18"/>
              </w:rPr>
              <w:t>2. kv</w:t>
            </w:r>
          </w:p>
        </w:tc>
        <w:tc>
          <w:tcPr>
            <w:tcW w:w="673" w:type="dxa"/>
            <w:tcBorders>
              <w:top w:val="nil"/>
              <w:left w:val="nil"/>
              <w:bottom w:val="single" w:sz="4" w:space="0" w:color="auto"/>
              <w:right w:val="single" w:sz="4" w:space="0" w:color="auto"/>
            </w:tcBorders>
            <w:shd w:val="clear" w:color="auto" w:fill="C6EFCE"/>
            <w:noWrap/>
          </w:tcPr>
          <w:p w14:paraId="004CE758" w14:textId="77777777" w:rsidR="00356CBA" w:rsidRPr="00A62FE4" w:rsidRDefault="00356CBA">
            <w:pPr>
              <w:spacing w:after="0" w:line="240" w:lineRule="auto"/>
              <w:rPr>
                <w:noProof/>
                <w:color w:val="006100"/>
                <w:sz w:val="18"/>
              </w:rPr>
            </w:pPr>
            <w:r>
              <w:rPr>
                <w:noProof/>
                <w:color w:val="006100"/>
                <w:sz w:val="18"/>
              </w:rPr>
              <w:t>2024</w:t>
            </w:r>
          </w:p>
        </w:tc>
        <w:tc>
          <w:tcPr>
            <w:tcW w:w="4191" w:type="dxa"/>
            <w:tcBorders>
              <w:top w:val="nil"/>
              <w:left w:val="nil"/>
              <w:bottom w:val="single" w:sz="4" w:space="0" w:color="auto"/>
              <w:right w:val="single" w:sz="4" w:space="0" w:color="auto"/>
            </w:tcBorders>
            <w:shd w:val="clear" w:color="auto" w:fill="C6EFCE"/>
            <w:noWrap/>
          </w:tcPr>
          <w:p w14:paraId="2153BD5D" w14:textId="77777777" w:rsidR="00356CBA" w:rsidRPr="00A62FE4" w:rsidRDefault="00356CBA" w:rsidP="00D16F13">
            <w:pPr>
              <w:spacing w:after="0" w:line="240" w:lineRule="auto"/>
              <w:rPr>
                <w:noProof/>
                <w:color w:val="006100"/>
                <w:sz w:val="18"/>
              </w:rPr>
            </w:pPr>
            <w:r>
              <w:rPr>
                <w:noProof/>
                <w:color w:val="006100"/>
                <w:sz w:val="18"/>
              </w:rPr>
              <w:t>Selliste õigusaktide vastuvõtmine ja jõustumine, mille eesmärk on:</w:t>
            </w:r>
          </w:p>
          <w:p w14:paraId="24945A93" w14:textId="77777777" w:rsidR="00356CBA" w:rsidRPr="00A62FE4" w:rsidRDefault="00356CBA" w:rsidP="00DE1EE5">
            <w:pPr>
              <w:pStyle w:val="ListParagraph"/>
              <w:numPr>
                <w:ilvl w:val="0"/>
                <w:numId w:val="89"/>
              </w:numPr>
              <w:spacing w:after="0" w:line="240" w:lineRule="auto"/>
              <w:ind w:left="670" w:hanging="310"/>
              <w:rPr>
                <w:noProof/>
                <w:color w:val="006100"/>
                <w:sz w:val="18"/>
              </w:rPr>
            </w:pPr>
            <w:r>
              <w:rPr>
                <w:noProof/>
                <w:color w:val="006100"/>
                <w:sz w:val="18"/>
              </w:rPr>
              <w:t>Laiendada e-oksjonite platvormil kättesaadavat teavet enampakkumisel müüdavate varade kohta, sealhulgas asjakohast teavet, mis on kättesaadav notari avalikes arhiivides;</w:t>
            </w:r>
          </w:p>
          <w:p w14:paraId="6A638DB2" w14:textId="77777777" w:rsidR="00356CBA" w:rsidRPr="00A62FE4" w:rsidRDefault="00356CBA" w:rsidP="00DE1EE5">
            <w:pPr>
              <w:pStyle w:val="ListParagraph"/>
              <w:numPr>
                <w:ilvl w:val="0"/>
                <w:numId w:val="89"/>
              </w:numPr>
              <w:spacing w:after="0" w:line="240" w:lineRule="auto"/>
              <w:ind w:left="670" w:hanging="310"/>
              <w:rPr>
                <w:noProof/>
                <w:color w:val="006100"/>
                <w:sz w:val="18"/>
              </w:rPr>
            </w:pPr>
            <w:r>
              <w:rPr>
                <w:noProof/>
                <w:color w:val="006100"/>
                <w:sz w:val="18"/>
              </w:rPr>
              <w:t>Kinnisvaraga seotud tähtajaks tasumata võlgadest tingitud hoiatavate tegurite (nt kommunaalteenuste arved) kõrvaldamine.</w:t>
            </w:r>
          </w:p>
        </w:tc>
      </w:tr>
      <w:tr w:rsidR="00356CBA" w:rsidRPr="003B132A" w14:paraId="41300807" w14:textId="77777777" w:rsidTr="005D5392">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129F52A6" w14:textId="77777777" w:rsidR="00356CBA" w:rsidRPr="00A62FE4" w:rsidRDefault="00356CBA" w:rsidP="00D16F13">
            <w:pPr>
              <w:spacing w:after="0" w:line="240" w:lineRule="auto"/>
              <w:rPr>
                <w:noProof/>
                <w:color w:val="006100"/>
                <w:sz w:val="18"/>
              </w:rPr>
            </w:pPr>
            <w:r>
              <w:rPr>
                <w:noProof/>
                <w:color w:val="006100"/>
                <w:sz w:val="18"/>
              </w:rPr>
              <w:t>244b</w:t>
            </w:r>
          </w:p>
        </w:tc>
        <w:tc>
          <w:tcPr>
            <w:tcW w:w="2004" w:type="dxa"/>
            <w:tcBorders>
              <w:top w:val="nil"/>
              <w:left w:val="nil"/>
              <w:bottom w:val="single" w:sz="4" w:space="0" w:color="auto"/>
              <w:right w:val="single" w:sz="4" w:space="0" w:color="auto"/>
            </w:tcBorders>
            <w:shd w:val="clear" w:color="auto" w:fill="C6EFCE"/>
            <w:noWrap/>
          </w:tcPr>
          <w:p w14:paraId="05325CCF" w14:textId="4DEBD054" w:rsidR="00356CBA" w:rsidRPr="00A62FE4" w:rsidRDefault="00356CBA">
            <w:pPr>
              <w:spacing w:after="0" w:line="240" w:lineRule="auto"/>
              <w:rPr>
                <w:noProof/>
                <w:color w:val="006100"/>
                <w:sz w:val="18"/>
              </w:rPr>
            </w:pPr>
            <w:r>
              <w:rPr>
                <w:noProof/>
                <w:color w:val="006100"/>
                <w:sz w:val="18"/>
              </w:rPr>
              <w:t>15-4.4. Finantssektori ja kapitaliturgude tugevdamine – 16957_Finantssüsteemi suutlikkuse suurendamine, et tulla toime varasemate väljakutsetega ja rahastada reaalmajandust</w:t>
            </w:r>
          </w:p>
        </w:tc>
        <w:tc>
          <w:tcPr>
            <w:tcW w:w="966" w:type="dxa"/>
            <w:tcBorders>
              <w:top w:val="nil"/>
              <w:left w:val="nil"/>
              <w:bottom w:val="single" w:sz="4" w:space="0" w:color="auto"/>
              <w:right w:val="single" w:sz="4" w:space="0" w:color="auto"/>
            </w:tcBorders>
            <w:shd w:val="clear" w:color="auto" w:fill="C6EFCE"/>
            <w:noWrap/>
          </w:tcPr>
          <w:p w14:paraId="781F3502" w14:textId="77777777" w:rsidR="00356CBA" w:rsidRPr="00A62FE4" w:rsidRDefault="00356CBA">
            <w:pPr>
              <w:spacing w:after="0" w:line="240" w:lineRule="auto"/>
              <w:rPr>
                <w:noProof/>
                <w:color w:val="006100"/>
                <w:sz w:val="18"/>
              </w:rPr>
            </w:pPr>
            <w:r>
              <w:rPr>
                <w:noProof/>
                <w:color w:val="006100"/>
                <w:sz w:val="18"/>
              </w:rPr>
              <w:t>Eesmärk</w:t>
            </w:r>
          </w:p>
        </w:tc>
        <w:tc>
          <w:tcPr>
            <w:tcW w:w="1847" w:type="dxa"/>
            <w:tcBorders>
              <w:top w:val="nil"/>
              <w:left w:val="nil"/>
              <w:bottom w:val="single" w:sz="4" w:space="0" w:color="auto"/>
              <w:right w:val="single" w:sz="4" w:space="0" w:color="auto"/>
            </w:tcBorders>
            <w:shd w:val="clear" w:color="auto" w:fill="C6EFCE"/>
            <w:noWrap/>
          </w:tcPr>
          <w:p w14:paraId="60417653" w14:textId="77777777" w:rsidR="00356CBA" w:rsidRPr="00A62FE4" w:rsidRDefault="00356CBA">
            <w:pPr>
              <w:spacing w:after="0" w:line="240" w:lineRule="auto"/>
              <w:rPr>
                <w:noProof/>
                <w:color w:val="006100"/>
                <w:sz w:val="18"/>
              </w:rPr>
            </w:pPr>
            <w:r>
              <w:rPr>
                <w:noProof/>
                <w:color w:val="006100"/>
                <w:sz w:val="18"/>
              </w:rPr>
              <w:t xml:space="preserve">Lepingute sõlmimine finantssektori meetmete jaoks </w:t>
            </w:r>
          </w:p>
        </w:tc>
        <w:tc>
          <w:tcPr>
            <w:tcW w:w="1663" w:type="dxa"/>
            <w:tcBorders>
              <w:top w:val="nil"/>
              <w:left w:val="nil"/>
              <w:bottom w:val="single" w:sz="4" w:space="0" w:color="auto"/>
              <w:right w:val="single" w:sz="4" w:space="0" w:color="auto"/>
            </w:tcBorders>
            <w:shd w:val="clear" w:color="auto" w:fill="C6EFCE"/>
            <w:noWrap/>
          </w:tcPr>
          <w:p w14:paraId="4A653DDF" w14:textId="77777777" w:rsidR="00356CBA" w:rsidRPr="00A62FE4" w:rsidRDefault="00356CBA">
            <w:pPr>
              <w:spacing w:after="0" w:line="240" w:lineRule="auto"/>
              <w:rPr>
                <w:noProof/>
                <w:color w:val="006100"/>
                <w:sz w:val="18"/>
              </w:rPr>
            </w:pPr>
            <w:r>
              <w:rPr>
                <w:noProof/>
                <w:color w:val="006100"/>
                <w:sz w:val="18"/>
              </w:rPr>
              <w:t>Lepingute sõlmimisest teatamine</w:t>
            </w:r>
          </w:p>
        </w:tc>
        <w:tc>
          <w:tcPr>
            <w:tcW w:w="977" w:type="dxa"/>
            <w:tcBorders>
              <w:top w:val="nil"/>
              <w:left w:val="nil"/>
              <w:bottom w:val="single" w:sz="4" w:space="0" w:color="auto"/>
              <w:right w:val="single" w:sz="4" w:space="0" w:color="auto"/>
            </w:tcBorders>
            <w:shd w:val="clear" w:color="auto" w:fill="C6EFCE"/>
            <w:noWrap/>
          </w:tcPr>
          <w:p w14:paraId="2903672F" w14:textId="77777777" w:rsidR="00356CBA" w:rsidRPr="00A62FE4" w:rsidRDefault="00356CBA">
            <w:pPr>
              <w:spacing w:after="0" w:line="240" w:lineRule="auto"/>
              <w:rPr>
                <w:noProof/>
                <w:color w:val="006100"/>
                <w:sz w:val="18"/>
                <w:lang w:val="en-GB"/>
              </w:rPr>
            </w:pPr>
          </w:p>
        </w:tc>
        <w:tc>
          <w:tcPr>
            <w:tcW w:w="966" w:type="dxa"/>
            <w:tcBorders>
              <w:top w:val="nil"/>
              <w:left w:val="nil"/>
              <w:bottom w:val="single" w:sz="4" w:space="0" w:color="auto"/>
              <w:right w:val="single" w:sz="4" w:space="0" w:color="auto"/>
            </w:tcBorders>
            <w:shd w:val="clear" w:color="auto" w:fill="C6EFCE"/>
            <w:noWrap/>
          </w:tcPr>
          <w:p w14:paraId="029A4162" w14:textId="77777777" w:rsidR="00356CBA" w:rsidRPr="00A62FE4" w:rsidRDefault="00356CBA">
            <w:pPr>
              <w:spacing w:after="0" w:line="240" w:lineRule="auto"/>
              <w:rPr>
                <w:noProof/>
                <w:color w:val="006100"/>
                <w:sz w:val="18"/>
                <w:lang w:val="en-GB"/>
              </w:rPr>
            </w:pPr>
          </w:p>
        </w:tc>
        <w:tc>
          <w:tcPr>
            <w:tcW w:w="906" w:type="dxa"/>
            <w:tcBorders>
              <w:top w:val="nil"/>
              <w:left w:val="nil"/>
              <w:bottom w:val="single" w:sz="4" w:space="0" w:color="auto"/>
              <w:right w:val="single" w:sz="4" w:space="0" w:color="auto"/>
            </w:tcBorders>
            <w:shd w:val="clear" w:color="auto" w:fill="C6EFCE"/>
            <w:noWrap/>
          </w:tcPr>
          <w:p w14:paraId="72CAEEC4" w14:textId="77777777" w:rsidR="00356CBA" w:rsidRPr="00A62FE4" w:rsidRDefault="00356CBA">
            <w:pPr>
              <w:spacing w:after="0" w:line="240" w:lineRule="auto"/>
              <w:rPr>
                <w:noProof/>
                <w:color w:val="006100"/>
                <w:sz w:val="18"/>
                <w:lang w:val="en-GB"/>
              </w:rPr>
            </w:pPr>
          </w:p>
        </w:tc>
        <w:tc>
          <w:tcPr>
            <w:tcW w:w="846" w:type="dxa"/>
            <w:tcBorders>
              <w:top w:val="nil"/>
              <w:left w:val="nil"/>
              <w:bottom w:val="single" w:sz="4" w:space="0" w:color="auto"/>
              <w:right w:val="single" w:sz="4" w:space="0" w:color="auto"/>
            </w:tcBorders>
            <w:shd w:val="clear" w:color="auto" w:fill="C6EFCE"/>
            <w:noWrap/>
          </w:tcPr>
          <w:p w14:paraId="6E36CED0" w14:textId="77777777" w:rsidR="00356CBA" w:rsidRPr="00A62FE4" w:rsidRDefault="00356CBA">
            <w:pPr>
              <w:spacing w:after="0" w:line="240" w:lineRule="auto"/>
              <w:rPr>
                <w:noProof/>
                <w:color w:val="006100"/>
                <w:sz w:val="18"/>
              </w:rPr>
            </w:pPr>
            <w:r>
              <w:rPr>
                <w:noProof/>
                <w:color w:val="006100"/>
                <w:sz w:val="18"/>
              </w:rPr>
              <w:t>2. kv</w:t>
            </w:r>
          </w:p>
        </w:tc>
        <w:tc>
          <w:tcPr>
            <w:tcW w:w="673" w:type="dxa"/>
            <w:tcBorders>
              <w:top w:val="nil"/>
              <w:left w:val="nil"/>
              <w:bottom w:val="single" w:sz="4" w:space="0" w:color="auto"/>
              <w:right w:val="single" w:sz="4" w:space="0" w:color="auto"/>
            </w:tcBorders>
            <w:shd w:val="clear" w:color="auto" w:fill="C6EFCE"/>
            <w:noWrap/>
          </w:tcPr>
          <w:p w14:paraId="47A8EAD6" w14:textId="77777777" w:rsidR="00356CBA" w:rsidRPr="00A62FE4" w:rsidRDefault="00356CBA">
            <w:pPr>
              <w:spacing w:after="0" w:line="240" w:lineRule="auto"/>
              <w:rPr>
                <w:noProof/>
                <w:color w:val="006100"/>
                <w:sz w:val="18"/>
              </w:rPr>
            </w:pPr>
            <w:r>
              <w:rPr>
                <w:noProof/>
                <w:color w:val="006100"/>
                <w:sz w:val="18"/>
              </w:rPr>
              <w:t>2024</w:t>
            </w:r>
          </w:p>
        </w:tc>
        <w:tc>
          <w:tcPr>
            <w:tcW w:w="4191" w:type="dxa"/>
            <w:tcBorders>
              <w:top w:val="nil"/>
              <w:left w:val="nil"/>
              <w:bottom w:val="single" w:sz="4" w:space="0" w:color="auto"/>
              <w:right w:val="single" w:sz="4" w:space="0" w:color="auto"/>
            </w:tcBorders>
            <w:shd w:val="clear" w:color="auto" w:fill="C6EFCE"/>
            <w:noWrap/>
          </w:tcPr>
          <w:p w14:paraId="3645F586" w14:textId="77777777" w:rsidR="00356CBA" w:rsidRPr="00A62FE4" w:rsidRDefault="00356CBA" w:rsidP="00D16F13">
            <w:pPr>
              <w:spacing w:after="0" w:line="240" w:lineRule="auto"/>
              <w:rPr>
                <w:noProof/>
                <w:color w:val="006100"/>
                <w:sz w:val="18"/>
              </w:rPr>
            </w:pPr>
            <w:r>
              <w:rPr>
                <w:noProof/>
                <w:color w:val="006100"/>
                <w:sz w:val="18"/>
              </w:rPr>
              <w:t>Lepingu sõlmimine:</w:t>
            </w:r>
          </w:p>
          <w:p w14:paraId="34E8F118" w14:textId="77777777" w:rsidR="00356CBA" w:rsidRPr="00A62FE4" w:rsidRDefault="00356CBA" w:rsidP="00DE1EE5">
            <w:pPr>
              <w:pStyle w:val="ListParagraph"/>
              <w:numPr>
                <w:ilvl w:val="0"/>
                <w:numId w:val="85"/>
              </w:numPr>
              <w:spacing w:after="0" w:line="240" w:lineRule="auto"/>
              <w:rPr>
                <w:noProof/>
                <w:color w:val="006100"/>
                <w:sz w:val="18"/>
              </w:rPr>
            </w:pPr>
            <w:r>
              <w:rPr>
                <w:noProof/>
                <w:color w:val="006100"/>
                <w:sz w:val="18"/>
              </w:rPr>
              <w:t xml:space="preserve">Riikliku krediidibüroo krediidireitingu IT-süsteemi väljatöötamine; </w:t>
            </w:r>
          </w:p>
          <w:p w14:paraId="6775F045" w14:textId="77777777" w:rsidR="00356CBA" w:rsidRPr="00A62FE4" w:rsidRDefault="00356CBA" w:rsidP="00DE1EE5">
            <w:pPr>
              <w:pStyle w:val="ListParagraph"/>
              <w:numPr>
                <w:ilvl w:val="0"/>
                <w:numId w:val="85"/>
              </w:numPr>
              <w:spacing w:after="0" w:line="240" w:lineRule="auto"/>
              <w:rPr>
                <w:noProof/>
                <w:color w:val="006100"/>
                <w:sz w:val="18"/>
              </w:rPr>
            </w:pPr>
            <w:r>
              <w:rPr>
                <w:noProof/>
                <w:color w:val="006100"/>
                <w:sz w:val="18"/>
              </w:rPr>
              <w:t>Erasektori võlaseire registri arendamine;</w:t>
            </w:r>
          </w:p>
          <w:p w14:paraId="328F7D01" w14:textId="77777777" w:rsidR="00356CBA" w:rsidRPr="00A62FE4" w:rsidRDefault="00356CBA" w:rsidP="00DE1EE5">
            <w:pPr>
              <w:pStyle w:val="ListParagraph"/>
              <w:numPr>
                <w:ilvl w:val="0"/>
                <w:numId w:val="85"/>
              </w:numPr>
              <w:spacing w:after="0" w:line="240" w:lineRule="auto"/>
              <w:rPr>
                <w:noProof/>
                <w:color w:val="006100"/>
                <w:sz w:val="18"/>
              </w:rPr>
            </w:pPr>
            <w:r>
              <w:rPr>
                <w:noProof/>
                <w:color w:val="006100"/>
                <w:sz w:val="18"/>
              </w:rPr>
              <w:t>Krediidi keskregistri arendamine.</w:t>
            </w:r>
          </w:p>
          <w:p w14:paraId="45BB6575" w14:textId="77777777" w:rsidR="00356CBA" w:rsidRPr="00A62FE4" w:rsidRDefault="00356CBA">
            <w:pPr>
              <w:spacing w:after="0" w:line="240" w:lineRule="auto"/>
              <w:rPr>
                <w:noProof/>
                <w:color w:val="006100"/>
                <w:sz w:val="18"/>
                <w:lang w:val="en-GB"/>
              </w:rPr>
            </w:pPr>
          </w:p>
        </w:tc>
      </w:tr>
      <w:tr w:rsidR="007B4D63" w:rsidRPr="003B132A" w14:paraId="3C491FF7" w14:textId="77777777" w:rsidTr="005D5392">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6AB0DC2B" w14:textId="77777777" w:rsidR="00356CBA" w:rsidRPr="00A62FE4" w:rsidRDefault="00356CBA" w:rsidP="00D16F13">
            <w:pPr>
              <w:spacing w:after="0" w:line="240" w:lineRule="auto"/>
              <w:rPr>
                <w:noProof/>
                <w:color w:val="006100"/>
                <w:sz w:val="18"/>
              </w:rPr>
            </w:pPr>
            <w:r>
              <w:rPr>
                <w:noProof/>
                <w:color w:val="006100"/>
                <w:sz w:val="18"/>
              </w:rPr>
              <w:t>244c</w:t>
            </w:r>
          </w:p>
        </w:tc>
        <w:tc>
          <w:tcPr>
            <w:tcW w:w="2004" w:type="dxa"/>
            <w:tcBorders>
              <w:top w:val="single" w:sz="4" w:space="0" w:color="auto"/>
              <w:left w:val="single" w:sz="4" w:space="0" w:color="auto"/>
              <w:bottom w:val="single" w:sz="4" w:space="0" w:color="auto"/>
              <w:right w:val="single" w:sz="4" w:space="0" w:color="auto"/>
            </w:tcBorders>
            <w:shd w:val="clear" w:color="auto" w:fill="C6EFCE"/>
            <w:noWrap/>
          </w:tcPr>
          <w:p w14:paraId="1DFB3F7B" w14:textId="29D1F2F5" w:rsidR="00356CBA" w:rsidRPr="00A62FE4" w:rsidRDefault="00356CBA">
            <w:pPr>
              <w:spacing w:after="0" w:line="240" w:lineRule="auto"/>
              <w:rPr>
                <w:noProof/>
                <w:color w:val="006100"/>
                <w:sz w:val="18"/>
              </w:rPr>
            </w:pPr>
            <w:r>
              <w:rPr>
                <w:noProof/>
                <w:color w:val="006100"/>
                <w:sz w:val="18"/>
              </w:rPr>
              <w:t>15-4.4. Finantssektori ja kapitaliturgude tugevdamine – 16957_Finantssüsteemi suutlikkuse suurendamine, et tulla toime varasemate väljakutsetega ja rahastada reaalmajandust</w:t>
            </w:r>
          </w:p>
        </w:tc>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ABF0DB3" w14:textId="77777777" w:rsidR="00356CBA" w:rsidRPr="00A62FE4" w:rsidRDefault="00356CBA">
            <w:pPr>
              <w:spacing w:after="0" w:line="240" w:lineRule="auto"/>
              <w:rPr>
                <w:noProof/>
                <w:color w:val="006100"/>
                <w:sz w:val="18"/>
              </w:rPr>
            </w:pPr>
            <w:r>
              <w:rPr>
                <w:noProof/>
                <w:color w:val="006100"/>
                <w:sz w:val="18"/>
              </w:rPr>
              <w:t>Eesmärk</w:t>
            </w:r>
          </w:p>
        </w:tc>
        <w:tc>
          <w:tcPr>
            <w:tcW w:w="1847" w:type="dxa"/>
            <w:tcBorders>
              <w:top w:val="single" w:sz="4" w:space="0" w:color="auto"/>
              <w:left w:val="single" w:sz="4" w:space="0" w:color="auto"/>
              <w:bottom w:val="single" w:sz="4" w:space="0" w:color="auto"/>
              <w:right w:val="single" w:sz="4" w:space="0" w:color="auto"/>
            </w:tcBorders>
            <w:shd w:val="clear" w:color="auto" w:fill="C6EFCE"/>
            <w:noWrap/>
          </w:tcPr>
          <w:p w14:paraId="1E7D78D3" w14:textId="77777777" w:rsidR="00356CBA" w:rsidRPr="00A62FE4" w:rsidRDefault="00356CBA">
            <w:pPr>
              <w:spacing w:after="0" w:line="240" w:lineRule="auto"/>
              <w:rPr>
                <w:noProof/>
                <w:color w:val="006100"/>
                <w:sz w:val="18"/>
              </w:rPr>
            </w:pPr>
            <w:r>
              <w:rPr>
                <w:noProof/>
                <w:color w:val="006100"/>
                <w:sz w:val="18"/>
              </w:rPr>
              <w:t>Erasektori võlgade haldamise riikliku strateegia poliitikameetmete lõpuleviimine, krediidi keskregistri loomine</w:t>
            </w:r>
          </w:p>
        </w:tc>
        <w:tc>
          <w:tcPr>
            <w:tcW w:w="1663" w:type="dxa"/>
            <w:tcBorders>
              <w:top w:val="single" w:sz="4" w:space="0" w:color="auto"/>
              <w:left w:val="single" w:sz="4" w:space="0" w:color="auto"/>
              <w:bottom w:val="single" w:sz="4" w:space="0" w:color="auto"/>
              <w:right w:val="single" w:sz="4" w:space="0" w:color="auto"/>
            </w:tcBorders>
            <w:shd w:val="clear" w:color="auto" w:fill="C6EFCE"/>
            <w:noWrap/>
          </w:tcPr>
          <w:p w14:paraId="4E91069A" w14:textId="77777777" w:rsidR="00356CBA" w:rsidRPr="00A62FE4" w:rsidRDefault="00356CBA">
            <w:pPr>
              <w:spacing w:after="0" w:line="240" w:lineRule="auto"/>
              <w:rPr>
                <w:noProof/>
                <w:color w:val="006100"/>
                <w:sz w:val="18"/>
              </w:rPr>
            </w:pPr>
            <w:r>
              <w:rPr>
                <w:noProof/>
                <w:color w:val="006100"/>
                <w:sz w:val="18"/>
              </w:rPr>
              <w:t>Aruanne, milles tõendatakse, et kõik meetmed on lõpule viidud, sealhulgas vajaduse korral asjakohaste õigusaktide jõustumine</w:t>
            </w:r>
          </w:p>
        </w:tc>
        <w:tc>
          <w:tcPr>
            <w:tcW w:w="977" w:type="dxa"/>
            <w:tcBorders>
              <w:top w:val="single" w:sz="4" w:space="0" w:color="auto"/>
              <w:left w:val="single" w:sz="4" w:space="0" w:color="auto"/>
              <w:bottom w:val="single" w:sz="4" w:space="0" w:color="auto"/>
              <w:right w:val="single" w:sz="4" w:space="0" w:color="auto"/>
            </w:tcBorders>
            <w:shd w:val="clear" w:color="auto" w:fill="C6EFCE"/>
            <w:noWrap/>
          </w:tcPr>
          <w:p w14:paraId="2CB71485" w14:textId="77777777" w:rsidR="00356CBA" w:rsidRPr="00AD4052" w:rsidRDefault="00356CBA">
            <w:pPr>
              <w:spacing w:after="0" w:line="240" w:lineRule="auto"/>
              <w:rPr>
                <w:noProof/>
                <w:color w:val="006100"/>
                <w:sz w:val="18"/>
              </w:rPr>
            </w:pPr>
          </w:p>
        </w:tc>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069AEC3D" w14:textId="77777777" w:rsidR="00356CBA" w:rsidRPr="00AD4052" w:rsidRDefault="00356CBA">
            <w:pPr>
              <w:spacing w:after="0" w:line="240" w:lineRule="auto"/>
              <w:rPr>
                <w:noProof/>
                <w:color w:val="006100"/>
                <w:sz w:val="18"/>
              </w:rPr>
            </w:pPr>
          </w:p>
        </w:tc>
        <w:tc>
          <w:tcPr>
            <w:tcW w:w="906" w:type="dxa"/>
            <w:tcBorders>
              <w:top w:val="single" w:sz="4" w:space="0" w:color="auto"/>
              <w:left w:val="single" w:sz="4" w:space="0" w:color="auto"/>
              <w:bottom w:val="single" w:sz="4" w:space="0" w:color="auto"/>
              <w:right w:val="single" w:sz="4" w:space="0" w:color="auto"/>
            </w:tcBorders>
            <w:shd w:val="clear" w:color="auto" w:fill="C6EFCE"/>
            <w:noWrap/>
          </w:tcPr>
          <w:p w14:paraId="0065A34D" w14:textId="77777777" w:rsidR="00356CBA" w:rsidRPr="00AD4052" w:rsidRDefault="00356CBA">
            <w:pPr>
              <w:spacing w:after="0" w:line="240" w:lineRule="auto"/>
              <w:rPr>
                <w:noProof/>
                <w:color w:val="006100"/>
                <w:sz w:val="18"/>
              </w:rPr>
            </w:pPr>
          </w:p>
        </w:tc>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56366ADB" w14:textId="77777777" w:rsidR="00356CBA" w:rsidRPr="00A62FE4" w:rsidRDefault="00356CBA">
            <w:pPr>
              <w:spacing w:after="0" w:line="240" w:lineRule="auto"/>
              <w:rPr>
                <w:noProof/>
                <w:color w:val="006100"/>
                <w:sz w:val="18"/>
              </w:rPr>
            </w:pPr>
            <w:r>
              <w:rPr>
                <w:noProof/>
                <w:color w:val="006100"/>
                <w:sz w:val="18"/>
              </w:rPr>
              <w:t>4. kv</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14:paraId="00AE4202" w14:textId="77777777" w:rsidR="00356CBA" w:rsidRPr="00A62FE4" w:rsidRDefault="00356CBA">
            <w:pPr>
              <w:spacing w:after="0" w:line="240" w:lineRule="auto"/>
              <w:rPr>
                <w:noProof/>
                <w:color w:val="006100"/>
                <w:sz w:val="18"/>
              </w:rPr>
            </w:pPr>
            <w:r>
              <w:rPr>
                <w:noProof/>
                <w:color w:val="006100"/>
                <w:sz w:val="18"/>
              </w:rPr>
              <w:t>2025</w:t>
            </w:r>
          </w:p>
        </w:tc>
        <w:tc>
          <w:tcPr>
            <w:tcW w:w="4191" w:type="dxa"/>
            <w:tcBorders>
              <w:top w:val="single" w:sz="4" w:space="0" w:color="auto"/>
              <w:left w:val="single" w:sz="4" w:space="0" w:color="auto"/>
              <w:bottom w:val="single" w:sz="4" w:space="0" w:color="auto"/>
              <w:right w:val="single" w:sz="4" w:space="0" w:color="auto"/>
            </w:tcBorders>
            <w:shd w:val="clear" w:color="auto" w:fill="C6EFCE"/>
            <w:noWrap/>
          </w:tcPr>
          <w:p w14:paraId="3826FE8D" w14:textId="77777777" w:rsidR="00356CBA" w:rsidRPr="00A62FE4" w:rsidRDefault="00356CBA" w:rsidP="00DE1EE5">
            <w:pPr>
              <w:pStyle w:val="ListParagraph"/>
              <w:numPr>
                <w:ilvl w:val="0"/>
                <w:numId w:val="87"/>
              </w:numPr>
              <w:spacing w:after="0" w:line="240" w:lineRule="auto"/>
              <w:ind w:left="113" w:hanging="142"/>
              <w:rPr>
                <w:noProof/>
                <w:color w:val="006100"/>
                <w:sz w:val="18"/>
              </w:rPr>
            </w:pPr>
            <w:r>
              <w:rPr>
                <w:noProof/>
                <w:color w:val="006100"/>
                <w:sz w:val="18"/>
              </w:rPr>
              <w:t xml:space="preserve"> Eravõla haldamise riiklikus strateegias kavandatud poliitikameetmete lõpuleviimine, eelkõige:   </w:t>
            </w:r>
          </w:p>
          <w:p w14:paraId="4B002710" w14:textId="77777777" w:rsidR="00356CBA" w:rsidRPr="00AD4052" w:rsidRDefault="00356CBA" w:rsidP="00D16F13">
            <w:pPr>
              <w:spacing w:after="0" w:line="240" w:lineRule="auto"/>
              <w:rPr>
                <w:noProof/>
                <w:color w:val="006100"/>
                <w:sz w:val="18"/>
              </w:rPr>
            </w:pPr>
          </w:p>
          <w:p w14:paraId="5FE76CD3" w14:textId="77777777" w:rsidR="00356CBA" w:rsidRPr="00A62FE4" w:rsidRDefault="00356CBA" w:rsidP="00DE1EE5">
            <w:pPr>
              <w:pStyle w:val="ListParagraph"/>
              <w:numPr>
                <w:ilvl w:val="1"/>
                <w:numId w:val="88"/>
              </w:numPr>
              <w:spacing w:after="0" w:line="240" w:lineRule="auto"/>
              <w:ind w:left="397" w:hanging="284"/>
              <w:rPr>
                <w:noProof/>
                <w:color w:val="006100"/>
                <w:sz w:val="18"/>
              </w:rPr>
            </w:pPr>
            <w:r>
              <w:rPr>
                <w:noProof/>
                <w:color w:val="006100"/>
                <w:sz w:val="18"/>
              </w:rPr>
              <w:t xml:space="preserve">Riikliku krediidibüroo (PCB) loomine. See hõlmab sellise IT-süsteemi väljatöötamist, mis sisaldab keskset andmebaasi ja ühtset krediidireitingute süsteemi võlgnike (üksikisikute ja juriidiliste isikute) krediidivõimelisuse hindamiseks, tuginedes avaliku sektori andmetele. </w:t>
            </w:r>
          </w:p>
          <w:p w14:paraId="4C46B697" w14:textId="77777777" w:rsidR="00356CBA" w:rsidRPr="00AD4052" w:rsidRDefault="00356CBA" w:rsidP="00D16F13">
            <w:pPr>
              <w:spacing w:after="0" w:line="240" w:lineRule="auto"/>
              <w:rPr>
                <w:noProof/>
                <w:color w:val="006100"/>
                <w:sz w:val="18"/>
              </w:rPr>
            </w:pPr>
          </w:p>
          <w:p w14:paraId="4FD793D3" w14:textId="77777777" w:rsidR="00356CBA" w:rsidRPr="00A62FE4" w:rsidRDefault="00356CBA" w:rsidP="00DE1EE5">
            <w:pPr>
              <w:pStyle w:val="ListParagraph"/>
              <w:numPr>
                <w:ilvl w:val="1"/>
                <w:numId w:val="88"/>
              </w:numPr>
              <w:spacing w:after="0" w:line="240" w:lineRule="auto"/>
              <w:ind w:left="397" w:hanging="284"/>
              <w:rPr>
                <w:noProof/>
                <w:color w:val="006100"/>
                <w:sz w:val="18"/>
              </w:rPr>
            </w:pPr>
            <w:r>
              <w:rPr>
                <w:noProof/>
                <w:color w:val="006100"/>
                <w:sz w:val="18"/>
              </w:rPr>
              <w:t>Käivitada eravõlaseire registri IT-süsteem, mis kogub andmeid nii avaliku ja erasektori võlausaldajatelt kui ka muudest asjakohastest allikatest.</w:t>
            </w:r>
          </w:p>
          <w:p w14:paraId="1C4EDEBF" w14:textId="77777777" w:rsidR="00356CBA" w:rsidRPr="00AD4052" w:rsidRDefault="00356CBA" w:rsidP="00D16F13">
            <w:pPr>
              <w:spacing w:after="0" w:line="240" w:lineRule="auto"/>
              <w:rPr>
                <w:noProof/>
                <w:color w:val="006100"/>
                <w:sz w:val="18"/>
              </w:rPr>
            </w:pPr>
          </w:p>
          <w:p w14:paraId="18C3F7BE" w14:textId="77777777" w:rsidR="00356CBA" w:rsidRPr="00A62FE4" w:rsidRDefault="00356CBA" w:rsidP="00DE1EE5">
            <w:pPr>
              <w:pStyle w:val="ListParagraph"/>
              <w:numPr>
                <w:ilvl w:val="1"/>
                <w:numId w:val="88"/>
              </w:numPr>
              <w:spacing w:after="0" w:line="240" w:lineRule="auto"/>
              <w:ind w:left="397" w:hanging="284"/>
              <w:rPr>
                <w:noProof/>
                <w:color w:val="006100"/>
                <w:sz w:val="18"/>
              </w:rPr>
            </w:pPr>
            <w:r>
              <w:rPr>
                <w:noProof/>
                <w:color w:val="006100"/>
                <w:sz w:val="18"/>
              </w:rPr>
              <w:t xml:space="preserve">Viivislaenude tehingute hõlbustamine järgmiste meetmete abil: </w:t>
            </w:r>
          </w:p>
          <w:p w14:paraId="3103E9E6" w14:textId="77777777" w:rsidR="00356CBA" w:rsidRPr="00A62FE4" w:rsidRDefault="00356CBA" w:rsidP="00DE1EE5">
            <w:pPr>
              <w:pStyle w:val="ListParagraph"/>
              <w:numPr>
                <w:ilvl w:val="0"/>
                <w:numId w:val="86"/>
              </w:numPr>
              <w:spacing w:after="0" w:line="240" w:lineRule="auto"/>
              <w:ind w:left="851" w:hanging="580"/>
              <w:rPr>
                <w:noProof/>
                <w:color w:val="006100"/>
                <w:sz w:val="18"/>
              </w:rPr>
            </w:pPr>
            <w:r>
              <w:rPr>
                <w:noProof/>
                <w:color w:val="006100"/>
                <w:sz w:val="18"/>
              </w:rPr>
              <w:t xml:space="preserve">Selliste uute õigusaktide jõustumine, millega kõrvaldatakse viivislaenude ülekandeid pärssivad maksualased tegurid; </w:t>
            </w:r>
          </w:p>
          <w:p w14:paraId="7E30E708" w14:textId="77777777" w:rsidR="00356CBA" w:rsidRPr="00A62FE4" w:rsidRDefault="00356CBA" w:rsidP="00DE1EE5">
            <w:pPr>
              <w:pStyle w:val="ListParagraph"/>
              <w:numPr>
                <w:ilvl w:val="0"/>
                <w:numId w:val="86"/>
              </w:numPr>
              <w:spacing w:after="0" w:line="240" w:lineRule="auto"/>
              <w:ind w:left="851" w:hanging="567"/>
              <w:rPr>
                <w:noProof/>
                <w:color w:val="006100"/>
                <w:sz w:val="18"/>
              </w:rPr>
            </w:pPr>
            <w:r>
              <w:rPr>
                <w:noProof/>
                <w:color w:val="006100"/>
                <w:sz w:val="18"/>
              </w:rPr>
              <w:t>Ühise andmevormi kehtestamine ja selle kasutamise edendamine viivislaenude tehingute jaoks, sealhulgas viivislaenude puhul, mis on pärast restruktureerimist muutunud, ning mis täiendaks olemasolevat EBA vormi;</w:t>
            </w:r>
          </w:p>
          <w:p w14:paraId="351C0CE0" w14:textId="77777777" w:rsidR="00356CBA" w:rsidRPr="00A62FE4" w:rsidRDefault="00356CBA" w:rsidP="00DE1EE5">
            <w:pPr>
              <w:pStyle w:val="ListParagraph"/>
              <w:numPr>
                <w:ilvl w:val="0"/>
                <w:numId w:val="86"/>
              </w:numPr>
              <w:spacing w:after="0" w:line="240" w:lineRule="auto"/>
              <w:ind w:left="851" w:hanging="567"/>
              <w:rPr>
                <w:noProof/>
                <w:color w:val="006100"/>
                <w:sz w:val="18"/>
              </w:rPr>
            </w:pPr>
            <w:r>
              <w:rPr>
                <w:noProof/>
                <w:color w:val="006100"/>
                <w:sz w:val="18"/>
              </w:rPr>
              <w:t>Portfellide läbivaatamise ja hindamise ühtse vormi kehtestamine;</w:t>
            </w:r>
          </w:p>
          <w:p w14:paraId="1026C7AB" w14:textId="77777777" w:rsidR="00356CBA" w:rsidRPr="00A62FE4" w:rsidRDefault="00356CBA" w:rsidP="00DE1EE5">
            <w:pPr>
              <w:pStyle w:val="ListParagraph"/>
              <w:numPr>
                <w:ilvl w:val="0"/>
                <w:numId w:val="86"/>
              </w:numPr>
              <w:spacing w:after="0" w:line="240" w:lineRule="auto"/>
              <w:ind w:left="851" w:hanging="567"/>
              <w:rPr>
                <w:noProof/>
                <w:color w:val="006100"/>
                <w:sz w:val="18"/>
              </w:rPr>
            </w:pPr>
            <w:r>
              <w:rPr>
                <w:noProof/>
                <w:color w:val="006100"/>
                <w:sz w:val="18"/>
              </w:rPr>
              <w:t>Viivislaenude portfellide jaoks tehinguplatvormi loomine, et aidata müüjatel ja ostjatel vahetada teavet ja esitada pakkumisi tõhusal ja konfidentsiaalsel viisil, võttes samal ajal arvesse turul olemasolevaid lahendusi.</w:t>
            </w:r>
          </w:p>
          <w:p w14:paraId="3AC699E1" w14:textId="77777777" w:rsidR="00356CBA" w:rsidRPr="00AD4052" w:rsidRDefault="00356CBA" w:rsidP="00584C80">
            <w:pPr>
              <w:pStyle w:val="ListParagraph"/>
              <w:spacing w:after="0" w:line="240" w:lineRule="auto"/>
              <w:ind w:left="851"/>
              <w:rPr>
                <w:noProof/>
                <w:color w:val="006100"/>
                <w:sz w:val="18"/>
              </w:rPr>
            </w:pPr>
          </w:p>
          <w:p w14:paraId="700A0D66" w14:textId="77777777" w:rsidR="00356CBA" w:rsidRPr="00A62FE4" w:rsidRDefault="00356CBA" w:rsidP="00DE1EE5">
            <w:pPr>
              <w:pStyle w:val="ListParagraph"/>
              <w:numPr>
                <w:ilvl w:val="0"/>
                <w:numId w:val="87"/>
              </w:numPr>
              <w:spacing w:after="0" w:line="240" w:lineRule="auto"/>
              <w:ind w:left="113" w:hanging="142"/>
              <w:rPr>
                <w:noProof/>
                <w:color w:val="006100"/>
                <w:sz w:val="18"/>
              </w:rPr>
            </w:pPr>
            <w:r>
              <w:rPr>
                <w:noProof/>
                <w:color w:val="006100"/>
                <w:sz w:val="18"/>
              </w:rPr>
              <w:t xml:space="preserve"> Krediidi keskregistri (CCR) loomine ja vajaliku IT-taristu käivitamine riikliku andmebaasina, mida haldab Kreeka Pank (BoG), kus dokumenteeritakse üksikasjalikult kõigi pankade ja finantseerimisasutuste klientide iga üksiklaenu maksete ajalugu ja esitatud tagatiste liigid. CCR, kogudes asjakohaseid andmeid kõigist vajalikest allikatest, aitab samuti kaasa krediidimahu laiendamise vaatluskeskuse toimimisele ja ülesannetele, et jälgida krediidimahu kasvu arengut. Garantiirühm tegutseb vastutava töötlejana ja tagab rangete turva- ja andmekaitseprotokollide olemasolu, et kaitsta laenuvõtjate teavet, mille laenuandjad esitavad vastaspoole krediidiriskile. </w:t>
            </w:r>
          </w:p>
          <w:p w14:paraId="4CB0F8E4" w14:textId="77777777" w:rsidR="00356CBA" w:rsidRPr="00AD4052" w:rsidRDefault="00356CBA" w:rsidP="00584C80">
            <w:pPr>
              <w:spacing w:after="0" w:line="240" w:lineRule="auto"/>
              <w:rPr>
                <w:noProof/>
                <w:color w:val="006100"/>
                <w:sz w:val="18"/>
              </w:rPr>
            </w:pPr>
          </w:p>
        </w:tc>
      </w:tr>
    </w:tbl>
    <w:p w14:paraId="5C5C181A" w14:textId="77777777" w:rsidR="00356CBA" w:rsidRPr="00AD4052" w:rsidRDefault="00356CBA" w:rsidP="00645BC7">
      <w:pPr>
        <w:spacing w:before="120" w:after="120" w:line="240" w:lineRule="auto"/>
        <w:ind w:left="709"/>
        <w:jc w:val="both"/>
        <w:rPr>
          <w:rFonts w:ascii="Times New Roman" w:hAnsi="Times New Roman" w:cs="Times New Roman"/>
          <w:noProof/>
          <w:sz w:val="24"/>
          <w:szCs w:val="24"/>
        </w:rPr>
      </w:pPr>
    </w:p>
    <w:p w14:paraId="54158153" w14:textId="77777777" w:rsidR="00356CBA" w:rsidRPr="00AD4052" w:rsidRDefault="00356CBA" w:rsidP="00645BC7">
      <w:pPr>
        <w:spacing w:before="120" w:after="120" w:line="240" w:lineRule="auto"/>
        <w:ind w:left="709"/>
        <w:jc w:val="both"/>
        <w:rPr>
          <w:rFonts w:ascii="Times New Roman" w:hAnsi="Times New Roman" w:cs="Times New Roman"/>
          <w:noProof/>
          <w:sz w:val="24"/>
          <w:szCs w:val="24"/>
        </w:rPr>
      </w:pPr>
    </w:p>
    <w:p w14:paraId="4FE84E92" w14:textId="77777777" w:rsidR="00356CBA" w:rsidRPr="00AD4052" w:rsidRDefault="00356CBA" w:rsidP="00645BC7">
      <w:pPr>
        <w:spacing w:before="120" w:after="120" w:line="240" w:lineRule="auto"/>
        <w:ind w:left="709"/>
        <w:jc w:val="both"/>
        <w:rPr>
          <w:rFonts w:ascii="Times New Roman" w:hAnsi="Times New Roman" w:cs="Times New Roman"/>
          <w:noProof/>
          <w:sz w:val="24"/>
        </w:rPr>
        <w:sectPr w:rsidR="00356CBA" w:rsidRPr="00AD4052" w:rsidSect="00271D33">
          <w:headerReference w:type="even" r:id="rId308"/>
          <w:headerReference w:type="default" r:id="rId309"/>
          <w:footerReference w:type="even" r:id="rId310"/>
          <w:footerReference w:type="default" r:id="rId311"/>
          <w:headerReference w:type="first" r:id="rId312"/>
          <w:footerReference w:type="first" r:id="rId313"/>
          <w:pgSz w:w="16839" w:h="11907" w:orient="landscape"/>
          <w:pgMar w:top="720" w:right="720" w:bottom="720" w:left="720" w:header="709" w:footer="501" w:gutter="0"/>
          <w:cols w:space="720"/>
          <w:docGrid w:linePitch="360"/>
        </w:sectPr>
      </w:pPr>
    </w:p>
    <w:p w14:paraId="1E1B0B69" w14:textId="77777777" w:rsidR="00356CBA" w:rsidRPr="00E02B5D" w:rsidRDefault="00356CBA"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P. KOMPONENT 4.5. EDENDADA TEADUSUURINGUID JA INNOVATSIOONI</w:t>
      </w:r>
    </w:p>
    <w:p w14:paraId="0E9182DB"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selle komponendi peamised eesmärgid on suurendada avaliku ja erasektori investeeringuid teadus- ja arendustegevusse, tugevdada sidemeid teaduse ja ettevõtete vahel ning arendada teedrajavat teadus- ja arendustegevuse taristut, et parandada Kreeka teadusuuringute ja innovatsiooni tulemuslikkust. See loodetakse saavutada sihipäraste reformide ja investeeringutega, et suurendada avaliku ja erasektori kulutusi teadus- ja arendustegevusele, ajakohastada riigi teadustaristuid, edendada teadusuuringute rahastamist, suurendada Kreeka teadusuuringute ökosüsteemi rahvusvahelistumist ja arendada teaduskoostööd. Komponent hõlmab ka kodanikukaitse infosüsteemi väljatöötamist, mis teavitab reaalajas pädevaid asutusi füüsilistest nähtustest ja loodusõnnetustest, toetades samal ajal nende koostööd. Need investeeringud hõlbustavad ka digiüleminekut, arendades arenenud digitehnoloogiat ja digiteerides kodanikukaitse meetodeid, ning edendavad keskkonnahoidlikule majandusele üleminekut, leevendades kliimamuutuste mõju, et tagada kodanikukaitse. Komponendiga toetatakse avaliku ja erasektori investeeringuid käsitlevate riigipõhiste soovituste (riigipõhine soovitus 2/2019 ja riigipõhine soovitus 3/2020) täitmist.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7F55B883" w14:textId="77777777" w:rsidR="00356CBA" w:rsidRPr="00E02B5D" w:rsidRDefault="00356CBA" w:rsidP="00645BC7">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P.1. </w:t>
      </w:r>
      <w:r>
        <w:rPr>
          <w:noProof/>
        </w:rPr>
        <w:tab/>
      </w:r>
      <w:r>
        <w:rPr>
          <w:rFonts w:ascii="Times New Roman" w:hAnsi="Times New Roman"/>
          <w:b/>
          <w:noProof/>
          <w:sz w:val="24"/>
          <w:u w:val="single"/>
        </w:rPr>
        <w:t>Tagastamatu rahalise toetusega seotud reformide ja investeeringute kirjeldus</w:t>
      </w:r>
    </w:p>
    <w:p w14:paraId="16947932"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Loomine – laiendamine – teadusuuringute ja innovatsiooni peasekretariaadi (GSRI) järelevalve all olevate uurimiskeskuste infrastruktuuride ajakohastamine (meetme ID 16624)</w:t>
      </w:r>
    </w:p>
    <w:p w14:paraId="58FA3387"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Investeering hõlmab 11 uurimiskeskuse taristu ajakohastamist, et suurendada nende teadussuutlikkust ja -suutlikkust olulistes teadus- ja tehnoloogiavaldkondades. Investeeringud on seotud eelkõige järgmiste uurimiskeskustega: teadusuuringute ja tehnoloogia sihtasutus Hellas; ATHENA teadus- ja innovatsioonikeskus; BSRC Fleming; Teadusuuringute ja tehnoloogia keskus Hellas; Kreeka riiklik teadusuuringute sihtasutus; Ateena biomeditsiiniuuringute Akadeemia; Ateena riiklik vaatluskeskus; Kreeka Mereuuringute Keskus; Kreeka Pasteuri Instituut; riiklik sotsiaaluuringute keskus; Kreeka Aatomienergia Komisjon </w:t>
      </w:r>
    </w:p>
    <w:p w14:paraId="58498A60" w14:textId="77777777" w:rsidR="00892295" w:rsidRDefault="30A4CC0A" w:rsidP="00645BC7">
      <w:pPr>
        <w:spacing w:before="120" w:after="120" w:line="240" w:lineRule="auto"/>
        <w:jc w:val="both"/>
        <w:rPr>
          <w:rFonts w:ascii="Times New Roman" w:hAnsi="Times New Roman"/>
          <w:noProof/>
          <w:sz w:val="24"/>
          <w:szCs w:val="24"/>
        </w:rPr>
      </w:pPr>
      <w:r>
        <w:rPr>
          <w:rFonts w:ascii="Times New Roman" w:hAnsi="Times New Roman"/>
          <w:noProof/>
          <w:sz w:val="24"/>
        </w:rPr>
        <w:t>Tagamaks, et meede vastab tehnilistele suunistele põhimõtte „ei kahjusta oluliselt“ kohaldamise kohta (2021/C58/01), jäetakse konkursikutsetes esitatud abikõlblikkuse kriteeriumide hulgast välja järgmised tegevused:</w:t>
      </w:r>
      <w:r>
        <w:rPr>
          <w:rFonts w:ascii="Times New Roman" w:hAnsi="Times New Roman"/>
          <w:noProof/>
          <w:color w:val="FF0000"/>
          <w:sz w:val="24"/>
        </w:rPr>
        <w:t xml:space="preserve"> </w:t>
      </w:r>
      <w:r>
        <w:rPr>
          <w:rFonts w:ascii="Times New Roman" w:hAnsi="Times New Roman"/>
          <w:noProof/>
          <w:sz w:val="24"/>
        </w:rPr>
        <w:t>i) fossiilkütustega seotud tegevus, sealhulgas allkasutus tootmisahela järgmistes etappides</w:t>
      </w:r>
      <w:r w:rsidR="00356CBA" w:rsidRPr="008AECE0">
        <w:rPr>
          <w:rFonts w:ascii="Times New Roman" w:hAnsi="Times New Roman" w:cs="Times New Roman"/>
          <w:noProof/>
          <w:sz w:val="24"/>
          <w:szCs w:val="24"/>
          <w:vertAlign w:val="superscript"/>
          <w:lang w:val="en-GB"/>
        </w:rPr>
        <w:footnoteReference w:id="19"/>
      </w:r>
      <w:r>
        <w:rPr>
          <w:rFonts w:ascii="Times New Roman" w:hAnsi="Times New Roman"/>
          <w:noProof/>
          <w:sz w:val="24"/>
        </w:rPr>
        <w:t>; ii) ELi heitkogustega kauplemise süsteemi (HKS) raames toimuv tegevus, mille prognoositav kasvuhoonegaaside heide ei ole asjaomastest võrdlusalustest</w:t>
      </w:r>
      <w:r w:rsidR="00356CBA" w:rsidRPr="008AECE0">
        <w:rPr>
          <w:rFonts w:ascii="Times New Roman" w:hAnsi="Times New Roman" w:cs="Times New Roman"/>
          <w:noProof/>
          <w:sz w:val="24"/>
          <w:szCs w:val="24"/>
          <w:vertAlign w:val="superscript"/>
          <w:lang w:val="en-GB"/>
        </w:rPr>
        <w:footnoteReference w:id="20"/>
      </w:r>
      <w:r>
        <w:rPr>
          <w:rFonts w:ascii="Times New Roman" w:hAnsi="Times New Roman"/>
          <w:noProof/>
          <w:sz w:val="24"/>
        </w:rPr>
        <w:t xml:space="preserve"> madalam; </w:t>
      </w:r>
    </w:p>
    <w:p w14:paraId="14E73DE0" w14:textId="77777777" w:rsidR="00892295" w:rsidRDefault="00892295">
      <w:pPr>
        <w:rPr>
          <w:rFonts w:ascii="Times New Roman" w:hAnsi="Times New Roman"/>
          <w:noProof/>
          <w:sz w:val="24"/>
          <w:szCs w:val="24"/>
        </w:rPr>
      </w:pPr>
      <w:r>
        <w:rPr>
          <w:noProof/>
        </w:rPr>
        <w:br w:type="page"/>
      </w:r>
    </w:p>
    <w:p w14:paraId="11979D02" w14:textId="184E74E5" w:rsidR="00356CBA" w:rsidRPr="00E02B5D" w:rsidRDefault="30A4CC0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iii) prügilate, jäätmepõletustehaste</w:t>
      </w:r>
      <w:r w:rsidR="00356CBA" w:rsidRPr="008AECE0">
        <w:rPr>
          <w:rFonts w:ascii="Times New Roman" w:hAnsi="Times New Roman" w:cs="Times New Roman"/>
          <w:noProof/>
          <w:sz w:val="24"/>
          <w:szCs w:val="24"/>
          <w:vertAlign w:val="superscript"/>
          <w:lang w:val="en-GB"/>
        </w:rPr>
        <w:footnoteReference w:id="21"/>
      </w:r>
      <w:r>
        <w:rPr>
          <w:rFonts w:ascii="Times New Roman" w:hAnsi="Times New Roman"/>
          <w:noProof/>
          <w:sz w:val="24"/>
        </w:rPr>
        <w:t xml:space="preserve"> ja mehhaanilis-bioloogilise töötlemise jaamadega</w:t>
      </w:r>
      <w:r w:rsidR="00356CBA" w:rsidRPr="008AECE0">
        <w:rPr>
          <w:rFonts w:ascii="Times New Roman" w:hAnsi="Times New Roman" w:cs="Times New Roman"/>
          <w:noProof/>
          <w:sz w:val="24"/>
          <w:szCs w:val="24"/>
          <w:vertAlign w:val="superscript"/>
          <w:lang w:val="en-GB"/>
        </w:rPr>
        <w:footnoteReference w:id="22"/>
      </w:r>
      <w:r>
        <w:rPr>
          <w:rFonts w:ascii="Times New Roman" w:hAnsi="Times New Roman"/>
          <w:noProof/>
          <w:sz w:val="24"/>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w:t>
      </w:r>
    </w:p>
    <w:p w14:paraId="1282F50B"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 rakendamine viiakse lõpule 31. detsembriks 2025.</w:t>
      </w:r>
    </w:p>
    <w:p w14:paraId="44FF6D0E"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Alus- ja rakendusuuringud (meetme ID 16618)</w:t>
      </w:r>
    </w:p>
    <w:p w14:paraId="1607858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Investeering koosneb seitsmest allprojektist: i) alusuuringute horisontaalse rahastamise võimaldamine; ii) rahaline toetus teadusalastele juhtprojektidele interdistsiplinaarsetes sektorites, millel on praktilised rakendused Kreeka majanduse jaoks; iii) rahaline toetus täppismeditsiini rakendusuuringutele; iv) mehitamata süsteemide uurimis- ja arenduskeskuse rahastamine droonide rakendusuuringute toetamiseks; v) tehisintellekti, andmetöötluse ja algoritmide arendamise rakendusliku teadus- ja innovatsiooniinstituudi loomine; vi) rahaline toetus turupõhiste kestlike materjalide tehnoloogiate väljatöötamiseks; vii) rahaline toetus osalemiseks Euroopa partnerlustes, nimelt Euroopa kõrgjõudlusega andmetöötluses (Euro-HPC) ja peamistes digitehnoloogiates. Investeeringu eesmärk on luua üksused, mis toetavad rakendusuuringuid pikas perspektiivis, ning edendada süvatehnoloogia innovatsiooni ökosüsteemi, rahastades valdkondadevahelist teadus- ja arendustegevust, millel on mõju tööstusele. Investeeringu rakendamine viiakse lõpule 31. detsembriks 2025. </w:t>
      </w:r>
    </w:p>
    <w:p w14:paraId="399B7FC3"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TH</w:t>
      </w:r>
      <w:r>
        <w:rPr>
          <w:rFonts w:ascii="Times New Roman" w:hAnsi="Times New Roman"/>
          <w:noProof/>
          <w:sz w:val="24"/>
          <w:vertAlign w:val="superscript"/>
        </w:rPr>
        <w:t>2</w:t>
      </w:r>
      <w:r>
        <w:rPr>
          <w:rFonts w:ascii="Times New Roman" w:hAnsi="Times New Roman"/>
          <w:noProof/>
          <w:sz w:val="24"/>
        </w:rPr>
        <w:t>ORAX: Trellis Holistic &amp; Hybrid Operational Ruggedized Autonomous eXemplary system (meetme ID 16654)</w:t>
      </w:r>
    </w:p>
    <w:p w14:paraId="1D813A40"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color w:val="000000"/>
          <w:sz w:val="24"/>
        </w:rPr>
        <w:t xml:space="preserve">Investeering hõlmab järgmise põlvkonna teabesüsteemi arendamist, mis peaks ühendama eri liiki ja eri vormis koostööinfrastruktuure, et parandada institutsioonide otsuste tegemist reaalajas. </w:t>
      </w:r>
      <w:r>
        <w:rPr>
          <w:rFonts w:ascii="Times New Roman" w:hAnsi="Times New Roman"/>
          <w:noProof/>
          <w:sz w:val="24"/>
        </w:rPr>
        <w:t>Süsteem koosneb tipptasemel tehnoloogiast, nagu tehisintellekt, ning see kavandatakse nii, et see vastaks pikaajaliselt erinevate lõppkasutajate vajadustele. See peaks aitama kaasa piirihaldusele, kuritegevuse ja terrorismi vastasele võitlusele, küberturvalisusele, elutähtsa taristu kaitsele ja vastupidavusele, otsingu- ja päästetöödele ning katastroofidele vastupanu võimele. Investeeringu rakendamine viiakse lõpule 31. detsembriks 2025.</w:t>
      </w:r>
    </w:p>
    <w:p w14:paraId="01A47DF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Teadusuuringud – loomine – innovatsioon (meetme ID 16971)</w:t>
      </w:r>
    </w:p>
    <w:p w14:paraId="1E8263D3"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 eesmärk on toetada 36 projektiettepanekut, mida hinnatakse väga kõrge punktisummaga tipptaseme kriteeriumi alusel aruka spetsialiseerumise (RIS3) sektorites, kuid mida eelarvepiirangute tõttu ei rahastatud programmi „Horisont 2020“ raames. Investeeringuga toetatakse väljavalitud projekte rahastamisega ning loodetakse, et see meelitab ligi erasektori kaasrahastamist, tugevdades sidet avaliku teadussektori ja ettevõtete vahel. Rahastamiskõlblikud sektorid on: i) keskkond ja säästev areng; ii) energeetika; iii) info- ja kommunikatsioonitehnoloogia; iv) tervis ja ravimid; v) transpordi- ja tarneahel; vi) põllumajanduslik toidutööstus ja toiduainetööstus; vii) materjalid ja ehitus; ning viii) turism, kultuur ja loomemajandus. Investeeringu rakendamine viiakse lõpule 31. detsembriks 2025.</w:t>
      </w:r>
    </w:p>
    <w:p w14:paraId="0B3C545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„Horisont 2020“ kvaliteedimärgis: uuenduslike ettevõtete rahastamine (meetme ID 16622)</w:t>
      </w:r>
    </w:p>
    <w:p w14:paraId="247D80C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puudutab 13 projektiettepanekut väikestelt ja keskmise suurusega ettevõtjatelt, kes on saanud programmi „Horisont 2020“ kvaliteedimärgise ja kes on eelarvepiirangute tõttu toetuskõlblikud, kuid keda ei rahastata programmi „Horisont 2020“ raames. Investeeringuga toetatakse neid ettepanekuid, täiendades toetusesaajate poolset erasektori rahastust. Rahastamiskõlblikud sektorid on: i) keskkond ja säästev areng; ii) energeetika; iii) info- ja kommunikatsioonitehnoloogia; iv) tervis ja ravimid; v) transpordi- ja tarneahel; vi) põllumajanduslik toidutööstus ja toiduainetööstus; vii) materjalid ja ehitus; ning viii) turism, kultuur ja loomemajandus. Investeeringu rakendamine viiakse lõpule 31. detsembriks 2025.</w:t>
      </w:r>
    </w:p>
    <w:p w14:paraId="7DC19C87"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Kreeka teadusuuringute ja innovatsiooni ökosüsteemi avatus (meetme ID 16621)</w:t>
      </w:r>
    </w:p>
    <w:p w14:paraId="079EEDE1"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 hõlmab riikliku idufirmade ja innovatsiooni ökosüsteemi edendamist ja ülemaailmset reklaami, samuti tarkvara arendamist, hooldust ja ajakohastamist toetavat protsessi. Neid meetmeid rakendatakse ELEVATE Kreeka kaudu, mis haldab digiportaali, mis võimaldab riiklikel idufirmadel registreerida ja saada valitsuse akrediteeringu idufirmana. Reformi rakendamine viiakse lõpule 31. detsembriks 2025.</w:t>
      </w:r>
    </w:p>
    <w:p w14:paraId="77189226" w14:textId="77777777" w:rsidR="00356CBA" w:rsidRPr="00AD4052" w:rsidRDefault="00356CBA" w:rsidP="00645BC7">
      <w:pPr>
        <w:spacing w:before="120" w:after="120" w:line="240" w:lineRule="auto"/>
        <w:ind w:left="709"/>
        <w:jc w:val="both"/>
        <w:rPr>
          <w:rFonts w:ascii="Times New Roman" w:hAnsi="Times New Roman" w:cs="Times New Roman"/>
          <w:noProof/>
          <w:sz w:val="24"/>
        </w:rPr>
      </w:pPr>
    </w:p>
    <w:p w14:paraId="139105A2" w14:textId="77777777" w:rsidR="00356CBA" w:rsidRPr="00AD4052" w:rsidRDefault="00356CBA" w:rsidP="00645BC7">
      <w:pPr>
        <w:spacing w:before="120" w:after="120" w:line="240" w:lineRule="auto"/>
        <w:ind w:left="709"/>
        <w:jc w:val="both"/>
        <w:rPr>
          <w:rFonts w:ascii="Times New Roman" w:hAnsi="Times New Roman" w:cs="Times New Roman"/>
          <w:noProof/>
          <w:sz w:val="24"/>
        </w:rPr>
        <w:sectPr w:rsidR="00356CBA" w:rsidRPr="00AD4052" w:rsidSect="00271D33">
          <w:headerReference w:type="even" r:id="rId314"/>
          <w:headerReference w:type="default" r:id="rId315"/>
          <w:footerReference w:type="even" r:id="rId316"/>
          <w:footerReference w:type="default" r:id="rId317"/>
          <w:headerReference w:type="first" r:id="rId318"/>
          <w:footerReference w:type="first" r:id="rId319"/>
          <w:pgSz w:w="11907" w:h="16839"/>
          <w:pgMar w:top="1134" w:right="1417" w:bottom="1134" w:left="1417" w:header="709" w:footer="468" w:gutter="0"/>
          <w:cols w:space="720"/>
          <w:docGrid w:linePitch="360"/>
        </w:sectPr>
      </w:pPr>
    </w:p>
    <w:p w14:paraId="3D91D4D8" w14:textId="77777777" w:rsidR="00356CBA" w:rsidRPr="00E02B5D" w:rsidRDefault="00356CBA" w:rsidP="00645BC7">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P.2. </w:t>
      </w:r>
      <w:r>
        <w:rPr>
          <w:noProof/>
        </w:rPr>
        <w:tab/>
      </w:r>
      <w:r>
        <w:rPr>
          <w:rFonts w:ascii="Times New Roman" w:hAnsi="Times New Roman"/>
          <w:b/>
          <w:noProof/>
          <w:sz w:val="24"/>
          <w:u w:val="single"/>
        </w:rPr>
        <w:t>Tagastamatu rahalise toetuse eesmärgid, sihid, näitajad ning seire ja rakendamise ajakava</w:t>
      </w:r>
    </w:p>
    <w:p w14:paraId="1E9F36C4" w14:textId="77777777" w:rsidR="00356CBA" w:rsidRPr="00AD4052" w:rsidRDefault="00356CBA" w:rsidP="00584C80">
      <w:pPr>
        <w:rPr>
          <w:noProof/>
        </w:rPr>
      </w:pPr>
    </w:p>
    <w:p w14:paraId="5D04BDF1"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23: Edendada teadusuuringuid ja innovatsiooni</w:t>
      </w:r>
    </w:p>
    <w:p w14:paraId="19F79DFF" w14:textId="77777777" w:rsidR="00356CBA" w:rsidRPr="00E02B5D" w:rsidRDefault="00356CBA" w:rsidP="00DE1EE5">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Teadusuuringute ja tehnoloogia peasekretariaadi (GSRT) järelevalve all olevate uurimiskeskuste infrastruktuuride loomine – laiendamine – ajakohastamine (ID: 16624)</w:t>
      </w:r>
    </w:p>
    <w:p w14:paraId="4B74F223" w14:textId="77777777" w:rsidR="00356CBA" w:rsidRPr="00E02B5D" w:rsidRDefault="00356CBA" w:rsidP="00DE1EE5">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Alus- ja rakendusuuringud (ID: 16618)</w:t>
      </w:r>
    </w:p>
    <w:p w14:paraId="607A12E3" w14:textId="77777777" w:rsidR="00356CBA" w:rsidRPr="00E02B5D" w:rsidRDefault="00356CBA" w:rsidP="00DE1EE5">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 TH2ORAX: Tereliinid Holistic &amp; Hybrid Operational Ruggedised Autonoomne eXemplary system (ID: 16654)</w:t>
      </w:r>
    </w:p>
    <w:p w14:paraId="46337711" w14:textId="77777777" w:rsidR="00356CBA" w:rsidRPr="00E02B5D" w:rsidRDefault="00356CBA" w:rsidP="00DE1EE5">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Teadusuuringud – loomine – innovatsioon (ID: 16971)</w:t>
      </w:r>
    </w:p>
    <w:p w14:paraId="3F6B9088" w14:textId="77777777" w:rsidR="00356CBA" w:rsidRPr="00E02B5D" w:rsidRDefault="00356CBA" w:rsidP="00DE1EE5">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„Horisont 2020“ kvaliteedimärgis: tipptasemel uuenduslike ettevõtete rahastamine (ID: 16622)</w:t>
      </w:r>
    </w:p>
    <w:p w14:paraId="1C948494" w14:textId="77777777" w:rsidR="00356CBA" w:rsidRPr="00E02B5D" w:rsidRDefault="00356CBA" w:rsidP="00DE1EE5">
      <w:pPr>
        <w:numPr>
          <w:ilvl w:val="0"/>
          <w:numId w:val="34"/>
        </w:numPr>
        <w:spacing w:before="120" w:after="120" w:line="240" w:lineRule="auto"/>
        <w:jc w:val="both"/>
        <w:rPr>
          <w:rFonts w:ascii="Times New Roman" w:hAnsi="Times New Roman" w:cs="Times New Roman"/>
          <w:noProof/>
          <w:sz w:val="24"/>
        </w:rPr>
      </w:pPr>
      <w:r>
        <w:rPr>
          <w:rFonts w:ascii="Times New Roman" w:hAnsi="Times New Roman"/>
          <w:noProof/>
          <w:sz w:val="24"/>
        </w:rPr>
        <w:t>Kreeka teadusuuringute ja innovatsiooni ökosüsteemi ekstroversioon (ID: 16621)</w:t>
      </w:r>
    </w:p>
    <w:tbl>
      <w:tblPr>
        <w:tblW w:w="16161" w:type="dxa"/>
        <w:jc w:val="center"/>
        <w:tblLayout w:type="fixed"/>
        <w:tblLook w:val="04A0" w:firstRow="1" w:lastRow="0" w:firstColumn="1" w:lastColumn="0" w:noHBand="0" w:noVBand="1"/>
      </w:tblPr>
      <w:tblGrid>
        <w:gridCol w:w="1105"/>
        <w:gridCol w:w="2055"/>
        <w:gridCol w:w="1094"/>
        <w:gridCol w:w="1794"/>
        <w:gridCol w:w="1774"/>
        <w:gridCol w:w="960"/>
        <w:gridCol w:w="960"/>
        <w:gridCol w:w="607"/>
        <w:gridCol w:w="992"/>
        <w:gridCol w:w="707"/>
        <w:gridCol w:w="4113"/>
      </w:tblGrid>
      <w:tr w:rsidR="00E2773E" w:rsidRPr="003B132A" w14:paraId="4FDEA420" w14:textId="77777777" w:rsidTr="00E2773E">
        <w:trPr>
          <w:trHeight w:val="740"/>
          <w:tblHeader/>
          <w:jc w:val="center"/>
        </w:trPr>
        <w:tc>
          <w:tcPr>
            <w:tcW w:w="110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8AEED12"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9C99412"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54249C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94" w:type="dxa"/>
            <w:vMerge w:val="restart"/>
            <w:tcBorders>
              <w:top w:val="single" w:sz="4" w:space="0" w:color="auto"/>
              <w:left w:val="nil"/>
              <w:bottom w:val="single" w:sz="4" w:space="0" w:color="000000"/>
              <w:right w:val="single" w:sz="4" w:space="0" w:color="auto"/>
            </w:tcBorders>
            <w:shd w:val="clear" w:color="auto" w:fill="BDD7EE"/>
            <w:vAlign w:val="center"/>
            <w:hideMark/>
          </w:tcPr>
          <w:p w14:paraId="5B15764A"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167DFA7"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527" w:type="dxa"/>
            <w:gridSpan w:val="3"/>
            <w:tcBorders>
              <w:top w:val="single" w:sz="4" w:space="0" w:color="auto"/>
              <w:left w:val="nil"/>
              <w:bottom w:val="single" w:sz="4" w:space="0" w:color="auto"/>
              <w:right w:val="single" w:sz="4" w:space="0" w:color="auto"/>
            </w:tcBorders>
            <w:shd w:val="clear" w:color="auto" w:fill="BDD7EE"/>
            <w:vAlign w:val="center"/>
            <w:hideMark/>
          </w:tcPr>
          <w:p w14:paraId="68FC03A6"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699" w:type="dxa"/>
            <w:gridSpan w:val="2"/>
            <w:tcBorders>
              <w:top w:val="single" w:sz="4" w:space="0" w:color="auto"/>
              <w:left w:val="nil"/>
              <w:bottom w:val="single" w:sz="4" w:space="0" w:color="auto"/>
              <w:right w:val="single" w:sz="4" w:space="0" w:color="auto"/>
            </w:tcBorders>
            <w:shd w:val="clear" w:color="auto" w:fill="BDD7EE"/>
            <w:vAlign w:val="center"/>
            <w:hideMark/>
          </w:tcPr>
          <w:p w14:paraId="2724EC6B"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1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8E9B0A"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Iga eesmärgi ja sihi kirjeldus</w:t>
            </w:r>
          </w:p>
        </w:tc>
      </w:tr>
      <w:tr w:rsidR="00E2773E" w:rsidRPr="00E02B5D" w14:paraId="12A15BDD" w14:textId="77777777" w:rsidTr="00E2773E">
        <w:trPr>
          <w:trHeight w:val="526"/>
          <w:tblHeader/>
          <w:jc w:val="center"/>
        </w:trPr>
        <w:tc>
          <w:tcPr>
            <w:tcW w:w="1105" w:type="dxa"/>
            <w:vMerge/>
            <w:tcBorders>
              <w:top w:val="single" w:sz="4" w:space="0" w:color="auto"/>
              <w:left w:val="single" w:sz="4" w:space="0" w:color="auto"/>
              <w:bottom w:val="single" w:sz="4" w:space="0" w:color="000000"/>
              <w:right w:val="single" w:sz="4" w:space="0" w:color="auto"/>
            </w:tcBorders>
            <w:vAlign w:val="center"/>
            <w:hideMark/>
          </w:tcPr>
          <w:p w14:paraId="2B4B432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14:paraId="015B2B39"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14:paraId="2195E235"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794" w:type="dxa"/>
            <w:vMerge/>
            <w:tcBorders>
              <w:top w:val="single" w:sz="4" w:space="0" w:color="auto"/>
              <w:left w:val="nil"/>
              <w:bottom w:val="single" w:sz="4" w:space="0" w:color="000000"/>
              <w:right w:val="single" w:sz="4" w:space="0" w:color="auto"/>
            </w:tcBorders>
            <w:vAlign w:val="center"/>
            <w:hideMark/>
          </w:tcPr>
          <w:p w14:paraId="0E13BD16"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14:paraId="2649ABF4"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60" w:type="dxa"/>
            <w:tcBorders>
              <w:top w:val="nil"/>
              <w:left w:val="nil"/>
              <w:bottom w:val="single" w:sz="4" w:space="0" w:color="auto"/>
              <w:right w:val="single" w:sz="4" w:space="0" w:color="auto"/>
            </w:tcBorders>
            <w:shd w:val="clear" w:color="auto" w:fill="BDD7EE"/>
            <w:vAlign w:val="center"/>
            <w:hideMark/>
          </w:tcPr>
          <w:p w14:paraId="73567F40"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960" w:type="dxa"/>
            <w:tcBorders>
              <w:top w:val="nil"/>
              <w:left w:val="nil"/>
              <w:bottom w:val="single" w:sz="4" w:space="0" w:color="auto"/>
              <w:right w:val="single" w:sz="4" w:space="0" w:color="auto"/>
            </w:tcBorders>
            <w:shd w:val="clear" w:color="auto" w:fill="BDD7EE"/>
            <w:vAlign w:val="center"/>
            <w:hideMark/>
          </w:tcPr>
          <w:p w14:paraId="585CA702"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Lähtetase </w:t>
            </w:r>
          </w:p>
        </w:tc>
        <w:tc>
          <w:tcPr>
            <w:tcW w:w="607" w:type="dxa"/>
            <w:tcBorders>
              <w:top w:val="nil"/>
              <w:left w:val="nil"/>
              <w:bottom w:val="single" w:sz="4" w:space="0" w:color="auto"/>
              <w:right w:val="single" w:sz="4" w:space="0" w:color="auto"/>
            </w:tcBorders>
            <w:shd w:val="clear" w:color="auto" w:fill="BDD7EE"/>
            <w:vAlign w:val="center"/>
            <w:hideMark/>
          </w:tcPr>
          <w:p w14:paraId="757FD76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Eesmärk </w:t>
            </w:r>
          </w:p>
        </w:tc>
        <w:tc>
          <w:tcPr>
            <w:tcW w:w="992" w:type="dxa"/>
            <w:tcBorders>
              <w:top w:val="nil"/>
              <w:left w:val="nil"/>
              <w:bottom w:val="single" w:sz="4" w:space="0" w:color="auto"/>
              <w:right w:val="single" w:sz="4" w:space="0" w:color="auto"/>
            </w:tcBorders>
            <w:shd w:val="clear" w:color="auto" w:fill="BDD7EE"/>
            <w:vAlign w:val="center"/>
            <w:hideMark/>
          </w:tcPr>
          <w:p w14:paraId="4477AF43"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707" w:type="dxa"/>
            <w:tcBorders>
              <w:top w:val="nil"/>
              <w:left w:val="nil"/>
              <w:bottom w:val="single" w:sz="4" w:space="0" w:color="auto"/>
              <w:right w:val="single" w:sz="4" w:space="0" w:color="auto"/>
            </w:tcBorders>
            <w:shd w:val="clear" w:color="auto" w:fill="BDD7EE"/>
            <w:vAlign w:val="center"/>
            <w:hideMark/>
          </w:tcPr>
          <w:p w14:paraId="3E8B6832"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05290B40"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E2773E" w:rsidRPr="003B132A" w14:paraId="796AE372" w14:textId="77777777" w:rsidTr="00E2773E">
        <w:trPr>
          <w:trHeight w:val="309"/>
          <w:jc w:val="center"/>
        </w:trPr>
        <w:tc>
          <w:tcPr>
            <w:tcW w:w="1105" w:type="dxa"/>
            <w:tcBorders>
              <w:top w:val="nil"/>
              <w:left w:val="single" w:sz="4" w:space="0" w:color="auto"/>
              <w:bottom w:val="single" w:sz="4" w:space="0" w:color="auto"/>
              <w:right w:val="single" w:sz="4" w:space="0" w:color="auto"/>
            </w:tcBorders>
            <w:shd w:val="clear" w:color="auto" w:fill="C6EFCE"/>
            <w:noWrap/>
          </w:tcPr>
          <w:p w14:paraId="534DD6F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245</w:t>
            </w:r>
          </w:p>
        </w:tc>
        <w:tc>
          <w:tcPr>
            <w:tcW w:w="2055" w:type="dxa"/>
            <w:tcBorders>
              <w:top w:val="nil"/>
              <w:left w:val="nil"/>
              <w:bottom w:val="single" w:sz="4" w:space="0" w:color="auto"/>
              <w:right w:val="single" w:sz="4" w:space="0" w:color="auto"/>
            </w:tcBorders>
            <w:shd w:val="clear" w:color="auto" w:fill="C6EFCE"/>
            <w:noWrap/>
          </w:tcPr>
          <w:p w14:paraId="6C3BDB7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16-4.5. Teadusuuringute ja innovatsiooni edendamine – 16618_Alus- ja rakendusuuringud</w:t>
            </w:r>
          </w:p>
        </w:tc>
        <w:tc>
          <w:tcPr>
            <w:tcW w:w="1094" w:type="dxa"/>
            <w:tcBorders>
              <w:top w:val="nil"/>
              <w:left w:val="nil"/>
              <w:bottom w:val="single" w:sz="4" w:space="0" w:color="auto"/>
              <w:right w:val="single" w:sz="4" w:space="0" w:color="auto"/>
            </w:tcBorders>
            <w:shd w:val="clear" w:color="auto" w:fill="C6EFCE"/>
            <w:noWrap/>
          </w:tcPr>
          <w:p w14:paraId="4F5ECD4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794" w:type="dxa"/>
            <w:tcBorders>
              <w:top w:val="nil"/>
              <w:left w:val="nil"/>
              <w:bottom w:val="single" w:sz="4" w:space="0" w:color="auto"/>
              <w:right w:val="single" w:sz="4" w:space="0" w:color="auto"/>
            </w:tcBorders>
            <w:shd w:val="clear" w:color="auto" w:fill="C6EFCE"/>
            <w:noWrap/>
          </w:tcPr>
          <w:p w14:paraId="02F6ED0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Alus- ja rakendusuuringuid käsitlevad õigusaktid</w:t>
            </w:r>
          </w:p>
        </w:tc>
        <w:tc>
          <w:tcPr>
            <w:tcW w:w="1774" w:type="dxa"/>
            <w:tcBorders>
              <w:top w:val="nil"/>
              <w:left w:val="nil"/>
              <w:bottom w:val="single" w:sz="4" w:space="0" w:color="auto"/>
              <w:right w:val="single" w:sz="4" w:space="0" w:color="auto"/>
            </w:tcBorders>
            <w:shd w:val="clear" w:color="auto" w:fill="C6EFCE"/>
            <w:noWrap/>
          </w:tcPr>
          <w:p w14:paraId="55EECD4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Õigusaktide jõustumine (juriidiliste isikute asutamise esmased ja teisesed õigusaktid)</w:t>
            </w:r>
          </w:p>
        </w:tc>
        <w:tc>
          <w:tcPr>
            <w:tcW w:w="960" w:type="dxa"/>
            <w:tcBorders>
              <w:top w:val="nil"/>
              <w:left w:val="nil"/>
              <w:bottom w:val="single" w:sz="4" w:space="0" w:color="auto"/>
              <w:right w:val="single" w:sz="4" w:space="0" w:color="auto"/>
            </w:tcBorders>
            <w:shd w:val="clear" w:color="auto" w:fill="C6EFCE"/>
            <w:noWrap/>
          </w:tcPr>
          <w:p w14:paraId="4546D492" w14:textId="77777777" w:rsidR="00356CBA" w:rsidRPr="00AD4052" w:rsidRDefault="00356CBA">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14:paraId="4955CE77" w14:textId="77777777" w:rsidR="00356CBA" w:rsidRPr="00AD4052" w:rsidRDefault="00356CBA">
            <w:pPr>
              <w:spacing w:after="0" w:line="240" w:lineRule="auto"/>
              <w:rPr>
                <w:rFonts w:eastAsia="Times New Roman" w:cs="Calibri"/>
                <w:noProof/>
                <w:color w:val="006100"/>
                <w:sz w:val="18"/>
                <w:szCs w:val="18"/>
                <w:lang w:eastAsia="en-GB"/>
              </w:rPr>
            </w:pPr>
          </w:p>
        </w:tc>
        <w:tc>
          <w:tcPr>
            <w:tcW w:w="607" w:type="dxa"/>
            <w:tcBorders>
              <w:top w:val="nil"/>
              <w:left w:val="nil"/>
              <w:bottom w:val="single" w:sz="4" w:space="0" w:color="auto"/>
              <w:right w:val="single" w:sz="4" w:space="0" w:color="auto"/>
            </w:tcBorders>
            <w:shd w:val="clear" w:color="auto" w:fill="C6EFCE"/>
            <w:noWrap/>
          </w:tcPr>
          <w:p w14:paraId="7BDE7482"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202891C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kv</w:t>
            </w:r>
          </w:p>
        </w:tc>
        <w:tc>
          <w:tcPr>
            <w:tcW w:w="707" w:type="dxa"/>
            <w:tcBorders>
              <w:top w:val="nil"/>
              <w:left w:val="nil"/>
              <w:bottom w:val="single" w:sz="4" w:space="0" w:color="auto"/>
              <w:right w:val="single" w:sz="4" w:space="0" w:color="auto"/>
            </w:tcBorders>
            <w:shd w:val="clear" w:color="auto" w:fill="C6EFCE"/>
            <w:noWrap/>
          </w:tcPr>
          <w:p w14:paraId="4F6DE83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4113" w:type="dxa"/>
            <w:tcBorders>
              <w:top w:val="nil"/>
              <w:left w:val="nil"/>
              <w:bottom w:val="single" w:sz="4" w:space="0" w:color="auto"/>
              <w:right w:val="single" w:sz="4" w:space="0" w:color="auto"/>
            </w:tcBorders>
            <w:shd w:val="clear" w:color="auto" w:fill="C6EFCE"/>
            <w:noWrap/>
          </w:tcPr>
          <w:p w14:paraId="4673880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Alus- ja rakendusuuringute läbivaadatud õigusraamistiku jõustumine ning juriidiliste isikute loomist käsitlevate teiseste õigusaktide väljaandmine.</w:t>
            </w:r>
          </w:p>
          <w:p w14:paraId="5935ADBC" w14:textId="77777777" w:rsidR="00356CBA" w:rsidRPr="00AD4052" w:rsidRDefault="00356CBA">
            <w:pPr>
              <w:spacing w:after="0" w:line="240" w:lineRule="auto"/>
              <w:rPr>
                <w:rFonts w:eastAsia="Times New Roman" w:cs="Calibri"/>
                <w:noProof/>
                <w:color w:val="006100"/>
                <w:sz w:val="18"/>
                <w:szCs w:val="18"/>
                <w:lang w:eastAsia="en-GB"/>
              </w:rPr>
            </w:pPr>
          </w:p>
          <w:p w14:paraId="7B56EC8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Õigusraamistik peab: a) määrata uuesti kindlaks teadusvaldkonnad, mille rahastamist taotletakse ajakohastatud riikliku aruka spetsialiseerumise strateegia (RIS3) raames; b) luua uus juhtimisstruktuur, et parandada nende projektide juhtimist ja koordineerimist; ning c) kehtestada uute teadusasutuste õiguslik seisund. </w:t>
            </w:r>
          </w:p>
          <w:p w14:paraId="50BD9C3D" w14:textId="77777777" w:rsidR="00356CBA" w:rsidRPr="00AD4052" w:rsidRDefault="00356CBA">
            <w:pPr>
              <w:spacing w:after="0" w:line="240" w:lineRule="auto"/>
              <w:rPr>
                <w:rFonts w:eastAsia="Times New Roman" w:cs="Calibri"/>
                <w:noProof/>
                <w:color w:val="006100"/>
                <w:sz w:val="18"/>
                <w:szCs w:val="18"/>
                <w:lang w:eastAsia="en-GB"/>
              </w:rPr>
            </w:pPr>
          </w:p>
          <w:p w14:paraId="151FA0D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Teadusvaldkonnad määravad ühiselt kindlaks riiklik teadusuuringute ja innovatsiooni nõukogu (NCRI) ning arenguministeeriumi teadusuuringute ja innovatsiooni peasekretariaat (GSRI).</w:t>
            </w:r>
          </w:p>
        </w:tc>
      </w:tr>
      <w:tr w:rsidR="00E2773E" w:rsidRPr="003B132A" w14:paraId="33839893" w14:textId="77777777" w:rsidTr="00E2773E">
        <w:trPr>
          <w:trHeight w:val="309"/>
          <w:jc w:val="center"/>
        </w:trPr>
        <w:tc>
          <w:tcPr>
            <w:tcW w:w="1105" w:type="dxa"/>
            <w:tcBorders>
              <w:top w:val="nil"/>
              <w:left w:val="single" w:sz="4" w:space="0" w:color="auto"/>
              <w:bottom w:val="single" w:sz="4" w:space="0" w:color="auto"/>
              <w:right w:val="single" w:sz="4" w:space="0" w:color="auto"/>
            </w:tcBorders>
            <w:shd w:val="clear" w:color="auto" w:fill="C6EFCE"/>
            <w:noWrap/>
          </w:tcPr>
          <w:p w14:paraId="14A4903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246</w:t>
            </w:r>
          </w:p>
        </w:tc>
        <w:tc>
          <w:tcPr>
            <w:tcW w:w="2055" w:type="dxa"/>
            <w:tcBorders>
              <w:top w:val="nil"/>
              <w:left w:val="nil"/>
              <w:bottom w:val="single" w:sz="4" w:space="0" w:color="auto"/>
              <w:right w:val="single" w:sz="4" w:space="0" w:color="auto"/>
            </w:tcBorders>
            <w:shd w:val="clear" w:color="auto" w:fill="C6EFCE"/>
            <w:noWrap/>
          </w:tcPr>
          <w:p w14:paraId="083D54F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16-4.5. Teadusuuringute ja innovatsiooni edendamine – 16624_Creation – Laiendamine – Teadusuuringute ja innovatsiooni peasekretariaadi (GSRI) järelevalve all olevate uurimiskeskuste infrastruktuuride ajakohastamine</w:t>
            </w:r>
          </w:p>
        </w:tc>
        <w:tc>
          <w:tcPr>
            <w:tcW w:w="1094" w:type="dxa"/>
            <w:tcBorders>
              <w:top w:val="nil"/>
              <w:left w:val="nil"/>
              <w:bottom w:val="single" w:sz="4" w:space="0" w:color="auto"/>
              <w:right w:val="single" w:sz="4" w:space="0" w:color="auto"/>
            </w:tcBorders>
            <w:shd w:val="clear" w:color="auto" w:fill="C6EFCE"/>
            <w:noWrap/>
          </w:tcPr>
          <w:p w14:paraId="33F0558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794" w:type="dxa"/>
            <w:tcBorders>
              <w:top w:val="nil"/>
              <w:left w:val="nil"/>
              <w:bottom w:val="single" w:sz="4" w:space="0" w:color="auto"/>
              <w:right w:val="single" w:sz="4" w:space="0" w:color="auto"/>
            </w:tcBorders>
            <w:shd w:val="clear" w:color="auto" w:fill="C6EFCE"/>
            <w:noWrap/>
          </w:tcPr>
          <w:p w14:paraId="260EDE5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Konkursikutse teaduskeskustele</w:t>
            </w:r>
          </w:p>
        </w:tc>
        <w:tc>
          <w:tcPr>
            <w:tcW w:w="1774" w:type="dxa"/>
            <w:tcBorders>
              <w:top w:val="nil"/>
              <w:left w:val="nil"/>
              <w:bottom w:val="single" w:sz="4" w:space="0" w:color="auto"/>
              <w:right w:val="single" w:sz="4" w:space="0" w:color="auto"/>
            </w:tcBorders>
            <w:shd w:val="clear" w:color="auto" w:fill="C6EFCE"/>
            <w:noWrap/>
          </w:tcPr>
          <w:p w14:paraId="23735F9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Avaldatud konkursikutse ja hanke tingimused</w:t>
            </w:r>
          </w:p>
        </w:tc>
        <w:tc>
          <w:tcPr>
            <w:tcW w:w="960" w:type="dxa"/>
            <w:tcBorders>
              <w:top w:val="nil"/>
              <w:left w:val="nil"/>
              <w:bottom w:val="single" w:sz="4" w:space="0" w:color="auto"/>
              <w:right w:val="single" w:sz="4" w:space="0" w:color="auto"/>
            </w:tcBorders>
            <w:shd w:val="clear" w:color="auto" w:fill="C6EFCE"/>
            <w:noWrap/>
          </w:tcPr>
          <w:p w14:paraId="1C278E29"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0" w:type="dxa"/>
            <w:tcBorders>
              <w:top w:val="nil"/>
              <w:left w:val="nil"/>
              <w:bottom w:val="single" w:sz="4" w:space="0" w:color="auto"/>
              <w:right w:val="single" w:sz="4" w:space="0" w:color="auto"/>
            </w:tcBorders>
            <w:shd w:val="clear" w:color="auto" w:fill="C6EFCE"/>
            <w:noWrap/>
          </w:tcPr>
          <w:p w14:paraId="34856DF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607" w:type="dxa"/>
            <w:tcBorders>
              <w:top w:val="nil"/>
              <w:left w:val="nil"/>
              <w:bottom w:val="single" w:sz="4" w:space="0" w:color="auto"/>
              <w:right w:val="single" w:sz="4" w:space="0" w:color="auto"/>
            </w:tcBorders>
            <w:shd w:val="clear" w:color="auto" w:fill="C6EFCE"/>
            <w:noWrap/>
          </w:tcPr>
          <w:p w14:paraId="7DD9A4D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nil"/>
              <w:left w:val="nil"/>
              <w:bottom w:val="single" w:sz="4" w:space="0" w:color="auto"/>
              <w:right w:val="single" w:sz="4" w:space="0" w:color="auto"/>
            </w:tcBorders>
            <w:shd w:val="clear" w:color="auto" w:fill="C6EFCE"/>
            <w:noWrap/>
          </w:tcPr>
          <w:p w14:paraId="2195470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kv</w:t>
            </w:r>
          </w:p>
        </w:tc>
        <w:tc>
          <w:tcPr>
            <w:tcW w:w="707" w:type="dxa"/>
            <w:tcBorders>
              <w:top w:val="nil"/>
              <w:left w:val="nil"/>
              <w:bottom w:val="single" w:sz="4" w:space="0" w:color="auto"/>
              <w:right w:val="single" w:sz="4" w:space="0" w:color="auto"/>
            </w:tcBorders>
            <w:shd w:val="clear" w:color="auto" w:fill="C6EFCE"/>
            <w:noWrap/>
          </w:tcPr>
          <w:p w14:paraId="76D20A7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4113" w:type="dxa"/>
            <w:tcBorders>
              <w:top w:val="nil"/>
              <w:left w:val="nil"/>
              <w:bottom w:val="single" w:sz="4" w:space="0" w:color="auto"/>
              <w:right w:val="single" w:sz="4" w:space="0" w:color="auto"/>
            </w:tcBorders>
            <w:shd w:val="clear" w:color="auto" w:fill="C6EFCE"/>
            <w:noWrap/>
          </w:tcPr>
          <w:p w14:paraId="72E76E6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Konkursikutse loomine – laiendamine – teaduskeskuste taristu ajakohastamine, sealhulgas tehnilise kirjelduse avaldamine, millega tagatakse, et valitud taotlused vastavad tehnilistele suunistele põhimõtte „ei kahjusta oluliselt“ kohaldamise kohta (2021/C58/01), kasutades kõrvalejätmise loetelu ning asjaomaste ELi ja riiklike keskkonnaalaste õigusaktide järgimise nõuet.</w:t>
            </w:r>
          </w:p>
        </w:tc>
      </w:tr>
      <w:tr w:rsidR="00E2773E" w:rsidRPr="003B132A" w14:paraId="346D1E71" w14:textId="77777777" w:rsidTr="00E2773E">
        <w:trPr>
          <w:trHeight w:val="309"/>
          <w:jc w:val="center"/>
        </w:trPr>
        <w:tc>
          <w:tcPr>
            <w:tcW w:w="1105" w:type="dxa"/>
            <w:tcBorders>
              <w:top w:val="nil"/>
              <w:left w:val="single" w:sz="4" w:space="0" w:color="auto"/>
              <w:bottom w:val="single" w:sz="4" w:space="0" w:color="auto"/>
              <w:right w:val="single" w:sz="4" w:space="0" w:color="auto"/>
            </w:tcBorders>
            <w:shd w:val="clear" w:color="auto" w:fill="C6EFCE"/>
            <w:noWrap/>
          </w:tcPr>
          <w:p w14:paraId="5A80FE91" w14:textId="77777777" w:rsidR="00C95E90" w:rsidRPr="00E02B5D" w:rsidRDefault="00C95E90">
            <w:pPr>
              <w:spacing w:after="0" w:line="240" w:lineRule="auto"/>
              <w:rPr>
                <w:rFonts w:eastAsia="Times New Roman" w:cs="Calibri"/>
                <w:noProof/>
                <w:color w:val="006100"/>
                <w:sz w:val="18"/>
                <w:szCs w:val="18"/>
              </w:rPr>
            </w:pPr>
            <w:r>
              <w:rPr>
                <w:noProof/>
                <w:color w:val="006100"/>
                <w:sz w:val="18"/>
              </w:rPr>
              <w:t>247</w:t>
            </w:r>
          </w:p>
        </w:tc>
        <w:tc>
          <w:tcPr>
            <w:tcW w:w="2055" w:type="dxa"/>
            <w:tcBorders>
              <w:top w:val="nil"/>
              <w:left w:val="nil"/>
              <w:bottom w:val="single" w:sz="4" w:space="0" w:color="auto"/>
              <w:right w:val="single" w:sz="4" w:space="0" w:color="auto"/>
            </w:tcBorders>
            <w:shd w:val="clear" w:color="auto" w:fill="C6EFCE"/>
            <w:noWrap/>
          </w:tcPr>
          <w:p w14:paraId="21B2DF3D" w14:textId="77777777" w:rsidR="00C95E90" w:rsidRPr="00E02B5D" w:rsidRDefault="00C95E90">
            <w:pPr>
              <w:spacing w:after="0" w:line="240" w:lineRule="auto"/>
              <w:rPr>
                <w:rFonts w:eastAsia="Times New Roman" w:cs="Calibri"/>
                <w:noProof/>
                <w:color w:val="006100"/>
                <w:sz w:val="18"/>
                <w:szCs w:val="18"/>
              </w:rPr>
            </w:pPr>
            <w:r>
              <w:rPr>
                <w:noProof/>
                <w:color w:val="006100"/>
                <w:sz w:val="18"/>
              </w:rPr>
              <w:t>16-4.5. Teadusuuringute ja innovatsiooni edendamine – 16624_Creation – Laiendamine – Teadusuuringute ja innovatsiooni peasekretariaadi (GSRI) järelevalve all olevate uurimiskeskuste infrastruktuuride ajakohastamine</w:t>
            </w:r>
          </w:p>
        </w:tc>
        <w:tc>
          <w:tcPr>
            <w:tcW w:w="1094" w:type="dxa"/>
            <w:tcBorders>
              <w:top w:val="nil"/>
              <w:left w:val="nil"/>
              <w:bottom w:val="single" w:sz="4" w:space="0" w:color="auto"/>
              <w:right w:val="single" w:sz="4" w:space="0" w:color="auto"/>
            </w:tcBorders>
            <w:shd w:val="clear" w:color="auto" w:fill="C6EFCE"/>
            <w:noWrap/>
          </w:tcPr>
          <w:p w14:paraId="662AE37A" w14:textId="77777777" w:rsidR="00C95E90" w:rsidRPr="00E02B5D" w:rsidRDefault="00C95E90">
            <w:pPr>
              <w:spacing w:after="0" w:line="240" w:lineRule="auto"/>
              <w:rPr>
                <w:rFonts w:eastAsia="Times New Roman" w:cs="Calibri"/>
                <w:noProof/>
                <w:color w:val="006100"/>
                <w:sz w:val="18"/>
                <w:szCs w:val="18"/>
              </w:rPr>
            </w:pPr>
            <w:r>
              <w:rPr>
                <w:noProof/>
                <w:color w:val="006100"/>
                <w:sz w:val="18"/>
              </w:rPr>
              <w:t>Eesmärk</w:t>
            </w:r>
          </w:p>
        </w:tc>
        <w:tc>
          <w:tcPr>
            <w:tcW w:w="1794" w:type="dxa"/>
            <w:tcBorders>
              <w:top w:val="nil"/>
              <w:left w:val="nil"/>
              <w:bottom w:val="single" w:sz="4" w:space="0" w:color="auto"/>
              <w:right w:val="single" w:sz="4" w:space="0" w:color="auto"/>
            </w:tcBorders>
            <w:shd w:val="clear" w:color="auto" w:fill="C6EFCE"/>
            <w:noWrap/>
          </w:tcPr>
          <w:p w14:paraId="1665A1A1" w14:textId="77777777" w:rsidR="00C95E90" w:rsidRPr="00E02B5D" w:rsidRDefault="00C95E90">
            <w:pPr>
              <w:spacing w:after="0" w:line="240" w:lineRule="auto"/>
              <w:rPr>
                <w:rFonts w:eastAsia="Times New Roman" w:cs="Calibri"/>
                <w:noProof/>
                <w:color w:val="006100"/>
                <w:sz w:val="18"/>
                <w:szCs w:val="18"/>
              </w:rPr>
            </w:pPr>
            <w:r>
              <w:rPr>
                <w:noProof/>
                <w:color w:val="006100"/>
                <w:sz w:val="18"/>
              </w:rPr>
              <w:t>Uurimiskeskuste lepingud – ehitustööd</w:t>
            </w:r>
          </w:p>
        </w:tc>
        <w:tc>
          <w:tcPr>
            <w:tcW w:w="1774" w:type="dxa"/>
            <w:tcBorders>
              <w:top w:val="nil"/>
              <w:left w:val="nil"/>
              <w:bottom w:val="single" w:sz="4" w:space="0" w:color="auto"/>
              <w:right w:val="single" w:sz="4" w:space="0" w:color="auto"/>
            </w:tcBorders>
            <w:shd w:val="clear" w:color="auto" w:fill="C6EFCE"/>
            <w:noWrap/>
          </w:tcPr>
          <w:p w14:paraId="53F65CF4" w14:textId="77777777" w:rsidR="00C95E90" w:rsidRPr="00E02B5D" w:rsidRDefault="00C95E90">
            <w:pPr>
              <w:spacing w:after="0" w:line="240" w:lineRule="auto"/>
              <w:rPr>
                <w:rFonts w:eastAsia="Times New Roman" w:cs="Calibri"/>
                <w:noProof/>
                <w:color w:val="006100"/>
                <w:sz w:val="18"/>
                <w:szCs w:val="18"/>
              </w:rPr>
            </w:pPr>
            <w:r>
              <w:rPr>
                <w:noProof/>
                <w:color w:val="006100"/>
                <w:sz w:val="18"/>
              </w:rPr>
              <w:t>Teade ehitustööde hankelepingute sõlmimise kohta</w:t>
            </w:r>
          </w:p>
        </w:tc>
        <w:tc>
          <w:tcPr>
            <w:tcW w:w="960" w:type="dxa"/>
            <w:tcBorders>
              <w:top w:val="nil"/>
              <w:left w:val="nil"/>
              <w:bottom w:val="single" w:sz="4" w:space="0" w:color="auto"/>
              <w:right w:val="single" w:sz="4" w:space="0" w:color="auto"/>
            </w:tcBorders>
            <w:shd w:val="clear" w:color="auto" w:fill="C6EFCE"/>
            <w:noWrap/>
          </w:tcPr>
          <w:p w14:paraId="2D58D0B6" w14:textId="77777777" w:rsidR="00C95E90" w:rsidRPr="00E02B5D" w:rsidRDefault="00C95E90">
            <w:pPr>
              <w:spacing w:after="0" w:line="240" w:lineRule="auto"/>
              <w:rPr>
                <w:rFonts w:eastAsia="Times New Roman" w:cs="Calibri"/>
                <w:noProof/>
                <w:color w:val="006100"/>
                <w:sz w:val="18"/>
                <w:szCs w:val="18"/>
                <w:lang w:val="en-GB" w:eastAsia="en-GB"/>
              </w:rPr>
            </w:pPr>
          </w:p>
        </w:tc>
        <w:tc>
          <w:tcPr>
            <w:tcW w:w="960" w:type="dxa"/>
            <w:tcBorders>
              <w:top w:val="nil"/>
              <w:left w:val="nil"/>
              <w:bottom w:val="single" w:sz="4" w:space="0" w:color="auto"/>
              <w:right w:val="single" w:sz="4" w:space="0" w:color="auto"/>
            </w:tcBorders>
            <w:shd w:val="clear" w:color="auto" w:fill="C6EFCE"/>
            <w:noWrap/>
          </w:tcPr>
          <w:p w14:paraId="434BA850" w14:textId="77777777" w:rsidR="00C95E90" w:rsidRPr="00E02B5D" w:rsidRDefault="00C95E90">
            <w:pPr>
              <w:spacing w:after="0" w:line="240" w:lineRule="auto"/>
              <w:rPr>
                <w:rFonts w:eastAsia="Times New Roman" w:cs="Calibri"/>
                <w:noProof/>
                <w:color w:val="006100"/>
                <w:sz w:val="18"/>
                <w:szCs w:val="18"/>
                <w:lang w:val="en-GB" w:eastAsia="en-GB"/>
              </w:rPr>
            </w:pPr>
          </w:p>
        </w:tc>
        <w:tc>
          <w:tcPr>
            <w:tcW w:w="607" w:type="dxa"/>
            <w:tcBorders>
              <w:top w:val="nil"/>
              <w:left w:val="nil"/>
              <w:bottom w:val="single" w:sz="4" w:space="0" w:color="auto"/>
              <w:right w:val="single" w:sz="4" w:space="0" w:color="auto"/>
            </w:tcBorders>
            <w:shd w:val="clear" w:color="auto" w:fill="C6EFCE"/>
            <w:noWrap/>
          </w:tcPr>
          <w:p w14:paraId="4884E8DE" w14:textId="77777777" w:rsidR="00C95E90" w:rsidRPr="00E02B5D" w:rsidRDefault="00C95E90">
            <w:pPr>
              <w:spacing w:after="0" w:line="240" w:lineRule="auto"/>
              <w:rPr>
                <w:rFonts w:eastAsia="Times New Roman" w:cs="Calibri"/>
                <w:noProof/>
                <w:color w:val="006100"/>
                <w:sz w:val="18"/>
                <w:szCs w:val="18"/>
                <w:lang w:val="en-GB" w:eastAsia="en-GB"/>
              </w:rPr>
            </w:pPr>
          </w:p>
        </w:tc>
        <w:tc>
          <w:tcPr>
            <w:tcW w:w="992" w:type="dxa"/>
            <w:tcBorders>
              <w:top w:val="nil"/>
              <w:left w:val="nil"/>
              <w:bottom w:val="single" w:sz="4" w:space="0" w:color="auto"/>
              <w:right w:val="single" w:sz="4" w:space="0" w:color="auto"/>
            </w:tcBorders>
            <w:shd w:val="clear" w:color="auto" w:fill="C6EFCE"/>
            <w:noWrap/>
          </w:tcPr>
          <w:p w14:paraId="2DE66464" w14:textId="77777777" w:rsidR="00C95E90" w:rsidRPr="00E02B5D" w:rsidRDefault="00C95E90">
            <w:pPr>
              <w:spacing w:after="0" w:line="240" w:lineRule="auto"/>
              <w:rPr>
                <w:rFonts w:eastAsia="Times New Roman" w:cs="Calibri"/>
                <w:noProof/>
                <w:color w:val="006100"/>
                <w:sz w:val="18"/>
                <w:szCs w:val="18"/>
              </w:rPr>
            </w:pPr>
            <w:r>
              <w:rPr>
                <w:noProof/>
                <w:color w:val="006100"/>
                <w:sz w:val="18"/>
              </w:rPr>
              <w:t>1. kv</w:t>
            </w:r>
          </w:p>
        </w:tc>
        <w:tc>
          <w:tcPr>
            <w:tcW w:w="707" w:type="dxa"/>
            <w:tcBorders>
              <w:top w:val="nil"/>
              <w:left w:val="nil"/>
              <w:bottom w:val="single" w:sz="4" w:space="0" w:color="auto"/>
              <w:right w:val="single" w:sz="4" w:space="0" w:color="auto"/>
            </w:tcBorders>
            <w:shd w:val="clear" w:color="auto" w:fill="C6EFCE"/>
            <w:noWrap/>
          </w:tcPr>
          <w:p w14:paraId="7AA61EB3" w14:textId="77777777" w:rsidR="00C95E90" w:rsidRPr="00E02B5D" w:rsidRDefault="00C95E90">
            <w:pPr>
              <w:spacing w:after="0" w:line="240" w:lineRule="auto"/>
              <w:rPr>
                <w:rFonts w:eastAsia="Times New Roman" w:cs="Calibri"/>
                <w:noProof/>
                <w:color w:val="006100"/>
                <w:sz w:val="18"/>
                <w:szCs w:val="18"/>
              </w:rPr>
            </w:pPr>
            <w:r>
              <w:rPr>
                <w:noProof/>
                <w:color w:val="006100"/>
                <w:sz w:val="18"/>
              </w:rPr>
              <w:t>2024</w:t>
            </w:r>
          </w:p>
        </w:tc>
        <w:tc>
          <w:tcPr>
            <w:tcW w:w="4113" w:type="dxa"/>
            <w:tcBorders>
              <w:top w:val="nil"/>
              <w:left w:val="nil"/>
              <w:bottom w:val="single" w:sz="4" w:space="0" w:color="auto"/>
              <w:right w:val="single" w:sz="4" w:space="0" w:color="auto"/>
            </w:tcBorders>
            <w:shd w:val="clear" w:color="auto" w:fill="C6EFCE"/>
            <w:noWrap/>
          </w:tcPr>
          <w:p w14:paraId="51F4B914" w14:textId="77777777" w:rsidR="00C95E90" w:rsidRPr="00E02B5D" w:rsidRDefault="00C95E90">
            <w:pPr>
              <w:spacing w:after="0" w:line="240" w:lineRule="auto"/>
              <w:rPr>
                <w:rFonts w:eastAsia="Times New Roman" w:cs="Calibri"/>
                <w:noProof/>
                <w:color w:val="006100"/>
                <w:sz w:val="18"/>
                <w:szCs w:val="18"/>
              </w:rPr>
            </w:pPr>
            <w:r>
              <w:rPr>
                <w:noProof/>
                <w:color w:val="006100"/>
                <w:sz w:val="18"/>
              </w:rPr>
              <w:t>Teadusuuringute ja innovatsiooni peasekretariaadi (GSRI) järelevalve all oleva teaduskeskuste infrastruktuuride uuendamise meetmega seotud ettepanekute valimine ja ehitustööde lepingute sõlmimine.</w:t>
            </w:r>
          </w:p>
        </w:tc>
      </w:tr>
      <w:tr w:rsidR="00E2773E" w:rsidRPr="003B132A" w14:paraId="63E9C2F5" w14:textId="77777777" w:rsidTr="00E2773E">
        <w:trPr>
          <w:trHeight w:val="309"/>
          <w:jc w:val="center"/>
        </w:trPr>
        <w:tc>
          <w:tcPr>
            <w:tcW w:w="1105" w:type="dxa"/>
            <w:tcBorders>
              <w:top w:val="nil"/>
              <w:left w:val="single" w:sz="4" w:space="0" w:color="auto"/>
              <w:bottom w:val="single" w:sz="4" w:space="0" w:color="auto"/>
              <w:right w:val="single" w:sz="4" w:space="0" w:color="auto"/>
            </w:tcBorders>
            <w:shd w:val="clear" w:color="auto" w:fill="C6EFCE"/>
            <w:noWrap/>
          </w:tcPr>
          <w:p w14:paraId="5935974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247a</w:t>
            </w:r>
          </w:p>
        </w:tc>
        <w:tc>
          <w:tcPr>
            <w:tcW w:w="2055" w:type="dxa"/>
            <w:tcBorders>
              <w:top w:val="nil"/>
              <w:left w:val="nil"/>
              <w:bottom w:val="single" w:sz="4" w:space="0" w:color="auto"/>
              <w:right w:val="single" w:sz="4" w:space="0" w:color="auto"/>
            </w:tcBorders>
            <w:shd w:val="clear" w:color="auto" w:fill="C6EFCE"/>
            <w:noWrap/>
          </w:tcPr>
          <w:p w14:paraId="77F9BB3C" w14:textId="77777777" w:rsidR="00356CBA" w:rsidRPr="00E02B5D" w:rsidRDefault="00356CBA" w:rsidP="00D16F13">
            <w:pPr>
              <w:spacing w:after="0" w:line="240" w:lineRule="auto"/>
              <w:rPr>
                <w:rFonts w:eastAsia="Times New Roman"/>
                <w:noProof/>
                <w:color w:val="006100"/>
                <w:sz w:val="18"/>
                <w:szCs w:val="18"/>
              </w:rPr>
            </w:pPr>
            <w:r>
              <w:rPr>
                <w:noProof/>
                <w:color w:val="006100"/>
                <w:sz w:val="18"/>
              </w:rPr>
              <w:t>16-4.5. Teadusuuringute ja innovatsiooni edendamine – 16624_Creation – Laiendamine – Teadusuuringute ja innovatsiooni peasekretariaadi (GSRI) järelevalve all olevate uurimiskeskuste infrastruktuuride ajakohastamine</w:t>
            </w:r>
          </w:p>
        </w:tc>
        <w:tc>
          <w:tcPr>
            <w:tcW w:w="1094" w:type="dxa"/>
            <w:tcBorders>
              <w:top w:val="nil"/>
              <w:left w:val="nil"/>
              <w:bottom w:val="single" w:sz="4" w:space="0" w:color="auto"/>
              <w:right w:val="single" w:sz="4" w:space="0" w:color="auto"/>
            </w:tcBorders>
            <w:shd w:val="clear" w:color="auto" w:fill="C6EFCE"/>
            <w:noWrap/>
          </w:tcPr>
          <w:p w14:paraId="4290E65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1794" w:type="dxa"/>
            <w:tcBorders>
              <w:top w:val="nil"/>
              <w:left w:val="nil"/>
              <w:bottom w:val="single" w:sz="4" w:space="0" w:color="auto"/>
              <w:right w:val="single" w:sz="4" w:space="0" w:color="auto"/>
            </w:tcBorders>
            <w:shd w:val="clear" w:color="auto" w:fill="C6EFCE"/>
            <w:noWrap/>
          </w:tcPr>
          <w:p w14:paraId="4BE1165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Uurimiskeskuste lepingud – seadmed ja muud teenused</w:t>
            </w:r>
          </w:p>
        </w:tc>
        <w:tc>
          <w:tcPr>
            <w:tcW w:w="1774" w:type="dxa"/>
            <w:tcBorders>
              <w:top w:val="nil"/>
              <w:left w:val="nil"/>
              <w:bottom w:val="single" w:sz="4" w:space="0" w:color="auto"/>
              <w:right w:val="single" w:sz="4" w:space="0" w:color="auto"/>
            </w:tcBorders>
            <w:shd w:val="clear" w:color="auto" w:fill="C6EFCE"/>
            <w:noWrap/>
          </w:tcPr>
          <w:p w14:paraId="1522915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Seadmete ja muude teenuste hankelepingute sõlmimisest teatamine</w:t>
            </w:r>
          </w:p>
        </w:tc>
        <w:tc>
          <w:tcPr>
            <w:tcW w:w="960" w:type="dxa"/>
            <w:tcBorders>
              <w:top w:val="nil"/>
              <w:left w:val="nil"/>
              <w:bottom w:val="single" w:sz="4" w:space="0" w:color="auto"/>
              <w:right w:val="single" w:sz="4" w:space="0" w:color="auto"/>
            </w:tcBorders>
            <w:shd w:val="clear" w:color="auto" w:fill="C6EFCE"/>
            <w:noWrap/>
          </w:tcPr>
          <w:p w14:paraId="6A2ECE55"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960" w:type="dxa"/>
            <w:tcBorders>
              <w:top w:val="nil"/>
              <w:left w:val="nil"/>
              <w:bottom w:val="single" w:sz="4" w:space="0" w:color="auto"/>
              <w:right w:val="single" w:sz="4" w:space="0" w:color="auto"/>
            </w:tcBorders>
            <w:shd w:val="clear" w:color="auto" w:fill="C6EFCE"/>
            <w:noWrap/>
          </w:tcPr>
          <w:p w14:paraId="20AE8C44"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607" w:type="dxa"/>
            <w:tcBorders>
              <w:top w:val="nil"/>
              <w:left w:val="nil"/>
              <w:bottom w:val="single" w:sz="4" w:space="0" w:color="auto"/>
              <w:right w:val="single" w:sz="4" w:space="0" w:color="auto"/>
            </w:tcBorders>
            <w:shd w:val="clear" w:color="auto" w:fill="C6EFCE"/>
            <w:noWrap/>
          </w:tcPr>
          <w:p w14:paraId="6347CA11"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992" w:type="dxa"/>
            <w:tcBorders>
              <w:top w:val="nil"/>
              <w:left w:val="nil"/>
              <w:bottom w:val="single" w:sz="4" w:space="0" w:color="auto"/>
              <w:right w:val="single" w:sz="4" w:space="0" w:color="auto"/>
            </w:tcBorders>
            <w:shd w:val="clear" w:color="auto" w:fill="C6EFCE"/>
            <w:noWrap/>
          </w:tcPr>
          <w:p w14:paraId="541FE55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 kv</w:t>
            </w:r>
          </w:p>
        </w:tc>
        <w:tc>
          <w:tcPr>
            <w:tcW w:w="707" w:type="dxa"/>
            <w:tcBorders>
              <w:top w:val="nil"/>
              <w:left w:val="nil"/>
              <w:bottom w:val="single" w:sz="4" w:space="0" w:color="auto"/>
              <w:right w:val="single" w:sz="4" w:space="0" w:color="auto"/>
            </w:tcBorders>
            <w:shd w:val="clear" w:color="auto" w:fill="C6EFCE"/>
            <w:noWrap/>
          </w:tcPr>
          <w:p w14:paraId="66AD008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2024</w:t>
            </w:r>
          </w:p>
        </w:tc>
        <w:tc>
          <w:tcPr>
            <w:tcW w:w="4113" w:type="dxa"/>
            <w:tcBorders>
              <w:top w:val="nil"/>
              <w:left w:val="nil"/>
              <w:bottom w:val="single" w:sz="4" w:space="0" w:color="auto"/>
              <w:right w:val="single" w:sz="4" w:space="0" w:color="auto"/>
            </w:tcBorders>
            <w:shd w:val="clear" w:color="auto" w:fill="C6EFCE"/>
            <w:noWrap/>
          </w:tcPr>
          <w:p w14:paraId="15FB474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Teadusuuringute ja innovatsiooni peasekretariaadi (GSRI) järelevalve all oleva teaduskeskuste infrastruktuuride uuendamisega seotud ettepanekute väljavalimine ja lepingute sõlmimine seadmete ja muude teenuste jaoks.</w:t>
            </w:r>
          </w:p>
        </w:tc>
      </w:tr>
      <w:tr w:rsidR="00E2773E" w:rsidRPr="003B132A" w14:paraId="6CE0DD48" w14:textId="77777777" w:rsidTr="00E2773E">
        <w:trPr>
          <w:trHeight w:val="309"/>
          <w:jc w:val="center"/>
        </w:trPr>
        <w:tc>
          <w:tcPr>
            <w:tcW w:w="1105" w:type="dxa"/>
            <w:tcBorders>
              <w:top w:val="nil"/>
              <w:left w:val="single" w:sz="4" w:space="0" w:color="auto"/>
              <w:bottom w:val="single" w:sz="4" w:space="0" w:color="auto"/>
              <w:right w:val="single" w:sz="4" w:space="0" w:color="auto"/>
            </w:tcBorders>
            <w:shd w:val="clear" w:color="auto" w:fill="C6EFCE"/>
            <w:noWrap/>
          </w:tcPr>
          <w:p w14:paraId="19E9273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248</w:t>
            </w:r>
          </w:p>
        </w:tc>
        <w:tc>
          <w:tcPr>
            <w:tcW w:w="2055" w:type="dxa"/>
            <w:tcBorders>
              <w:top w:val="nil"/>
              <w:left w:val="nil"/>
              <w:bottom w:val="single" w:sz="4" w:space="0" w:color="auto"/>
              <w:right w:val="single" w:sz="4" w:space="0" w:color="auto"/>
            </w:tcBorders>
            <w:shd w:val="clear" w:color="auto" w:fill="C6EFCE"/>
            <w:noWrap/>
          </w:tcPr>
          <w:p w14:paraId="20934121" w14:textId="7429DFD4" w:rsidR="00356CBA" w:rsidRPr="00E02B5D" w:rsidRDefault="00356CBA" w:rsidP="00D16F13">
            <w:pPr>
              <w:spacing w:after="0" w:line="240" w:lineRule="auto"/>
              <w:rPr>
                <w:rFonts w:eastAsia="Times New Roman" w:cs="Calibri"/>
                <w:noProof/>
                <w:color w:val="006100"/>
                <w:sz w:val="18"/>
                <w:szCs w:val="18"/>
              </w:rPr>
            </w:pPr>
            <w:r>
              <w:rPr>
                <w:noProof/>
                <w:color w:val="006100"/>
                <w:sz w:val="18"/>
              </w:rPr>
              <w:t>16-4.5. Teadusuuringute ja innovatsiooni edendamine – 16654_ TH</w:t>
            </w:r>
            <w:r>
              <w:rPr>
                <w:noProof/>
                <w:color w:val="006100"/>
                <w:sz w:val="18"/>
                <w:vertAlign w:val="superscript"/>
              </w:rPr>
              <w:t>2</w:t>
            </w:r>
            <w:r>
              <w:rPr>
                <w:noProof/>
                <w:color w:val="006100"/>
                <w:sz w:val="18"/>
              </w:rPr>
              <w:t>ORAX: Tellis Holistic &amp; Hübriidne töökindel autonoomne eeskujusüsteem</w:t>
            </w:r>
          </w:p>
        </w:tc>
        <w:tc>
          <w:tcPr>
            <w:tcW w:w="1094" w:type="dxa"/>
            <w:tcBorders>
              <w:top w:val="nil"/>
              <w:left w:val="nil"/>
              <w:bottom w:val="single" w:sz="4" w:space="0" w:color="auto"/>
              <w:right w:val="single" w:sz="4" w:space="0" w:color="auto"/>
            </w:tcBorders>
            <w:shd w:val="clear" w:color="auto" w:fill="C6EFCE"/>
            <w:noWrap/>
          </w:tcPr>
          <w:p w14:paraId="4C364D0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1794" w:type="dxa"/>
            <w:tcBorders>
              <w:top w:val="nil"/>
              <w:left w:val="nil"/>
              <w:bottom w:val="single" w:sz="4" w:space="0" w:color="auto"/>
              <w:right w:val="single" w:sz="4" w:space="0" w:color="auto"/>
            </w:tcBorders>
            <w:shd w:val="clear" w:color="auto" w:fill="C6EFCE"/>
            <w:noWrap/>
          </w:tcPr>
          <w:p w14:paraId="5A35EEAB" w14:textId="77777777" w:rsidR="00356CBA" w:rsidRPr="006F63D8" w:rsidRDefault="00356CBA" w:rsidP="00D16F13">
            <w:pPr>
              <w:spacing w:after="0" w:line="240" w:lineRule="auto"/>
              <w:rPr>
                <w:rFonts w:eastAsia="Times New Roman" w:cs="Calibri"/>
                <w:noProof/>
                <w:color w:val="006100"/>
                <w:sz w:val="18"/>
                <w:szCs w:val="18"/>
              </w:rPr>
            </w:pPr>
            <w:r>
              <w:rPr>
                <w:noProof/>
                <w:color w:val="006100"/>
                <w:sz w:val="18"/>
              </w:rPr>
              <w:t>TH²ORAXi hankelepingud</w:t>
            </w:r>
          </w:p>
        </w:tc>
        <w:tc>
          <w:tcPr>
            <w:tcW w:w="1774" w:type="dxa"/>
            <w:tcBorders>
              <w:top w:val="nil"/>
              <w:left w:val="nil"/>
              <w:bottom w:val="single" w:sz="4" w:space="0" w:color="auto"/>
              <w:right w:val="single" w:sz="4" w:space="0" w:color="auto"/>
            </w:tcBorders>
            <w:shd w:val="clear" w:color="auto" w:fill="C6EFCE"/>
            <w:noWrap/>
          </w:tcPr>
          <w:p w14:paraId="6211E9E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Lepingute sõlmimisest teatamine</w:t>
            </w:r>
          </w:p>
        </w:tc>
        <w:tc>
          <w:tcPr>
            <w:tcW w:w="960" w:type="dxa"/>
            <w:tcBorders>
              <w:top w:val="nil"/>
              <w:left w:val="nil"/>
              <w:bottom w:val="single" w:sz="4" w:space="0" w:color="auto"/>
              <w:right w:val="single" w:sz="4" w:space="0" w:color="auto"/>
            </w:tcBorders>
            <w:shd w:val="clear" w:color="auto" w:fill="C6EFCE"/>
            <w:noWrap/>
          </w:tcPr>
          <w:p w14:paraId="6446AC83"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960" w:type="dxa"/>
            <w:tcBorders>
              <w:top w:val="nil"/>
              <w:left w:val="nil"/>
              <w:bottom w:val="single" w:sz="4" w:space="0" w:color="auto"/>
              <w:right w:val="single" w:sz="4" w:space="0" w:color="auto"/>
            </w:tcBorders>
            <w:shd w:val="clear" w:color="auto" w:fill="C6EFCE"/>
            <w:noWrap/>
          </w:tcPr>
          <w:p w14:paraId="065511E2"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607" w:type="dxa"/>
            <w:tcBorders>
              <w:top w:val="nil"/>
              <w:left w:val="nil"/>
              <w:bottom w:val="single" w:sz="4" w:space="0" w:color="auto"/>
              <w:right w:val="single" w:sz="4" w:space="0" w:color="auto"/>
            </w:tcBorders>
            <w:shd w:val="clear" w:color="auto" w:fill="C6EFCE"/>
            <w:noWrap/>
          </w:tcPr>
          <w:p w14:paraId="089BBAFC"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992" w:type="dxa"/>
            <w:tcBorders>
              <w:top w:val="nil"/>
              <w:left w:val="nil"/>
              <w:bottom w:val="single" w:sz="4" w:space="0" w:color="auto"/>
              <w:right w:val="single" w:sz="4" w:space="0" w:color="auto"/>
            </w:tcBorders>
            <w:shd w:val="clear" w:color="auto" w:fill="C6EFCE"/>
            <w:noWrap/>
          </w:tcPr>
          <w:p w14:paraId="59610BA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kv</w:t>
            </w:r>
          </w:p>
        </w:tc>
        <w:tc>
          <w:tcPr>
            <w:tcW w:w="707" w:type="dxa"/>
            <w:tcBorders>
              <w:top w:val="nil"/>
              <w:left w:val="nil"/>
              <w:bottom w:val="single" w:sz="4" w:space="0" w:color="auto"/>
              <w:right w:val="single" w:sz="4" w:space="0" w:color="auto"/>
            </w:tcBorders>
            <w:shd w:val="clear" w:color="auto" w:fill="C6EFCE"/>
            <w:noWrap/>
          </w:tcPr>
          <w:p w14:paraId="7B089852"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2024</w:t>
            </w:r>
          </w:p>
        </w:tc>
        <w:tc>
          <w:tcPr>
            <w:tcW w:w="4113" w:type="dxa"/>
            <w:tcBorders>
              <w:top w:val="nil"/>
              <w:left w:val="nil"/>
              <w:bottom w:val="single" w:sz="4" w:space="0" w:color="auto"/>
              <w:right w:val="single" w:sz="4" w:space="0" w:color="auto"/>
            </w:tcBorders>
            <w:shd w:val="clear" w:color="auto" w:fill="C6EFCE"/>
            <w:noWrap/>
          </w:tcPr>
          <w:p w14:paraId="13C88AC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TH²ORAX projekti lepingute sõlmimine.</w:t>
            </w:r>
          </w:p>
          <w:p w14:paraId="3EEB888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Hindamisprotsessi tõhusa rakendamise eest vastutavad arengu- ja investeerimisministeerium ning teadusuuringute ja innovatsiooni peasekretariaat (GSRI). Leping(ud) sõlmitakse parima hinna ja kvaliteedi suhte alusel. </w:t>
            </w:r>
          </w:p>
        </w:tc>
      </w:tr>
      <w:tr w:rsidR="00E2773E" w:rsidRPr="003B132A" w14:paraId="520FCB66" w14:textId="77777777" w:rsidTr="00E2773E">
        <w:trPr>
          <w:trHeight w:val="309"/>
          <w:jc w:val="center"/>
        </w:trPr>
        <w:tc>
          <w:tcPr>
            <w:tcW w:w="1105" w:type="dxa"/>
            <w:tcBorders>
              <w:top w:val="single" w:sz="4" w:space="0" w:color="auto"/>
              <w:left w:val="single" w:sz="4" w:space="0" w:color="auto"/>
              <w:bottom w:val="single" w:sz="4" w:space="0" w:color="auto"/>
              <w:right w:val="single" w:sz="4" w:space="0" w:color="auto"/>
            </w:tcBorders>
            <w:shd w:val="clear" w:color="auto" w:fill="C6EFCE"/>
            <w:noWrap/>
          </w:tcPr>
          <w:p w14:paraId="09960F3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249</w:t>
            </w:r>
          </w:p>
        </w:tc>
        <w:tc>
          <w:tcPr>
            <w:tcW w:w="2055" w:type="dxa"/>
            <w:tcBorders>
              <w:top w:val="single" w:sz="4" w:space="0" w:color="auto"/>
              <w:left w:val="nil"/>
              <w:bottom w:val="single" w:sz="4" w:space="0" w:color="auto"/>
              <w:right w:val="single" w:sz="4" w:space="0" w:color="auto"/>
            </w:tcBorders>
            <w:shd w:val="clear" w:color="auto" w:fill="C6EFCE"/>
            <w:noWrap/>
          </w:tcPr>
          <w:p w14:paraId="5CD3693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16-4.5. Teadusuuringute ja innovatsiooni edendamine – 16624_Creation – Laiendamine – Teadusuuringute ja innovatsiooni peasekretariaadi (GSRI) järelevalve all olevate uurimiskeskuste infrastruktuuride ajakohastamine</w:t>
            </w:r>
          </w:p>
        </w:tc>
        <w:tc>
          <w:tcPr>
            <w:tcW w:w="1094" w:type="dxa"/>
            <w:tcBorders>
              <w:top w:val="single" w:sz="4" w:space="0" w:color="auto"/>
              <w:left w:val="nil"/>
              <w:bottom w:val="single" w:sz="4" w:space="0" w:color="auto"/>
              <w:right w:val="single" w:sz="4" w:space="0" w:color="auto"/>
            </w:tcBorders>
            <w:shd w:val="clear" w:color="auto" w:fill="C6EFCE"/>
            <w:noWrap/>
          </w:tcPr>
          <w:p w14:paraId="3577EC1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1794" w:type="dxa"/>
            <w:tcBorders>
              <w:top w:val="single" w:sz="4" w:space="0" w:color="auto"/>
              <w:left w:val="nil"/>
              <w:bottom w:val="single" w:sz="4" w:space="0" w:color="auto"/>
              <w:right w:val="single" w:sz="4" w:space="0" w:color="auto"/>
            </w:tcBorders>
            <w:shd w:val="clear" w:color="auto" w:fill="C6EFCE"/>
            <w:noWrap/>
          </w:tcPr>
          <w:p w14:paraId="54AA413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Teaduskeskuste projektide lõpuleviimine</w:t>
            </w:r>
          </w:p>
        </w:tc>
        <w:tc>
          <w:tcPr>
            <w:tcW w:w="1774" w:type="dxa"/>
            <w:tcBorders>
              <w:top w:val="single" w:sz="4" w:space="0" w:color="auto"/>
              <w:left w:val="nil"/>
              <w:bottom w:val="single" w:sz="4" w:space="0" w:color="auto"/>
              <w:right w:val="single" w:sz="4" w:space="0" w:color="auto"/>
            </w:tcBorders>
            <w:shd w:val="clear" w:color="auto" w:fill="C6EFCE"/>
            <w:noWrap/>
          </w:tcPr>
          <w:p w14:paraId="2295DB8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Teadusuuringute ja innovatsiooni peasekretariaadi (GSRI) aruanne, mis tõendab, et projektid on lõpule viidud</w:t>
            </w:r>
          </w:p>
        </w:tc>
        <w:tc>
          <w:tcPr>
            <w:tcW w:w="960" w:type="dxa"/>
            <w:tcBorders>
              <w:top w:val="single" w:sz="4" w:space="0" w:color="auto"/>
              <w:left w:val="nil"/>
              <w:bottom w:val="single" w:sz="4" w:space="0" w:color="auto"/>
              <w:right w:val="single" w:sz="4" w:space="0" w:color="auto"/>
            </w:tcBorders>
            <w:shd w:val="clear" w:color="auto" w:fill="C6EFCE"/>
            <w:noWrap/>
          </w:tcPr>
          <w:p w14:paraId="6A131152"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14:paraId="788C63BB"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607" w:type="dxa"/>
            <w:tcBorders>
              <w:top w:val="single" w:sz="4" w:space="0" w:color="auto"/>
              <w:left w:val="nil"/>
              <w:bottom w:val="single" w:sz="4" w:space="0" w:color="auto"/>
              <w:right w:val="single" w:sz="4" w:space="0" w:color="auto"/>
            </w:tcBorders>
            <w:shd w:val="clear" w:color="auto" w:fill="C6EFCE"/>
            <w:noWrap/>
          </w:tcPr>
          <w:p w14:paraId="3CDB012F"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38C9327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707" w:type="dxa"/>
            <w:tcBorders>
              <w:top w:val="single" w:sz="4" w:space="0" w:color="auto"/>
              <w:left w:val="nil"/>
              <w:bottom w:val="single" w:sz="4" w:space="0" w:color="auto"/>
              <w:right w:val="single" w:sz="4" w:space="0" w:color="auto"/>
            </w:tcBorders>
            <w:shd w:val="clear" w:color="auto" w:fill="C6EFCE"/>
            <w:noWrap/>
          </w:tcPr>
          <w:p w14:paraId="19A25A5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2025</w:t>
            </w:r>
          </w:p>
        </w:tc>
        <w:tc>
          <w:tcPr>
            <w:tcW w:w="4113" w:type="dxa"/>
            <w:tcBorders>
              <w:top w:val="single" w:sz="4" w:space="0" w:color="auto"/>
              <w:left w:val="nil"/>
              <w:bottom w:val="single" w:sz="4" w:space="0" w:color="auto"/>
              <w:right w:val="single" w:sz="4" w:space="0" w:color="auto"/>
            </w:tcBorders>
            <w:shd w:val="clear" w:color="auto" w:fill="C6EFCE"/>
            <w:noWrap/>
          </w:tcPr>
          <w:p w14:paraId="046FDA21"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Kõigi allprojektide lõpuleviimine GSRI järelevalve all olevate uurimiskeskuste taristute laiendamise ja laiendamise raames, nimelt: teadusuuringute ja tehnoloogia sihtasutus Hellas; ATHENA teadus- ja innovatsioonikeskus; BSRC Fleming; Teadusuuringute ja tehnoloogia keskus Hellas; Kreeka riiklik teadusuuringute sihtasutus; Ateena biomeditsiiniuuringute Akadeemia; Ateena riiklik vaatluskeskus; Kreeka Mereuuringute Keskus; Kreeka Pasteuri Instituut; riiklik sotsiaaluuringute keskus; Kreeka Aatomienergia Komisjon </w:t>
            </w:r>
          </w:p>
        </w:tc>
      </w:tr>
      <w:tr w:rsidR="00E2773E" w:rsidRPr="003B132A" w14:paraId="4CDCADE3" w14:textId="77777777" w:rsidTr="00E2773E">
        <w:trPr>
          <w:trHeight w:val="309"/>
          <w:jc w:val="center"/>
        </w:trPr>
        <w:tc>
          <w:tcPr>
            <w:tcW w:w="1105" w:type="dxa"/>
            <w:tcBorders>
              <w:top w:val="single" w:sz="4" w:space="0" w:color="auto"/>
              <w:left w:val="single" w:sz="4" w:space="0" w:color="auto"/>
              <w:bottom w:val="single" w:sz="4" w:space="0" w:color="auto"/>
              <w:right w:val="single" w:sz="4" w:space="0" w:color="auto"/>
            </w:tcBorders>
            <w:shd w:val="clear" w:color="auto" w:fill="C6EFCE"/>
            <w:noWrap/>
          </w:tcPr>
          <w:p w14:paraId="42FAF6B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250</w:t>
            </w:r>
          </w:p>
        </w:tc>
        <w:tc>
          <w:tcPr>
            <w:tcW w:w="2055" w:type="dxa"/>
            <w:tcBorders>
              <w:top w:val="single" w:sz="4" w:space="0" w:color="auto"/>
              <w:left w:val="nil"/>
              <w:bottom w:val="single" w:sz="4" w:space="0" w:color="auto"/>
              <w:right w:val="single" w:sz="4" w:space="0" w:color="auto"/>
            </w:tcBorders>
            <w:shd w:val="clear" w:color="auto" w:fill="C6EFCE"/>
            <w:noWrap/>
          </w:tcPr>
          <w:p w14:paraId="30D7FBE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16-4.5. Teadusuuringute ja innovatsiooni edendamine – 16618_Alus- ja rakendusuuringud</w:t>
            </w:r>
          </w:p>
        </w:tc>
        <w:tc>
          <w:tcPr>
            <w:tcW w:w="1094" w:type="dxa"/>
            <w:tcBorders>
              <w:top w:val="single" w:sz="4" w:space="0" w:color="auto"/>
              <w:left w:val="nil"/>
              <w:bottom w:val="single" w:sz="4" w:space="0" w:color="auto"/>
              <w:right w:val="single" w:sz="4" w:space="0" w:color="auto"/>
            </w:tcBorders>
            <w:shd w:val="clear" w:color="auto" w:fill="C6EFCE"/>
            <w:noWrap/>
          </w:tcPr>
          <w:p w14:paraId="68E7F84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1794" w:type="dxa"/>
            <w:tcBorders>
              <w:top w:val="single" w:sz="4" w:space="0" w:color="auto"/>
              <w:left w:val="nil"/>
              <w:bottom w:val="single" w:sz="4" w:space="0" w:color="auto"/>
              <w:right w:val="single" w:sz="4" w:space="0" w:color="auto"/>
            </w:tcBorders>
            <w:shd w:val="clear" w:color="auto" w:fill="C6EFCE"/>
            <w:noWrap/>
          </w:tcPr>
          <w:p w14:paraId="262CA572"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Baas- ja näidisprojektide lõpuleviimine; rakenduslikud teadusprojektid</w:t>
            </w:r>
          </w:p>
        </w:tc>
        <w:tc>
          <w:tcPr>
            <w:tcW w:w="1774" w:type="dxa"/>
            <w:tcBorders>
              <w:top w:val="single" w:sz="4" w:space="0" w:color="auto"/>
              <w:left w:val="nil"/>
              <w:bottom w:val="single" w:sz="4" w:space="0" w:color="auto"/>
              <w:right w:val="single" w:sz="4" w:space="0" w:color="auto"/>
            </w:tcBorders>
            <w:shd w:val="clear" w:color="auto" w:fill="C6EFCE"/>
            <w:noWrap/>
          </w:tcPr>
          <w:p w14:paraId="19D3BE3D"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Teadusuuringute ja innovatsiooni peasekretariaadi (GSRI) aruanne, mis tõendab, et projektid on lõpule viidud</w:t>
            </w:r>
          </w:p>
        </w:tc>
        <w:tc>
          <w:tcPr>
            <w:tcW w:w="960" w:type="dxa"/>
            <w:tcBorders>
              <w:top w:val="single" w:sz="4" w:space="0" w:color="auto"/>
              <w:left w:val="nil"/>
              <w:bottom w:val="single" w:sz="4" w:space="0" w:color="auto"/>
              <w:right w:val="single" w:sz="4" w:space="0" w:color="auto"/>
            </w:tcBorders>
            <w:shd w:val="clear" w:color="auto" w:fill="C6EFCE"/>
            <w:noWrap/>
          </w:tcPr>
          <w:p w14:paraId="6B35E9FF"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14:paraId="0E5ED28D"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607" w:type="dxa"/>
            <w:tcBorders>
              <w:top w:val="single" w:sz="4" w:space="0" w:color="auto"/>
              <w:left w:val="nil"/>
              <w:bottom w:val="single" w:sz="4" w:space="0" w:color="auto"/>
              <w:right w:val="single" w:sz="4" w:space="0" w:color="auto"/>
            </w:tcBorders>
            <w:shd w:val="clear" w:color="auto" w:fill="C6EFCE"/>
            <w:noWrap/>
          </w:tcPr>
          <w:p w14:paraId="66C028E3"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74ED791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707" w:type="dxa"/>
            <w:tcBorders>
              <w:top w:val="single" w:sz="4" w:space="0" w:color="auto"/>
              <w:left w:val="nil"/>
              <w:bottom w:val="single" w:sz="4" w:space="0" w:color="auto"/>
              <w:right w:val="single" w:sz="4" w:space="0" w:color="auto"/>
            </w:tcBorders>
            <w:shd w:val="clear" w:color="auto" w:fill="C6EFCE"/>
            <w:noWrap/>
          </w:tcPr>
          <w:p w14:paraId="554C0F8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2025</w:t>
            </w:r>
          </w:p>
        </w:tc>
        <w:tc>
          <w:tcPr>
            <w:tcW w:w="4113" w:type="dxa"/>
            <w:tcBorders>
              <w:top w:val="single" w:sz="4" w:space="0" w:color="auto"/>
              <w:left w:val="nil"/>
              <w:bottom w:val="single" w:sz="4" w:space="0" w:color="auto"/>
              <w:right w:val="single" w:sz="4" w:space="0" w:color="auto"/>
            </w:tcBorders>
            <w:shd w:val="clear" w:color="auto" w:fill="C6EFCE"/>
            <w:noWrap/>
          </w:tcPr>
          <w:p w14:paraId="61FD48B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Järgmiste allprojektide lõpuleviimine alusuuringute meetme raames: Teadusuuringute baasrahastamine; Juhtivad teadusprojektid probleemsetes interdistsiplinaarsetes sektorites; rakendusliku teadus- ja rahasüsteemi loomine; tehisintellekti, andmetöötluse ja algoritmide arendamise instituut; turule tõlgitavate säästvate materjalide tehnoloogiate pakkumine; osalemine kõrgjõudlusega andmetöötluse Euroopa partnerlustes (EuroHPC) ja peamistes digitehnoloogiates; rakendusuuringud mehitamata õhusõidukite arendamiseks (mehitamata süsteemide uurimis- ja arenduskeskuse rahastamine); täppismeditsiini rakendusuuringud.</w:t>
            </w:r>
          </w:p>
        </w:tc>
      </w:tr>
      <w:tr w:rsidR="00E2773E" w:rsidRPr="003B132A" w14:paraId="262857A9" w14:textId="77777777" w:rsidTr="00E2773E">
        <w:trPr>
          <w:trHeight w:val="309"/>
          <w:jc w:val="center"/>
        </w:trPr>
        <w:tc>
          <w:tcPr>
            <w:tcW w:w="1105" w:type="dxa"/>
            <w:tcBorders>
              <w:top w:val="single" w:sz="4" w:space="0" w:color="auto"/>
              <w:left w:val="single" w:sz="4" w:space="0" w:color="auto"/>
              <w:bottom w:val="single" w:sz="4" w:space="0" w:color="auto"/>
              <w:right w:val="single" w:sz="4" w:space="0" w:color="auto"/>
            </w:tcBorders>
            <w:shd w:val="clear" w:color="auto" w:fill="C6EFCE"/>
            <w:noWrap/>
          </w:tcPr>
          <w:p w14:paraId="4907C9E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251</w:t>
            </w:r>
          </w:p>
        </w:tc>
        <w:tc>
          <w:tcPr>
            <w:tcW w:w="2055" w:type="dxa"/>
            <w:tcBorders>
              <w:top w:val="single" w:sz="4" w:space="0" w:color="auto"/>
              <w:left w:val="nil"/>
              <w:bottom w:val="single" w:sz="4" w:space="0" w:color="auto"/>
              <w:right w:val="single" w:sz="4" w:space="0" w:color="auto"/>
            </w:tcBorders>
            <w:shd w:val="clear" w:color="auto" w:fill="C6EFCE"/>
            <w:noWrap/>
          </w:tcPr>
          <w:p w14:paraId="4AD8DCE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16-4.5. Teadusuuringute ja innovatsiooni edendamine – 16654_TH 2 ORAX: Tellis Holistic &amp; Hübriidne töökindel autonoomne eeskujusüsteem</w:t>
            </w:r>
          </w:p>
        </w:tc>
        <w:tc>
          <w:tcPr>
            <w:tcW w:w="1094" w:type="dxa"/>
            <w:tcBorders>
              <w:top w:val="single" w:sz="4" w:space="0" w:color="auto"/>
              <w:left w:val="nil"/>
              <w:bottom w:val="single" w:sz="4" w:space="0" w:color="auto"/>
              <w:right w:val="single" w:sz="4" w:space="0" w:color="auto"/>
            </w:tcBorders>
            <w:shd w:val="clear" w:color="auto" w:fill="C6EFCE"/>
            <w:noWrap/>
          </w:tcPr>
          <w:p w14:paraId="7CA0A3F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1794" w:type="dxa"/>
            <w:tcBorders>
              <w:top w:val="single" w:sz="4" w:space="0" w:color="auto"/>
              <w:left w:val="nil"/>
              <w:bottom w:val="single" w:sz="4" w:space="0" w:color="auto"/>
              <w:right w:val="single" w:sz="4" w:space="0" w:color="auto"/>
            </w:tcBorders>
            <w:shd w:val="clear" w:color="auto" w:fill="C6EFCE"/>
            <w:noWrap/>
          </w:tcPr>
          <w:p w14:paraId="39C0726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Projekti TH²ORAX lõpuleviimine</w:t>
            </w:r>
          </w:p>
        </w:tc>
        <w:tc>
          <w:tcPr>
            <w:tcW w:w="1774" w:type="dxa"/>
            <w:tcBorders>
              <w:top w:val="single" w:sz="4" w:space="0" w:color="auto"/>
              <w:left w:val="nil"/>
              <w:bottom w:val="single" w:sz="4" w:space="0" w:color="auto"/>
              <w:right w:val="single" w:sz="4" w:space="0" w:color="auto"/>
            </w:tcBorders>
            <w:shd w:val="clear" w:color="auto" w:fill="C6EFCE"/>
            <w:noWrap/>
          </w:tcPr>
          <w:p w14:paraId="26F1FAE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Teadusuuringute ja innovatsiooni peasekretariaadi (GSRI) aruanne, mis tõendab, et projektid on lõpule viidud</w:t>
            </w:r>
          </w:p>
        </w:tc>
        <w:tc>
          <w:tcPr>
            <w:tcW w:w="960" w:type="dxa"/>
            <w:tcBorders>
              <w:top w:val="single" w:sz="4" w:space="0" w:color="auto"/>
              <w:left w:val="nil"/>
              <w:bottom w:val="single" w:sz="4" w:space="0" w:color="auto"/>
              <w:right w:val="single" w:sz="4" w:space="0" w:color="auto"/>
            </w:tcBorders>
            <w:shd w:val="clear" w:color="auto" w:fill="C6EFCE"/>
            <w:noWrap/>
          </w:tcPr>
          <w:p w14:paraId="2C32C104"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14:paraId="3223752B"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607" w:type="dxa"/>
            <w:tcBorders>
              <w:top w:val="single" w:sz="4" w:space="0" w:color="auto"/>
              <w:left w:val="nil"/>
              <w:bottom w:val="single" w:sz="4" w:space="0" w:color="auto"/>
              <w:right w:val="single" w:sz="4" w:space="0" w:color="auto"/>
            </w:tcBorders>
            <w:shd w:val="clear" w:color="auto" w:fill="C6EFCE"/>
            <w:noWrap/>
          </w:tcPr>
          <w:p w14:paraId="1552CDBD"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24AB7A5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707" w:type="dxa"/>
            <w:tcBorders>
              <w:top w:val="single" w:sz="4" w:space="0" w:color="auto"/>
              <w:left w:val="nil"/>
              <w:bottom w:val="single" w:sz="4" w:space="0" w:color="auto"/>
              <w:right w:val="single" w:sz="4" w:space="0" w:color="auto"/>
            </w:tcBorders>
            <w:shd w:val="clear" w:color="auto" w:fill="C6EFCE"/>
            <w:noWrap/>
          </w:tcPr>
          <w:p w14:paraId="61813BA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2025</w:t>
            </w:r>
          </w:p>
        </w:tc>
        <w:tc>
          <w:tcPr>
            <w:tcW w:w="4113" w:type="dxa"/>
            <w:tcBorders>
              <w:top w:val="single" w:sz="4" w:space="0" w:color="auto"/>
              <w:left w:val="nil"/>
              <w:bottom w:val="single" w:sz="4" w:space="0" w:color="auto"/>
              <w:right w:val="single" w:sz="4" w:space="0" w:color="auto"/>
            </w:tcBorders>
            <w:shd w:val="clear" w:color="auto" w:fill="C6EFCE"/>
            <w:noWrap/>
          </w:tcPr>
          <w:p w14:paraId="35DABD5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Projekti TH²ORAX lõpuleviimine</w:t>
            </w:r>
          </w:p>
          <w:p w14:paraId="239F024F" w14:textId="77777777" w:rsidR="00356CBA" w:rsidRPr="00E02B5D" w:rsidRDefault="00356CBA" w:rsidP="00D16F13">
            <w:pPr>
              <w:pBdr>
                <w:top w:val="nil"/>
                <w:left w:val="nil"/>
                <w:bottom w:val="nil"/>
                <w:right w:val="nil"/>
                <w:between w:val="nil"/>
              </w:pBdr>
              <w:spacing w:after="0" w:line="240" w:lineRule="auto"/>
              <w:rPr>
                <w:rFonts w:eastAsia="Times New Roman" w:cs="Calibri"/>
                <w:noProof/>
                <w:color w:val="006100"/>
                <w:sz w:val="18"/>
                <w:szCs w:val="18"/>
              </w:rPr>
            </w:pPr>
            <w:r>
              <w:rPr>
                <w:noProof/>
                <w:color w:val="006100"/>
                <w:sz w:val="18"/>
              </w:rPr>
              <w:t>Tervikliku platvormi väljatöötamise kaudu, mis tagab olukorrateadlikkuse ja otsustusvõime, tõhustades koordineerimist ja sünkroniseerimist kõigi asjaomaste pädevate asutuste vahel reaalajas ja 24 tundi ööpäevas ja 7 päeva nädalas kogu Kreeka territooriumil valdkondadevahelisel ja ministeeriumidevahelisel tasandil, on lõpule viidud ning sellega seotud lõpuleviimise aruande on välja andnud GSRI.</w:t>
            </w:r>
          </w:p>
        </w:tc>
      </w:tr>
      <w:tr w:rsidR="00E2773E" w:rsidRPr="003B132A" w14:paraId="3148C17F" w14:textId="77777777" w:rsidTr="00E2773E">
        <w:trPr>
          <w:trHeight w:val="309"/>
          <w:jc w:val="center"/>
        </w:trPr>
        <w:tc>
          <w:tcPr>
            <w:tcW w:w="1105" w:type="dxa"/>
            <w:tcBorders>
              <w:top w:val="single" w:sz="4" w:space="0" w:color="auto"/>
              <w:left w:val="single" w:sz="4" w:space="0" w:color="auto"/>
              <w:bottom w:val="single" w:sz="4" w:space="0" w:color="auto"/>
              <w:right w:val="single" w:sz="4" w:space="0" w:color="auto"/>
            </w:tcBorders>
            <w:shd w:val="clear" w:color="auto" w:fill="C6EFCE"/>
            <w:noWrap/>
          </w:tcPr>
          <w:p w14:paraId="74B7A26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252</w:t>
            </w:r>
          </w:p>
        </w:tc>
        <w:tc>
          <w:tcPr>
            <w:tcW w:w="2055" w:type="dxa"/>
            <w:tcBorders>
              <w:top w:val="single" w:sz="4" w:space="0" w:color="auto"/>
              <w:left w:val="nil"/>
              <w:bottom w:val="single" w:sz="4" w:space="0" w:color="auto"/>
              <w:right w:val="single" w:sz="4" w:space="0" w:color="auto"/>
            </w:tcBorders>
            <w:shd w:val="clear" w:color="auto" w:fill="C6EFCE"/>
            <w:noWrap/>
          </w:tcPr>
          <w:p w14:paraId="43DDD8C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16-4.5. Teadusuuringute ja innovatsiooni edendamine – 16971_Teadusuuringud – loomine – innovatsioon</w:t>
            </w:r>
          </w:p>
        </w:tc>
        <w:tc>
          <w:tcPr>
            <w:tcW w:w="1094" w:type="dxa"/>
            <w:tcBorders>
              <w:top w:val="single" w:sz="4" w:space="0" w:color="auto"/>
              <w:left w:val="nil"/>
              <w:bottom w:val="single" w:sz="4" w:space="0" w:color="auto"/>
              <w:right w:val="single" w:sz="4" w:space="0" w:color="auto"/>
            </w:tcBorders>
            <w:shd w:val="clear" w:color="auto" w:fill="C6EFCE"/>
            <w:noWrap/>
          </w:tcPr>
          <w:p w14:paraId="30D22D46"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1794" w:type="dxa"/>
            <w:tcBorders>
              <w:top w:val="single" w:sz="4" w:space="0" w:color="auto"/>
              <w:left w:val="nil"/>
              <w:bottom w:val="single" w:sz="4" w:space="0" w:color="auto"/>
              <w:right w:val="single" w:sz="4" w:space="0" w:color="auto"/>
            </w:tcBorders>
            <w:shd w:val="clear" w:color="auto" w:fill="C6EFCE"/>
            <w:noWrap/>
          </w:tcPr>
          <w:p w14:paraId="0A1FAE4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Projektide „Teadusuuringud – loomine – innovatsioon lõpuleviimine</w:t>
            </w:r>
          </w:p>
        </w:tc>
        <w:tc>
          <w:tcPr>
            <w:tcW w:w="1774" w:type="dxa"/>
            <w:tcBorders>
              <w:top w:val="single" w:sz="4" w:space="0" w:color="auto"/>
              <w:left w:val="nil"/>
              <w:bottom w:val="single" w:sz="4" w:space="0" w:color="auto"/>
              <w:right w:val="single" w:sz="4" w:space="0" w:color="auto"/>
            </w:tcBorders>
            <w:shd w:val="clear" w:color="auto" w:fill="C6EFCE"/>
            <w:noWrap/>
          </w:tcPr>
          <w:p w14:paraId="7C6C7C3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Teadusuuringute ja innovatsiooni peasekretariaadi (GSRI) aruanne, mis tõendab, et projektid on lõpule viidud</w:t>
            </w:r>
          </w:p>
        </w:tc>
        <w:tc>
          <w:tcPr>
            <w:tcW w:w="960" w:type="dxa"/>
            <w:tcBorders>
              <w:top w:val="single" w:sz="4" w:space="0" w:color="auto"/>
              <w:left w:val="nil"/>
              <w:bottom w:val="single" w:sz="4" w:space="0" w:color="auto"/>
              <w:right w:val="single" w:sz="4" w:space="0" w:color="auto"/>
            </w:tcBorders>
            <w:shd w:val="clear" w:color="auto" w:fill="C6EFCE"/>
            <w:noWrap/>
          </w:tcPr>
          <w:p w14:paraId="68E6B900"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14:paraId="76541F9F"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607" w:type="dxa"/>
            <w:tcBorders>
              <w:top w:val="single" w:sz="4" w:space="0" w:color="auto"/>
              <w:left w:val="nil"/>
              <w:bottom w:val="single" w:sz="4" w:space="0" w:color="auto"/>
              <w:right w:val="single" w:sz="4" w:space="0" w:color="auto"/>
            </w:tcBorders>
            <w:shd w:val="clear" w:color="auto" w:fill="C6EFCE"/>
            <w:noWrap/>
          </w:tcPr>
          <w:p w14:paraId="144E02D0"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0FCE965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707" w:type="dxa"/>
            <w:tcBorders>
              <w:top w:val="single" w:sz="4" w:space="0" w:color="auto"/>
              <w:left w:val="nil"/>
              <w:bottom w:val="single" w:sz="4" w:space="0" w:color="auto"/>
              <w:right w:val="single" w:sz="4" w:space="0" w:color="auto"/>
            </w:tcBorders>
            <w:shd w:val="clear" w:color="auto" w:fill="C6EFCE"/>
            <w:noWrap/>
          </w:tcPr>
          <w:p w14:paraId="036A6AF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2025</w:t>
            </w:r>
          </w:p>
        </w:tc>
        <w:tc>
          <w:tcPr>
            <w:tcW w:w="4113" w:type="dxa"/>
            <w:tcBorders>
              <w:top w:val="single" w:sz="4" w:space="0" w:color="auto"/>
              <w:left w:val="nil"/>
              <w:bottom w:val="single" w:sz="4" w:space="0" w:color="auto"/>
              <w:right w:val="single" w:sz="4" w:space="0" w:color="auto"/>
            </w:tcBorders>
            <w:shd w:val="clear" w:color="auto" w:fill="C6EFCE"/>
            <w:noWrap/>
          </w:tcPr>
          <w:p w14:paraId="249633A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Meetme „Teadusloome Innovate“ kõigi abikõlblike projektide lõpuleviimine järgmistes sektorites: i) keskkond ja säästev areng; ii) energeetika; iii) info- ja kommunikatsioonitehnoloogia; iv) tervis ja ravimid; v) transpordi- ja tarneahel; vi) põllumajanduslik toidutööstus ja toiduainetööstus; vii) materjalid ja ehitus; ning viii) turism, kultuur ja loomemajandus.</w:t>
            </w:r>
          </w:p>
        </w:tc>
      </w:tr>
      <w:tr w:rsidR="00E2773E" w:rsidRPr="003B132A" w14:paraId="44C7CB73" w14:textId="77777777" w:rsidTr="00E2773E">
        <w:trPr>
          <w:trHeight w:val="309"/>
          <w:jc w:val="center"/>
        </w:trPr>
        <w:tc>
          <w:tcPr>
            <w:tcW w:w="1105" w:type="dxa"/>
            <w:tcBorders>
              <w:top w:val="single" w:sz="4" w:space="0" w:color="auto"/>
              <w:left w:val="single" w:sz="4" w:space="0" w:color="auto"/>
              <w:bottom w:val="single" w:sz="4" w:space="0" w:color="auto"/>
              <w:right w:val="single" w:sz="4" w:space="0" w:color="auto"/>
            </w:tcBorders>
            <w:shd w:val="clear" w:color="auto" w:fill="C6EFCE"/>
            <w:noWrap/>
          </w:tcPr>
          <w:p w14:paraId="4F33FC9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253</w:t>
            </w:r>
          </w:p>
        </w:tc>
        <w:tc>
          <w:tcPr>
            <w:tcW w:w="2055" w:type="dxa"/>
            <w:tcBorders>
              <w:top w:val="single" w:sz="4" w:space="0" w:color="auto"/>
              <w:left w:val="nil"/>
              <w:bottom w:val="single" w:sz="4" w:space="0" w:color="auto"/>
              <w:right w:val="single" w:sz="4" w:space="0" w:color="auto"/>
            </w:tcBorders>
            <w:shd w:val="clear" w:color="auto" w:fill="C6EFCE"/>
            <w:noWrap/>
          </w:tcPr>
          <w:p w14:paraId="186D92A2"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16-4.5. Teadusuuringute ja innovatsiooni edendamine – 16621_Kreeka teadusuuringute ja innovatsiooni ökosüsteemi ekstrapolatsioon</w:t>
            </w:r>
          </w:p>
        </w:tc>
        <w:tc>
          <w:tcPr>
            <w:tcW w:w="1094" w:type="dxa"/>
            <w:tcBorders>
              <w:top w:val="single" w:sz="4" w:space="0" w:color="auto"/>
              <w:left w:val="nil"/>
              <w:bottom w:val="single" w:sz="4" w:space="0" w:color="auto"/>
              <w:right w:val="single" w:sz="4" w:space="0" w:color="auto"/>
            </w:tcBorders>
            <w:shd w:val="clear" w:color="auto" w:fill="C6EFCE"/>
            <w:noWrap/>
          </w:tcPr>
          <w:p w14:paraId="3E9F14A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1794" w:type="dxa"/>
            <w:tcBorders>
              <w:top w:val="single" w:sz="4" w:space="0" w:color="auto"/>
              <w:left w:val="nil"/>
              <w:bottom w:val="single" w:sz="4" w:space="0" w:color="auto"/>
              <w:right w:val="single" w:sz="4" w:space="0" w:color="auto"/>
            </w:tcBorders>
            <w:shd w:val="clear" w:color="auto" w:fill="C6EFCE"/>
            <w:noWrap/>
          </w:tcPr>
          <w:p w14:paraId="77E87FF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Teadusuuringute ja innovatsiooni ökosüsteemi projektide avatumaks muutmise lõpuleviimine</w:t>
            </w:r>
          </w:p>
        </w:tc>
        <w:tc>
          <w:tcPr>
            <w:tcW w:w="1774" w:type="dxa"/>
            <w:tcBorders>
              <w:top w:val="single" w:sz="4" w:space="0" w:color="auto"/>
              <w:left w:val="nil"/>
              <w:bottom w:val="single" w:sz="4" w:space="0" w:color="auto"/>
              <w:right w:val="single" w:sz="4" w:space="0" w:color="auto"/>
            </w:tcBorders>
            <w:shd w:val="clear" w:color="auto" w:fill="C6EFCE"/>
            <w:noWrap/>
          </w:tcPr>
          <w:p w14:paraId="2D8322F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Teadusuuringute ja innovatsiooni peasekretariaadi (GSRI) aruanne, mis tõendab, et projektid on lõpule viidud</w:t>
            </w:r>
          </w:p>
        </w:tc>
        <w:tc>
          <w:tcPr>
            <w:tcW w:w="960" w:type="dxa"/>
            <w:tcBorders>
              <w:top w:val="single" w:sz="4" w:space="0" w:color="auto"/>
              <w:left w:val="nil"/>
              <w:bottom w:val="single" w:sz="4" w:space="0" w:color="auto"/>
              <w:right w:val="single" w:sz="4" w:space="0" w:color="auto"/>
            </w:tcBorders>
            <w:shd w:val="clear" w:color="auto" w:fill="C6EFCE"/>
            <w:noWrap/>
          </w:tcPr>
          <w:p w14:paraId="1AE23D85"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14:paraId="745EE996"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607" w:type="dxa"/>
            <w:tcBorders>
              <w:top w:val="single" w:sz="4" w:space="0" w:color="auto"/>
              <w:left w:val="nil"/>
              <w:bottom w:val="single" w:sz="4" w:space="0" w:color="auto"/>
              <w:right w:val="single" w:sz="4" w:space="0" w:color="auto"/>
            </w:tcBorders>
            <w:shd w:val="clear" w:color="auto" w:fill="C6EFCE"/>
            <w:noWrap/>
          </w:tcPr>
          <w:p w14:paraId="78340A43"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7F7AA66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707" w:type="dxa"/>
            <w:tcBorders>
              <w:top w:val="single" w:sz="4" w:space="0" w:color="auto"/>
              <w:left w:val="nil"/>
              <w:bottom w:val="single" w:sz="4" w:space="0" w:color="auto"/>
              <w:right w:val="single" w:sz="4" w:space="0" w:color="auto"/>
            </w:tcBorders>
            <w:shd w:val="clear" w:color="auto" w:fill="C6EFCE"/>
            <w:noWrap/>
          </w:tcPr>
          <w:p w14:paraId="1F4E6CD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2025</w:t>
            </w:r>
          </w:p>
        </w:tc>
        <w:tc>
          <w:tcPr>
            <w:tcW w:w="4113" w:type="dxa"/>
            <w:tcBorders>
              <w:top w:val="single" w:sz="4" w:space="0" w:color="auto"/>
              <w:left w:val="nil"/>
              <w:bottom w:val="single" w:sz="4" w:space="0" w:color="auto"/>
              <w:right w:val="single" w:sz="4" w:space="0" w:color="auto"/>
            </w:tcBorders>
            <w:shd w:val="clear" w:color="auto" w:fill="C6EFCE"/>
            <w:noWrap/>
          </w:tcPr>
          <w:p w14:paraId="1EB299ED"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Järgmiste teadusuuringute ja innovatsiooni ökosüsteemi meetme ekstraversiooni alaprojektide lõpuleviimine: riiklike idufirmade jaampide edendamine ja ülemaailmne reklaamimine; innovatsiooni ökosüsteem; tarkvara arendamine, hooldus ja ajakohastamine – protsessi tugi.</w:t>
            </w:r>
          </w:p>
        </w:tc>
      </w:tr>
      <w:tr w:rsidR="00E2773E" w:rsidRPr="003B132A" w14:paraId="25A0013C" w14:textId="77777777" w:rsidTr="00E2773E">
        <w:trPr>
          <w:trHeight w:val="309"/>
          <w:jc w:val="center"/>
        </w:trPr>
        <w:tc>
          <w:tcPr>
            <w:tcW w:w="1105" w:type="dxa"/>
            <w:tcBorders>
              <w:top w:val="single" w:sz="4" w:space="0" w:color="auto"/>
              <w:left w:val="single" w:sz="4" w:space="0" w:color="auto"/>
              <w:bottom w:val="single" w:sz="4" w:space="0" w:color="auto"/>
              <w:right w:val="single" w:sz="4" w:space="0" w:color="auto"/>
            </w:tcBorders>
            <w:shd w:val="clear" w:color="auto" w:fill="C6EFCE"/>
            <w:noWrap/>
          </w:tcPr>
          <w:p w14:paraId="3FD4D704" w14:textId="77777777" w:rsidR="000630E4" w:rsidRPr="00E02B5D" w:rsidRDefault="000630E4" w:rsidP="000630E4">
            <w:pPr>
              <w:spacing w:after="0" w:line="240" w:lineRule="auto"/>
              <w:rPr>
                <w:rFonts w:eastAsia="Times New Roman" w:cs="Calibri"/>
                <w:noProof/>
                <w:color w:val="006100"/>
                <w:sz w:val="18"/>
                <w:szCs w:val="18"/>
              </w:rPr>
            </w:pPr>
            <w:r>
              <w:rPr>
                <w:noProof/>
                <w:color w:val="006100"/>
                <w:sz w:val="18"/>
              </w:rPr>
              <w:t>346</w:t>
            </w:r>
          </w:p>
        </w:tc>
        <w:tc>
          <w:tcPr>
            <w:tcW w:w="2055" w:type="dxa"/>
            <w:tcBorders>
              <w:top w:val="single" w:sz="4" w:space="0" w:color="auto"/>
              <w:left w:val="nil"/>
              <w:bottom w:val="single" w:sz="4" w:space="0" w:color="auto"/>
              <w:right w:val="single" w:sz="4" w:space="0" w:color="auto"/>
            </w:tcBorders>
            <w:shd w:val="clear" w:color="auto" w:fill="C6EFCE"/>
            <w:noWrap/>
          </w:tcPr>
          <w:p w14:paraId="63497EEE" w14:textId="77777777" w:rsidR="000630E4" w:rsidRPr="00E02B5D" w:rsidRDefault="000630E4" w:rsidP="000630E4">
            <w:pPr>
              <w:spacing w:after="0" w:line="240" w:lineRule="auto"/>
              <w:rPr>
                <w:rFonts w:eastAsia="Times New Roman" w:cs="Calibri"/>
                <w:noProof/>
                <w:color w:val="006100"/>
                <w:sz w:val="18"/>
                <w:szCs w:val="18"/>
              </w:rPr>
            </w:pPr>
            <w:r>
              <w:rPr>
                <w:noProof/>
                <w:color w:val="006100"/>
                <w:sz w:val="18"/>
              </w:rPr>
              <w:t>16-4.5. Edendada teadusuuringuid ja innovatsiooni – 16622_HORIZON 2020 „Tulemusmärgis“: tipptasemel uuenduslike ettevõtete rahastamine</w:t>
            </w:r>
          </w:p>
        </w:tc>
        <w:tc>
          <w:tcPr>
            <w:tcW w:w="1094" w:type="dxa"/>
            <w:tcBorders>
              <w:top w:val="single" w:sz="4" w:space="0" w:color="auto"/>
              <w:left w:val="nil"/>
              <w:bottom w:val="single" w:sz="4" w:space="0" w:color="auto"/>
              <w:right w:val="single" w:sz="4" w:space="0" w:color="auto"/>
            </w:tcBorders>
            <w:shd w:val="clear" w:color="auto" w:fill="C6EFCE"/>
            <w:noWrap/>
          </w:tcPr>
          <w:p w14:paraId="15975F6F" w14:textId="77777777" w:rsidR="000630E4" w:rsidRPr="00E02B5D" w:rsidRDefault="000630E4" w:rsidP="000630E4">
            <w:pPr>
              <w:spacing w:after="0" w:line="240" w:lineRule="auto"/>
              <w:rPr>
                <w:rFonts w:eastAsia="Times New Roman" w:cs="Calibri"/>
                <w:noProof/>
                <w:color w:val="006100"/>
                <w:sz w:val="18"/>
                <w:szCs w:val="18"/>
              </w:rPr>
            </w:pPr>
            <w:r>
              <w:rPr>
                <w:noProof/>
                <w:color w:val="006100"/>
                <w:sz w:val="18"/>
              </w:rPr>
              <w:t>Eesmärk</w:t>
            </w:r>
          </w:p>
        </w:tc>
        <w:tc>
          <w:tcPr>
            <w:tcW w:w="1794" w:type="dxa"/>
            <w:tcBorders>
              <w:top w:val="single" w:sz="4" w:space="0" w:color="auto"/>
              <w:left w:val="nil"/>
              <w:bottom w:val="single" w:sz="4" w:space="0" w:color="auto"/>
              <w:right w:val="single" w:sz="4" w:space="0" w:color="auto"/>
            </w:tcBorders>
            <w:shd w:val="clear" w:color="auto" w:fill="C6EFCE"/>
            <w:noWrap/>
          </w:tcPr>
          <w:p w14:paraId="6B34D92C" w14:textId="77777777" w:rsidR="000630E4" w:rsidRPr="00E02B5D" w:rsidRDefault="000630E4" w:rsidP="000630E4">
            <w:pPr>
              <w:spacing w:after="0" w:line="240" w:lineRule="auto"/>
              <w:rPr>
                <w:rFonts w:eastAsia="Times New Roman" w:cs="Calibri"/>
                <w:noProof/>
                <w:color w:val="006100"/>
                <w:sz w:val="18"/>
                <w:szCs w:val="18"/>
              </w:rPr>
            </w:pPr>
            <w:r>
              <w:rPr>
                <w:noProof/>
                <w:color w:val="006100"/>
                <w:sz w:val="18"/>
              </w:rPr>
              <w:t>Väikeste ja keskmise suurusega ettevõtjate rakendatud projektide lõpuleviimine</w:t>
            </w:r>
          </w:p>
        </w:tc>
        <w:tc>
          <w:tcPr>
            <w:tcW w:w="1774" w:type="dxa"/>
            <w:tcBorders>
              <w:top w:val="single" w:sz="4" w:space="0" w:color="auto"/>
              <w:left w:val="nil"/>
              <w:bottom w:val="single" w:sz="4" w:space="0" w:color="auto"/>
              <w:right w:val="single" w:sz="4" w:space="0" w:color="auto"/>
            </w:tcBorders>
            <w:shd w:val="clear" w:color="auto" w:fill="C6EFCE"/>
            <w:noWrap/>
          </w:tcPr>
          <w:p w14:paraId="657C617F" w14:textId="77777777" w:rsidR="000630E4" w:rsidRPr="00E02B5D" w:rsidRDefault="000630E4" w:rsidP="000630E4">
            <w:pPr>
              <w:spacing w:after="0" w:line="240" w:lineRule="auto"/>
              <w:rPr>
                <w:rFonts w:eastAsia="Times New Roman" w:cs="Calibri"/>
                <w:noProof/>
                <w:color w:val="006100"/>
                <w:sz w:val="18"/>
                <w:szCs w:val="18"/>
              </w:rPr>
            </w:pPr>
            <w:r>
              <w:rPr>
                <w:noProof/>
                <w:color w:val="006100"/>
                <w:sz w:val="18"/>
              </w:rPr>
              <w:t>Teadusuuringute ja innovatsiooni peasekretariaadi (GSRI) aruanne, mis tõendab, et projektid on lõpule viidud</w:t>
            </w:r>
          </w:p>
        </w:tc>
        <w:tc>
          <w:tcPr>
            <w:tcW w:w="960" w:type="dxa"/>
            <w:tcBorders>
              <w:top w:val="single" w:sz="4" w:space="0" w:color="auto"/>
              <w:left w:val="nil"/>
              <w:bottom w:val="single" w:sz="4" w:space="0" w:color="auto"/>
              <w:right w:val="single" w:sz="4" w:space="0" w:color="auto"/>
            </w:tcBorders>
            <w:shd w:val="clear" w:color="auto" w:fill="C6EFCE"/>
            <w:noWrap/>
          </w:tcPr>
          <w:p w14:paraId="6FB5305B" w14:textId="77777777" w:rsidR="000630E4" w:rsidRPr="00AD4052" w:rsidRDefault="000630E4" w:rsidP="000630E4">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14:paraId="150D107E" w14:textId="77777777" w:rsidR="000630E4" w:rsidRPr="00AD4052" w:rsidRDefault="000630E4" w:rsidP="000630E4">
            <w:pPr>
              <w:spacing w:after="0" w:line="240" w:lineRule="auto"/>
              <w:rPr>
                <w:rFonts w:eastAsia="Times New Roman" w:cs="Calibri"/>
                <w:noProof/>
                <w:color w:val="006100"/>
                <w:sz w:val="18"/>
                <w:szCs w:val="18"/>
                <w:lang w:eastAsia="en-GB"/>
              </w:rPr>
            </w:pPr>
          </w:p>
        </w:tc>
        <w:tc>
          <w:tcPr>
            <w:tcW w:w="607" w:type="dxa"/>
            <w:tcBorders>
              <w:top w:val="single" w:sz="4" w:space="0" w:color="auto"/>
              <w:left w:val="nil"/>
              <w:bottom w:val="single" w:sz="4" w:space="0" w:color="auto"/>
              <w:right w:val="single" w:sz="4" w:space="0" w:color="auto"/>
            </w:tcBorders>
            <w:shd w:val="clear" w:color="auto" w:fill="C6EFCE"/>
            <w:noWrap/>
          </w:tcPr>
          <w:p w14:paraId="313E67F3" w14:textId="77777777" w:rsidR="000630E4" w:rsidRPr="00AD4052" w:rsidRDefault="000630E4" w:rsidP="000630E4">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42269544" w14:textId="77777777" w:rsidR="000630E4" w:rsidRPr="00E02B5D" w:rsidRDefault="000630E4" w:rsidP="000630E4">
            <w:pPr>
              <w:spacing w:after="0" w:line="240" w:lineRule="auto"/>
              <w:rPr>
                <w:rFonts w:eastAsia="Times New Roman" w:cs="Calibri"/>
                <w:noProof/>
                <w:color w:val="006100"/>
                <w:sz w:val="18"/>
                <w:szCs w:val="18"/>
              </w:rPr>
            </w:pPr>
            <w:r>
              <w:rPr>
                <w:noProof/>
                <w:color w:val="006100"/>
                <w:sz w:val="18"/>
              </w:rPr>
              <w:t>4. kv</w:t>
            </w:r>
          </w:p>
        </w:tc>
        <w:tc>
          <w:tcPr>
            <w:tcW w:w="707" w:type="dxa"/>
            <w:tcBorders>
              <w:top w:val="single" w:sz="4" w:space="0" w:color="auto"/>
              <w:left w:val="nil"/>
              <w:bottom w:val="single" w:sz="4" w:space="0" w:color="auto"/>
              <w:right w:val="single" w:sz="4" w:space="0" w:color="auto"/>
            </w:tcBorders>
            <w:shd w:val="clear" w:color="auto" w:fill="C6EFCE"/>
            <w:noWrap/>
          </w:tcPr>
          <w:p w14:paraId="5D393030" w14:textId="77777777" w:rsidR="000630E4" w:rsidRPr="00E02B5D" w:rsidRDefault="000630E4" w:rsidP="000630E4">
            <w:pPr>
              <w:spacing w:after="0" w:line="240" w:lineRule="auto"/>
              <w:rPr>
                <w:rFonts w:eastAsia="Times New Roman" w:cs="Calibri"/>
                <w:noProof/>
                <w:color w:val="006100"/>
                <w:sz w:val="18"/>
                <w:szCs w:val="18"/>
              </w:rPr>
            </w:pPr>
            <w:r>
              <w:rPr>
                <w:noProof/>
                <w:color w:val="006100"/>
                <w:sz w:val="18"/>
              </w:rPr>
              <w:t>2025</w:t>
            </w:r>
          </w:p>
        </w:tc>
        <w:tc>
          <w:tcPr>
            <w:tcW w:w="4113" w:type="dxa"/>
            <w:tcBorders>
              <w:top w:val="single" w:sz="4" w:space="0" w:color="auto"/>
              <w:left w:val="nil"/>
              <w:bottom w:val="single" w:sz="4" w:space="0" w:color="auto"/>
              <w:right w:val="single" w:sz="4" w:space="0" w:color="auto"/>
            </w:tcBorders>
            <w:shd w:val="clear" w:color="auto" w:fill="C6EFCE"/>
            <w:noWrap/>
          </w:tcPr>
          <w:p w14:paraId="75FA7D26" w14:textId="77777777" w:rsidR="000630E4" w:rsidRPr="00E02B5D" w:rsidRDefault="000630E4" w:rsidP="000630E4">
            <w:pPr>
              <w:spacing w:after="0" w:line="240" w:lineRule="auto"/>
              <w:rPr>
                <w:rFonts w:eastAsia="Times New Roman" w:cs="Calibri"/>
                <w:noProof/>
                <w:color w:val="006100"/>
                <w:sz w:val="18"/>
                <w:szCs w:val="18"/>
              </w:rPr>
            </w:pPr>
            <w:r>
              <w:rPr>
                <w:noProof/>
                <w:color w:val="006100"/>
                <w:sz w:val="18"/>
              </w:rPr>
              <w:t>Selliste rahastamiskõlblike projektide lõpuleviimine, mida rakendavad väikesed ja keskmise suurusega ettevõtjad, kes on saanud kvaliteedimärgise HORIZON 2020 ja kes on rahastamiskõlblikud, kuid mida eelarvepiirangute tõttu HORIZON 2020 raames ei rahastata.</w:t>
            </w:r>
          </w:p>
        </w:tc>
      </w:tr>
    </w:tbl>
    <w:p w14:paraId="065C19F7" w14:textId="77777777" w:rsidR="00356CBA" w:rsidRPr="00AD4052" w:rsidRDefault="00356CBA" w:rsidP="00645BC7">
      <w:pPr>
        <w:spacing w:before="120" w:after="120" w:line="240" w:lineRule="auto"/>
        <w:ind w:left="709"/>
        <w:jc w:val="both"/>
        <w:rPr>
          <w:rFonts w:ascii="Times New Roman" w:hAnsi="Times New Roman" w:cs="Times New Roman"/>
          <w:noProof/>
          <w:sz w:val="24"/>
          <w:szCs w:val="24"/>
        </w:rPr>
      </w:pPr>
    </w:p>
    <w:p w14:paraId="165CD0EE" w14:textId="77777777" w:rsidR="00356CBA" w:rsidRPr="00AD4052" w:rsidRDefault="00356CBA" w:rsidP="00645BC7">
      <w:pPr>
        <w:spacing w:before="120" w:after="120" w:line="240" w:lineRule="auto"/>
        <w:ind w:left="709"/>
        <w:jc w:val="both"/>
        <w:rPr>
          <w:rFonts w:ascii="Times New Roman" w:hAnsi="Times New Roman" w:cs="Times New Roman"/>
          <w:noProof/>
          <w:sz w:val="24"/>
          <w:szCs w:val="24"/>
        </w:rPr>
      </w:pPr>
    </w:p>
    <w:p w14:paraId="01C7F6C8" w14:textId="77777777" w:rsidR="00356CBA" w:rsidRPr="00AD4052" w:rsidRDefault="00356CBA" w:rsidP="00645BC7">
      <w:pPr>
        <w:spacing w:before="120" w:after="120" w:line="240" w:lineRule="auto"/>
        <w:ind w:left="709"/>
        <w:jc w:val="both"/>
        <w:rPr>
          <w:rFonts w:ascii="Times New Roman" w:hAnsi="Times New Roman" w:cs="Times New Roman"/>
          <w:noProof/>
          <w:sz w:val="24"/>
          <w:szCs w:val="24"/>
        </w:rPr>
      </w:pPr>
    </w:p>
    <w:p w14:paraId="6215DEDB" w14:textId="77777777" w:rsidR="00356CBA" w:rsidRPr="00AD4052" w:rsidRDefault="00356CBA" w:rsidP="00645BC7">
      <w:pPr>
        <w:spacing w:before="120" w:after="120" w:line="240" w:lineRule="auto"/>
        <w:ind w:left="709"/>
        <w:jc w:val="both"/>
        <w:rPr>
          <w:rFonts w:ascii="Times New Roman" w:hAnsi="Times New Roman" w:cs="Times New Roman"/>
          <w:noProof/>
          <w:sz w:val="24"/>
        </w:rPr>
        <w:sectPr w:rsidR="00356CBA" w:rsidRPr="00AD4052" w:rsidSect="00271D33">
          <w:headerReference w:type="even" r:id="rId320"/>
          <w:headerReference w:type="default" r:id="rId321"/>
          <w:footerReference w:type="even" r:id="rId322"/>
          <w:footerReference w:type="default" r:id="rId323"/>
          <w:headerReference w:type="first" r:id="rId324"/>
          <w:footerReference w:type="first" r:id="rId325"/>
          <w:pgSz w:w="16839" w:h="11907" w:orient="landscape"/>
          <w:pgMar w:top="720" w:right="720" w:bottom="720" w:left="720" w:header="709" w:footer="709" w:gutter="0"/>
          <w:cols w:space="720"/>
          <w:docGrid w:linePitch="360"/>
        </w:sectPr>
      </w:pPr>
    </w:p>
    <w:p w14:paraId="7C13567D" w14:textId="77777777" w:rsidR="00356CBA" w:rsidRPr="00E02B5D" w:rsidRDefault="00356CBA"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Q. KOMPONENT 4.6. AJAKOHASTADA JA PARANDADA PEAMISTE MAJANDUSSEKTORITE VASTUPANUVÕIMET</w:t>
      </w:r>
    </w:p>
    <w:p w14:paraId="0CE9FEF0" w14:textId="77777777" w:rsidR="00356CBA" w:rsidRPr="00E02B5D" w:rsidRDefault="00356CB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Kreeka taaste- ja vastupidavuskava see komponent hõlmab sihtotstarbelisi reforme ja investeeringuid, et parandada Kreeka majanduse peamiste sektorite, nimelt turismi- ja kultuuri-, põllumajandus-, tootmis- ja vesiviljelussektori konkurentsivõimet. Komponent hõlmab ka investeeringuid transporditaristusse, mille eesmärk on parandada ühenduvust ja liiklusohutust. Turismi toetatakse temaatilistesse turismidesse tehtavate investeeringutega, et uurida uusi turismiturge. Komponent hõlmab ka kultuuriinvesteeringuid, et parandada sektori konkurentsivõimet ja vastupanuvõimet ning paremini ära kasutada selle seoseid turismiga. Investeeringud põllumajandusse suurendavad tootmismeetodite tõhusust, edendavad tootjaorganisatsioone ja ühistuid ning soodustavad ümberorienteerumist suurema lisandväärtusega toodetele. See komponent hõlmab ka raudteesektori põhjalikku reformi, et muuta see tõhusamaks ja konkurentsivõimelisemaks. Need investeeringud peavad toetama siseturu tõrgeteta toimimist ja säästva transpordisüsteemi arendamist. Selle komponendiga toetatakse avaliku ja erasektori investeeringuid käsitlevate riigipõhiste soovituste (riigipõhised soovitused 2/2019 ja 3/2020) elluviimist.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07E5E4AE" w14:textId="77777777" w:rsidR="00356CBA" w:rsidRPr="00E02B5D" w:rsidRDefault="00356CBA" w:rsidP="00645BC7">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Q.1. </w:t>
      </w:r>
      <w:r>
        <w:rPr>
          <w:noProof/>
        </w:rPr>
        <w:tab/>
      </w:r>
      <w:r>
        <w:rPr>
          <w:rFonts w:ascii="Times New Roman" w:hAnsi="Times New Roman"/>
          <w:b/>
          <w:noProof/>
          <w:sz w:val="24"/>
          <w:u w:val="single"/>
        </w:rPr>
        <w:t>Tagastamatu rahalise toetusega seotud reformide ja investeeringute kirjeldus</w:t>
      </w:r>
    </w:p>
    <w:p w14:paraId="19829020"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Liiklusohutuse suurendamine (meetme ID 16631)</w:t>
      </w:r>
    </w:p>
    <w:p w14:paraId="40DFD5D8"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Investeeringud hõlmavad teedevõrgu ohutuse parandamist kogu riigis, et vähendada liiklusõnnetuste arvu, mis tähendab sekkumist enam kui 7 000 ohtlikus kohas 2 500 km võrgus.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suhtes kohaldatakse direktiivi 2011/92/EL kohast keskkonnamõju hindamist, et tagada DNSH-põhimõtte järgimine projektis ning selle range järgimine taristu ehitamise, käitamise ja kasutusest kõrvaldamise etappides. Investeeringu rakendamine viiakse lõpule 31. detsembriks 2025.</w:t>
      </w:r>
    </w:p>
    <w:p w14:paraId="661B9E7A"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Kesk-Kreeka kiirtee E-65: Trikala-Egnatia osakond (meetme ID 16628)</w:t>
      </w:r>
    </w:p>
    <w:p w14:paraId="7EC5C931" w14:textId="77777777" w:rsidR="00892295" w:rsidRDefault="00356CBA" w:rsidP="00645BC7">
      <w:pPr>
        <w:spacing w:before="120" w:after="120" w:line="240" w:lineRule="auto"/>
        <w:jc w:val="both"/>
        <w:rPr>
          <w:rFonts w:ascii="Times New Roman" w:hAnsi="Times New Roman"/>
          <w:noProof/>
          <w:sz w:val="24"/>
        </w:rPr>
      </w:pPr>
      <w:r>
        <w:rPr>
          <w:rFonts w:ascii="Times New Roman" w:hAnsi="Times New Roman"/>
          <w:noProof/>
          <w:sz w:val="24"/>
        </w:rPr>
        <w:t xml:space="preserve">See investeering hõlmab kiirtee E65 põhjaosa, täpsemalt Trikala-Egnatia lõigu täielikku ehitamist (põhimaanteed, teenindusmaanteed/ühendusteed ja lisatööd) kogupikkusega 70 km. Kiirtee, mis parandab ühendusi ühelt poolt Lõuna-Kreeka, Tessaalia ja Lääne-Makedoonia ning teiselt poolt Lääne-Balkani ja ülejäänud Euroopa vahel (Igoumenitsa sadama kaudu), on osa üleeuroopalisest transpordivõrgust (TEN-T).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suhtes kohaldatakse direktiivi 2011/92/EL kohast keskkonnamõju hindamist, et tagada DNSH-põhimõtte järgimine projektis ning selle range järgimine taristu ehitamise, käitamise ja kasutusest kõrvaldamise etappides. </w:t>
      </w:r>
    </w:p>
    <w:p w14:paraId="791764CD" w14:textId="77777777" w:rsidR="00892295" w:rsidRDefault="00892295">
      <w:pPr>
        <w:rPr>
          <w:rFonts w:ascii="Times New Roman" w:hAnsi="Times New Roman"/>
          <w:noProof/>
          <w:sz w:val="24"/>
        </w:rPr>
      </w:pPr>
      <w:r>
        <w:rPr>
          <w:noProof/>
        </w:rPr>
        <w:br w:type="page"/>
      </w:r>
    </w:p>
    <w:p w14:paraId="4C9B9472" w14:textId="04C44854" w:rsidR="00356CBA" w:rsidRPr="00E02B5D" w:rsidRDefault="00356CBA" w:rsidP="00645BC7">
      <w:pPr>
        <w:spacing w:before="120" w:after="120" w:line="240" w:lineRule="auto"/>
        <w:jc w:val="both"/>
        <w:rPr>
          <w:rFonts w:ascii="Times New Roman" w:hAnsi="Times New Roman" w:cs="Times New Roman"/>
          <w:noProof/>
          <w:sz w:val="24"/>
          <w:szCs w:val="24"/>
          <w:highlight w:val="green"/>
        </w:rPr>
      </w:pPr>
      <w:r>
        <w:rPr>
          <w:rFonts w:ascii="Times New Roman" w:hAnsi="Times New Roman"/>
          <w:noProof/>
          <w:sz w:val="24"/>
        </w:rPr>
        <w:t xml:space="preserve"> Investeeringu rakendamine viiakse lõpule 31. detsembriks 2025.</w:t>
      </w:r>
    </w:p>
    <w:p w14:paraId="079AC95C"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Kreeta põhjakiirtee (Β. Ο. Α. Κ.) (meetme ID: 16630)</w:t>
      </w:r>
    </w:p>
    <w:p w14:paraId="582B9022" w14:textId="77777777" w:rsidR="00356CBA" w:rsidRPr="00E02B5D" w:rsidRDefault="00356CBA" w:rsidP="00645BC7">
      <w:pPr>
        <w:spacing w:before="120" w:after="120" w:line="240" w:lineRule="auto"/>
        <w:jc w:val="both"/>
        <w:rPr>
          <w:rFonts w:ascii="Times New Roman" w:hAnsi="Times New Roman" w:cs="Times New Roman"/>
          <w:noProof/>
          <w:sz w:val="24"/>
          <w:szCs w:val="24"/>
          <w:highlight w:val="green"/>
        </w:rPr>
      </w:pPr>
      <w:r>
        <w:rPr>
          <w:rFonts w:ascii="Times New Roman" w:hAnsi="Times New Roman"/>
          <w:noProof/>
          <w:sz w:val="24"/>
        </w:rPr>
        <w:t>Investeering hõlmab Kreeta põhjapoolse kiirtee (BOAK) ehitamist, mis ühendab Kreeta nelja suurt linna (Chania, Rethymnon, Iráklion ja Agios Nikolaos) ning on osa üleeuroopalisest transpordivõrgust (TEN-T). Investeering koosneb kolmest allprojektist. Allprojekt nr 1 hõlmab segmenti Chaniast Irákleiosse, mis on umbes 163 km pikkune tasuline kiirtee, mis ehitatakse ja mida käitatakse kontsessioonilepingu alusel. Selle meetmega rahastatakse mitmeid eelnevalt kindlaks määratud töid, näiteks Chania, Irákleio ja Rethymnoni ümbersõite, sildu, vahetusi ja maa-aluseid töid. Allprojekt nr 2 hõlmab umbes 22,5 km pikkust Hersonissos-Neapoli segmenti, mis ehitatakse avaliku ja erasektori partnerluse lepingu alusel, ning allprojekt nr 3 hõlmab umbes 14 km pikkust segmenti Neapolis-Agios Nikolaos, mis ehitatakse ehitustööde projektina. Kiirtee eesmärk on parandada juurdepääsu Kreeta suurlinnade ning saare kõigi suuremate sadamate ja lennujaamade vahel, vähendada reisimiseks kuluvat aega, tõsta teenuste ja liiklusohutuse taset ning tõhustada piirkondlikku transporditegevust nii reisijate- kui ka kaubaveo valdkonnas.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suhtes kohaldatakse direktiivi 2011/92/EL kohast keskkonnamõju hindamist, et tagada DNSH-põhimõtte järgimine projektis ning selle range järgimine taristu ehitamise, käitamise ja kasutusest kõrvaldamise etappides. Taaste- ja vastupidavusrahastust rahastatava investeeringu osa rakendamine viiakse lõpule 31. detsembriks 2025.</w:t>
      </w:r>
    </w:p>
    <w:p w14:paraId="1A454DA8"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Keskkonna- ja kultuurivaldkonnale keskenduv arukas taristu (meetme ID 16960)</w:t>
      </w:r>
    </w:p>
    <w:p w14:paraId="6FC0EFA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hõlmab järgmisi digitaalseid projekte keskkonna- ja kultuurivaldkonnas: 1) IT-süsteemi loomine vooluveekogude piiritlemiseks, et aidata kaasa looduse ja bioloogilise mitmekesisuse kaitsele, 2) digitaalse panga loomine hoone ja hoone suhte tehingute jaoks, 3) ühtse digitaalse kaardi väljatöötamine, 4) õhusaaste ja merereostuse mõõtmise ja seire keskse süsteemi loomine, et aidata kaasa õhukvaliteedi parandamisele, ning 5) interaktiivsete digitaalteenuste ja digitaalse infosisu tootmise loomine, et edendada liit- ja virtuaalreaalsusega kultuurieksponaatide kasutamist muuseumides. Investeeringu rakendamine viiakse lõpule 31. detsembriks 2025.</w:t>
      </w:r>
    </w:p>
    <w:p w14:paraId="57B7FB9E" w14:textId="77777777" w:rsidR="00356CBA" w:rsidRPr="00E02B5D" w:rsidRDefault="00356CBA" w:rsidP="00D16F13">
      <w:pPr>
        <w:spacing w:before="120" w:after="120" w:line="240" w:lineRule="auto"/>
        <w:jc w:val="both"/>
        <w:rPr>
          <w:rFonts w:ascii="Times New Roman" w:hAnsi="Times New Roman"/>
          <w:noProof/>
          <w:sz w:val="24"/>
        </w:rPr>
      </w:pPr>
      <w:r>
        <w:rPr>
          <w:rFonts w:ascii="Times New Roman" w:hAnsi="Times New Roman"/>
          <w:b/>
          <w:noProof/>
          <w:sz w:val="24"/>
        </w:rPr>
        <w:t>Investeering:</w:t>
      </w:r>
      <w:r>
        <w:rPr>
          <w:rFonts w:ascii="Times New Roman" w:hAnsi="Times New Roman"/>
          <w:noProof/>
          <w:sz w:val="24"/>
        </w:rPr>
        <w:t xml:space="preserve"> Juurdepääsetavuse taastamine pärast tormi „DANIEL“ laastavat mõju (meetme ID 16999)</w:t>
      </w:r>
    </w:p>
    <w:p w14:paraId="483CBDBB" w14:textId="77777777" w:rsidR="00356CBA" w:rsidRPr="00E02B5D" w:rsidRDefault="00356CBA" w:rsidP="00D16F13">
      <w:pPr>
        <w:spacing w:before="120" w:after="120" w:line="240" w:lineRule="auto"/>
        <w:jc w:val="both"/>
        <w:rPr>
          <w:rFonts w:ascii="Times New Roman" w:hAnsi="Times New Roman" w:cs="Times New Roman"/>
          <w:noProof/>
          <w:sz w:val="24"/>
        </w:rPr>
      </w:pPr>
      <w:r>
        <w:rPr>
          <w:rFonts w:ascii="Times New Roman" w:hAnsi="Times New Roman"/>
          <w:noProof/>
          <w:sz w:val="24"/>
        </w:rPr>
        <w:t>See investeering hõlmab maantee- ja raudteevõrgule tekitatud kahju taastamist ning sellega kaasnevaid tehnilisi töid tormi „DANIEL“ piirkondades, tagades samal ajal funktsionaalsuse, ohutuse ja vastupanuvõime kliimamuutustele. Investeering koosneb kahest allprojektist:</w:t>
      </w:r>
    </w:p>
    <w:p w14:paraId="5D4786E6" w14:textId="77777777" w:rsidR="00356CBA" w:rsidRPr="00E02B5D" w:rsidRDefault="00356CBA" w:rsidP="00DE1EE5">
      <w:pPr>
        <w:pStyle w:val="ListParagraph"/>
        <w:numPr>
          <w:ilvl w:val="0"/>
          <w:numId w:val="83"/>
        </w:numPr>
        <w:spacing w:before="120" w:after="120" w:line="240" w:lineRule="auto"/>
        <w:jc w:val="both"/>
        <w:rPr>
          <w:rFonts w:ascii="Times New Roman" w:hAnsi="Times New Roman" w:cs="Times New Roman"/>
          <w:noProof/>
          <w:sz w:val="24"/>
        </w:rPr>
      </w:pPr>
      <w:r>
        <w:rPr>
          <w:rFonts w:ascii="Times New Roman" w:hAnsi="Times New Roman"/>
          <w:noProof/>
          <w:sz w:val="24"/>
        </w:rPr>
        <w:t>Teedevõrgu taastamine</w:t>
      </w:r>
    </w:p>
    <w:p w14:paraId="1C0F08D6" w14:textId="1C99819E" w:rsidR="00892295" w:rsidRDefault="00356CBA" w:rsidP="00D16F13">
      <w:pPr>
        <w:spacing w:before="120" w:after="120" w:line="240" w:lineRule="auto"/>
        <w:jc w:val="both"/>
        <w:rPr>
          <w:rFonts w:ascii="Times New Roman" w:hAnsi="Times New Roman"/>
          <w:noProof/>
          <w:sz w:val="24"/>
        </w:rPr>
      </w:pPr>
      <w:r>
        <w:rPr>
          <w:rFonts w:ascii="Times New Roman" w:hAnsi="Times New Roman"/>
          <w:noProof/>
          <w:sz w:val="24"/>
        </w:rPr>
        <w:t>Taastamismeetmed Larissa, Magnesia, Trikala, Karditsa, Ftiotida ja Evia maakonna teedevõrgust 2 100 km kaugusel asuvas 200 asukohas, mis hõlmavad tehnilisi lisatöid sildadele, mis on kannatanud oma rajatistele kahju ja mis vajavad parandamist.</w:t>
      </w:r>
    </w:p>
    <w:p w14:paraId="480E53E7" w14:textId="77777777" w:rsidR="00892295" w:rsidRDefault="00892295">
      <w:pPr>
        <w:rPr>
          <w:rFonts w:ascii="Times New Roman" w:hAnsi="Times New Roman"/>
          <w:noProof/>
          <w:sz w:val="24"/>
        </w:rPr>
      </w:pPr>
      <w:r>
        <w:rPr>
          <w:noProof/>
        </w:rPr>
        <w:br w:type="page"/>
      </w:r>
    </w:p>
    <w:p w14:paraId="07D2C712" w14:textId="77777777" w:rsidR="00356CBA" w:rsidRPr="00E02B5D" w:rsidRDefault="00356CBA" w:rsidP="00DE1EE5">
      <w:pPr>
        <w:pStyle w:val="ListParagraph"/>
        <w:numPr>
          <w:ilvl w:val="0"/>
          <w:numId w:val="83"/>
        </w:numPr>
        <w:spacing w:before="120" w:after="120" w:line="240" w:lineRule="auto"/>
        <w:jc w:val="both"/>
        <w:rPr>
          <w:rFonts w:ascii="Times New Roman" w:hAnsi="Times New Roman" w:cs="Times New Roman"/>
          <w:noProof/>
          <w:sz w:val="24"/>
        </w:rPr>
      </w:pPr>
      <w:r>
        <w:rPr>
          <w:rFonts w:ascii="Times New Roman" w:hAnsi="Times New Roman"/>
          <w:noProof/>
          <w:sz w:val="24"/>
        </w:rPr>
        <w:t>Raudteevõrgu taastamine</w:t>
      </w:r>
    </w:p>
    <w:p w14:paraId="3C2BC266" w14:textId="77777777" w:rsidR="00356CBA" w:rsidRPr="008258FC" w:rsidRDefault="00356CBA" w:rsidP="00D16F13">
      <w:pPr>
        <w:spacing w:before="120" w:after="120" w:line="240" w:lineRule="auto"/>
        <w:jc w:val="both"/>
        <w:rPr>
          <w:rFonts w:ascii="Times New Roman" w:hAnsi="Times New Roman"/>
          <w:noProof/>
          <w:sz w:val="24"/>
        </w:rPr>
      </w:pPr>
      <w:r>
        <w:rPr>
          <w:rFonts w:ascii="Times New Roman" w:hAnsi="Times New Roman"/>
          <w:noProof/>
          <w:sz w:val="24"/>
        </w:rPr>
        <w:t xml:space="preserve">Ateena-Thessaloniki põhitelje lõikudes Domokosest Rapsanisse ja kolme vertikaalse telje (Larissa-Volos, Paleofarsalos-Kalambaka ja Pelion) lõikudes asuva raudteevõrgu taastamine, sealhulgas kahjustatud raudteede remont, kahjustatud sildades ja tunnelites tehtavad tehnilised tööd, raudteejaamade remont ja taastamine, ülesõidu- ja signalisatsiooniseadmed. </w:t>
      </w:r>
    </w:p>
    <w:p w14:paraId="75CD9A1E" w14:textId="77777777" w:rsidR="00356CBA" w:rsidRPr="00E02B5D" w:rsidRDefault="00356CB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Kehtestatakse hankekava ELi ühtekuuluvuspoliitika raames toetatavate raudteeohutusinvesteeringute ja korrapärase hoolduse jaoks, mida ei rakendata küll taaste- ja vastupidavusrahastu toel, kuid mis on vajalikud raudteevõrgu ohutu käitamise taastamiseks. </w:t>
      </w:r>
    </w:p>
    <w:p w14:paraId="6B9E73A5" w14:textId="77777777" w:rsidR="00356CBA" w:rsidRPr="00E02B5D" w:rsidRDefault="00356CBA">
      <w:pPr>
        <w:spacing w:before="120" w:after="120" w:line="240" w:lineRule="auto"/>
        <w:jc w:val="both"/>
        <w:rPr>
          <w:noProof/>
          <w:sz w:val="24"/>
        </w:rPr>
      </w:pPr>
      <w:r>
        <w:rPr>
          <w:rFonts w:ascii="Times New Roman" w:hAnsi="Times New Roman"/>
          <w:noProof/>
          <w:color w:val="000000" w:themeColor="text1"/>
          <w:sz w:val="24"/>
        </w:rPr>
        <w:t xml:space="preserve">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w:t>
      </w:r>
      <w:r>
        <w:rPr>
          <w:rFonts w:ascii="Times New Roman" w:hAnsi="Times New Roman"/>
          <w:noProof/>
          <w:sz w:val="24"/>
        </w:rPr>
        <w:t>Investeeringu rakendamine viiakse lõpule 31. detsembriks 2025.</w:t>
      </w:r>
    </w:p>
    <w:p w14:paraId="38C77FCC"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Lääne-Atika linnalähiraudtee uuendamine (meetme ID 16892)</w:t>
      </w:r>
    </w:p>
    <w:p w14:paraId="587E7C8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See investeering hõlmab Ateenast läände jääva 36 km pikkuse linnalähiraudtee haru ehitamist Ano Liossiast Megarasse. Raudtee laiendamine aitab kaasa majanduslikule, sotsiaalsele ja territoriaalsele ühtekuuluvusele, edendades ühenduvust piirkonnas, kus logistikasektoril on märkimisväärne potentsiaal.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suhtes kohaldatakse direktiivi 2011/92/EL kohast keskkonnamõju hindamist, et tagada DNSH-põhimõtte järgimine projektis ning selle range järgimine taristu ehitamise, käitamise ja kasutusest kõrvaldamise etappides. Investeeringu rakendamine viiakse lõpule 31. detsembriks 2025.</w:t>
      </w:r>
    </w:p>
    <w:p w14:paraId="077BB1C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EASA nõuetele vastavuse parandamise tööde rakendamine (meetme ID 16833)</w:t>
      </w:r>
    </w:p>
    <w:p w14:paraId="2F5F6F91" w14:textId="77777777" w:rsidR="00356CBA" w:rsidRPr="00E02B5D" w:rsidRDefault="00356CB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See investeering hõlmab 13 piirkondliku lennujaama ajakohastamist, et käsitleda kõrvalekaldeid ja/või mittevastavusi vastavalt uutele Euroopa Lennundusohutusameti (EASA) sertifitseerimistingimustele, mis kujutavad endast riigi lepingulist kohustust. Investeeringu eesmärk on viia need lennujaamad täielikult vastavusse Euroopa Parlamendi ja nõukogu 4. juuli 2018. aasta määrusega (EL) 2018/1139, mis käsitleb tsiviillennunduse valdkonna ühisnorme ja millega luuakse Euroopa Liidu Lennundusohutusamet.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7B47CC76"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Arukad sillad (meetme ID 16949)</w:t>
      </w:r>
    </w:p>
    <w:p w14:paraId="0C7BD351" w14:textId="77777777" w:rsidR="00356CBA" w:rsidRPr="00E02B5D" w:rsidRDefault="00356CBA"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 koosneb kahest etapist. Investeeringu I etapi eesmärk on varustada sillad spetsiaalsete koormuse mõõtmise süsteemide ja anduritega või optiliste kiududega, mis mõõdavad sildade väljatõrjumist reaalajas. See teave salvestatakse ja seda töödeldakse spetsiaalsete algoritmidega, et hinnata sildade struktuurset haavatavust. Selle investeeringu eesmärk on parandada sildade ohutustaset ja hoida ära õnnetusi, mis tulenevad raskete sõidukite liikumisest või kliimamuutustega seotud riskidest. Investeeringu II etapi eesmärk on varustada sillad päikesepaneelidega töötavate traadita anduritega. Investeeringu rakendamine viiakse lõpule 31. detsembriks 2025.</w:t>
      </w:r>
    </w:p>
    <w:p w14:paraId="05667510"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Kreeka raudteeameti digitaalne ümberkujundamine (meetme ID 16959)</w:t>
      </w:r>
    </w:p>
    <w:p w14:paraId="46A5A7DA"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hõlmab Kreeka raudteeameti (OSE) taristu ja teenuste ajakohastamist avaliku ja erasektori partnerluse kaudu järgmiste süsteemide ja teenuste arendamise kaudu: a) piletihaldus ja telemaatikasüsteemid, b) arukate jaamade taristu, c) klienditeenindus, d) kiire internet rongides ja jaamades ning e) sõiduki telemaatikasüsteem. Investeeringu rakendamine viiakse lõpule 31. detsembriks 2025.</w:t>
      </w:r>
    </w:p>
    <w:p w14:paraId="5C252325"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Digitaalne integreeritud programmijuhtimissüsteem infrastruktuuri- ja transpordiministeeriumi tehniliste tööde ja struktuurivahendite haldamiseks (meetme ID 16937)</w:t>
      </w:r>
    </w:p>
    <w:p w14:paraId="17C23130"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Reformiga võetakse kasutusele tipptasemel portfellihalduse infosüsteem, et anda infrastruktuuri- ja transpordiministeeriumile vahend oma tehniliste tööde ja varade portfelli jälgimiseks, juhtimiseks ja haldamiseks. Süsteem peab andma reaalajas täpset teavet tehtud tööde väljundite, maksumuse ja ajakava kohta kogu nende olelusringi jooksul. Investeeringu rakendamine viiakse lõpule 31. detsembriks 2025.</w:t>
      </w:r>
    </w:p>
    <w:p w14:paraId="0FE5C3C0"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Infrastruktuuri- ja transpordiministeeriumi menetluste lihtsustamine (meetme ID 16786)</w:t>
      </w:r>
    </w:p>
    <w:p w14:paraId="7C9350E6"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See reform hõlmab taristu- ja transpordiministeeriumi osutatavate teenuste digiteerimist seoses halduskoormuse vähendamise ja protsesside lihtsustamisega avalikus sektoris. See hõlmab a) juhilubade väljaandmist, asendamist ja uuendamist, b) sõidukite üleandmisega seotud menetlusi, c) liikluslubade ja numbrimärkide väljaandmist ning d) juhiloa eksameid. Reformi rakendamine viiakse lõpule 31. detsembriks 2025.</w:t>
      </w:r>
    </w:p>
    <w:p w14:paraId="3A93719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Kultuurisektori tööreform (meetme ID 16715)</w:t>
      </w:r>
    </w:p>
    <w:p w14:paraId="45791581"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Reformiga kehtestatakse töö- ja sotsiaalkindlustusalased õigusaktid kultuuri- ja loomesektori jaoks, et suurendada deklareeritud töö osakaalu sektoris ning toetada selle valdkonna kutsetöötajaid ja kaitsta nende intellektuaalomandi õigusi. Selle reformi eesmärk on suurendada kultuuri- ja loomesektori vastupanuvõimet. Reformi rakendamine viiakse lõpule 30. september 2022.</w:t>
      </w:r>
    </w:p>
    <w:p w14:paraId="1BAF1D9B" w14:textId="77777777" w:rsidR="00892295" w:rsidRDefault="00892295">
      <w:pPr>
        <w:rPr>
          <w:rFonts w:ascii="Times New Roman" w:hAnsi="Times New Roman"/>
          <w:b/>
          <w:noProof/>
          <w:sz w:val="24"/>
        </w:rPr>
      </w:pPr>
      <w:r>
        <w:rPr>
          <w:noProof/>
        </w:rPr>
        <w:br w:type="page"/>
      </w:r>
    </w:p>
    <w:p w14:paraId="513ACE6E" w14:textId="68B5A606"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Kultuur kui kasvumootor (meetme ID 16293)</w:t>
      </w:r>
    </w:p>
    <w:p w14:paraId="580E2043"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 üldeesmärk on edendada kultuuri panust arukasse ja jätkusuutlikku majanduskasvu ning majanduslikku, sotsiaalsesse ja territoriaalsesse ühtekuuluvusse. See koosneb kuuest allprojektist:</w:t>
      </w:r>
    </w:p>
    <w:p w14:paraId="30F87D10" w14:textId="77777777" w:rsidR="00356CBA" w:rsidRPr="00E02B5D" w:rsidRDefault="00356CBA" w:rsidP="00DE1EE5">
      <w:pPr>
        <w:numPr>
          <w:ilvl w:val="0"/>
          <w:numId w:val="65"/>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kultuuri- ja loomemajanduse piirkondlike strateegiate toetamine, kohalike käsitööliste ökosüsteemide toetamine, kultuurikeskse piirkondliku kasvu ökosüsteemi loomine, kultuuri- ja loomemajanduse sektoriülese funktsionaalse ja orgaanilise lisaväärtuse esiletoomine, töökohtade loomine, jätkusuutliku finantstegevuse juurutamine, kogemustepõhise majanduse arendamine jne. Kultuuri- ja loomemajanduse piirkondlike strateegiate toetamine, kohalike käsitööliste ökosüsteemide toetamine, kultuurikeskse piirkondliku kasvu ökosüsteemi loomine, kultuuri- ja loomemajanduse sektoriülese funktsionaalse ja orgaanilise lisaväärtuse esiletoomine, töökohtade loomine, jätkusuutliku finantstegevuse juurutamine, kogemustepõhise majanduse arendamine jne.</w:t>
      </w:r>
    </w:p>
    <w:p w14:paraId="47E296AB" w14:textId="77777777" w:rsidR="00356CBA" w:rsidRPr="00E02B5D" w:rsidRDefault="00356CBA" w:rsidP="00DE1EE5">
      <w:pPr>
        <w:numPr>
          <w:ilvl w:val="0"/>
          <w:numId w:val="65"/>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arheoloogiliste paikade ja mälestusmärkide kasutamise laiendamine toimumiskohtade ja ürituste toimumiskohtadena;</w:t>
      </w:r>
    </w:p>
    <w:p w14:paraId="5ABAFF60" w14:textId="77777777" w:rsidR="00356CBA" w:rsidRPr="00E02B5D" w:rsidRDefault="00356CBA" w:rsidP="00DE1EE5">
      <w:pPr>
        <w:numPr>
          <w:ilvl w:val="0"/>
          <w:numId w:val="65"/>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kultuuri- ja loomemajanduse digiteerimise ning kultuuritootmise ja -levi digitaalsete mudelite arendamise toetamine;</w:t>
      </w:r>
    </w:p>
    <w:p w14:paraId="52E3FD3C" w14:textId="77777777" w:rsidR="00356CBA" w:rsidRPr="00E02B5D" w:rsidRDefault="00356CBA" w:rsidP="00DE1EE5">
      <w:pPr>
        <w:numPr>
          <w:ilvl w:val="0"/>
          <w:numId w:val="65"/>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filmitööstuse kui majanduskasvu ja loovuse edasiviiva jõu edendamine ning</w:t>
      </w:r>
    </w:p>
    <w:p w14:paraId="0F76CE34" w14:textId="77777777" w:rsidR="00356CBA" w:rsidRPr="00E02B5D" w:rsidRDefault="00356CBA" w:rsidP="00DE1EE5">
      <w:pPr>
        <w:numPr>
          <w:ilvl w:val="0"/>
          <w:numId w:val="65"/>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Kreeka kultuurilise kaubamärgi ja kaubanduse edendamine. </w:t>
      </w:r>
    </w:p>
    <w:p w14:paraId="5BD1477A"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Juurdepääsuteede ehitamise allprojekti suhtes viiakse läbi keskkonnamõju hindamine vastavalt direktiivile 2011/92/EL, et tagada DNSH-põhimõtte järgimine projektis ning selle range järgimine taristu ehitamise, käitamise ja kasutusest kõrvaldamise etappides. Investeeringu rakendamine viiakse lõpule 31. detsembriks 2025.</w:t>
      </w:r>
    </w:p>
    <w:p w14:paraId="06B00211"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Veealuste antiikesemete muuseum (meetme ID 16486)</w:t>
      </w:r>
    </w:p>
    <w:p w14:paraId="294C0B7C" w14:textId="77777777" w:rsidR="00356CBA" w:rsidRPr="00E02B5D" w:rsidRDefault="00356CBA"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See investeering taastab energiatõhusa renoveerimise abil Pireuses asuva tööstushoone ja avab selle veealuste antiikesemete muuseumina. Investeeringu eesmärk on luua kultuurilist ja turismialast lisaväärtust Pireuse sadamalinnale ja Ateena piirkonnale laiemalt.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65616E8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Retseptikunsti kasutamine, sotsiaalse ühtekuuluvuse edendamine ja hõbedase majanduse kasutamine (meetme ID 16735)</w:t>
      </w:r>
    </w:p>
    <w:p w14:paraId="65DB4DF9"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 eesmärk on meelitada 65-aastaseid ja vanemaid külastajaid ning puuetega külastajaid sellistesse kultuurirajatistesse nagu muuseumid, teatrid, festivalid, arheoloogilised paigad ja mälestusmärgid, parandades füüsilist juurdepääsu nendele kohtadele ning arendades välja giidiga ekskursioonisüsteemid koos kuulmis- ja nägemisabivahenditega. Investeering peab olema täielikult kooskõlas Kreeka juba käimasoleva puuetega inimesi käsitleva strateegiaga. Lisaks edendatakse investeeringuga retseptikunsti programme, mida kirjeldab Maailma Terviseorganisatsioon, kes kasutab kunsti ja kultuuri meditsiinilise abi lahutamatu osana, eelkõige vaimse tervise valdkonnas. Investeeringu rakendamine viiakse lõpule 31. detsembriks 2025.</w:t>
      </w:r>
    </w:p>
    <w:p w14:paraId="294B241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Taristu ajakohastamine, seadmete uuendamine ja HOCRED Storesi pakutavate teenuste kvaliteedi parandamine – endised ARF Storesi rajatised (kohapealne ja elektrooniline) (meetme ID 16536)</w:t>
      </w:r>
    </w:p>
    <w:p w14:paraId="42B58ADC"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Need investeeringud hõlmavad energiatõhususe meetmeid, renoveerimist, kaupluste ja töökodade ehitamist ning seadmete pakkumist füüsilistele ja elektroonilistele kauplustele ning Kreeka Kultuuriressursside Arendamise Organisatsiooni (HOCRED) pakutavate teenuste kvaliteedi parandamist. Organisatsioon kogub Kreekas arheoloogilistest paikadest, ajaloolistest paikadest, mälestistest ja arheoloogilistest muuseumidest saadud tulu ning haldab neid ressursse Kreeka kultuuripärandi toetamiseks.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kohaselt peavad ehitustöid tegevad ettevõtjad tagama, et vähemalt 70 % (massi järgi) ehitusplatsil tekkivatest ohututest ehitus- ja lammutusjäätmetest (v.a välja arvatud 3. mai 2000. aasta otsusega 2000/532/EÜ (millega asendatakse otsus 94/3/EÜ (millega kehtestatakse jäätmeid käsitleva nõukogu direktiivi 75/442/EMÜ artikli 1 punkti a kohaselt jäätmete nimistu) ja nõukogu otsus 94/904/EÜ (millega kehtestatakse ohtlikke jäätmeid käsitleva nõukogu direktiivi 91/689/EMÜ artikli 1 lõike 4 kohaselt ohtlike jäätmete nimistu) (teatavaks tehtud numbri K(2000) 1147 all)) kehtestatud Euroopa jäätmenimistu kategoorias 17 05 04 nimetatud looduslik materjal) valmistatakse ette korduskasutamiseks, ringlussevõtuks ja muuks materjali taaskasutamiseks, sealhulgas tagasitäiteks, kasutades jäätmeid muude materjalide asendamiseks vastavalt jäätmehierarhiale ning ELi ehitus- ja lammutusjäätmete käitlemise protokollile. Investeeringu rakendamine viiakse lõpule 31. detsembriks 2025.</w:t>
      </w:r>
    </w:p>
    <w:p w14:paraId="499CEC58"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Kultuurimälestiste ja arheoloogiliste paikade kaitsmine kliimamuutuste eest (meetme ID 16433)</w:t>
      </w:r>
    </w:p>
    <w:p w14:paraId="2423BE51"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Need investeeringud hõlmavad kultuuripärandi paikade kliimamuutustega kohanemise kavade väljatöötamist. Eesmärk on kaitsta Kreeka kultuuripärandit, parandada selle vastupanuvõimet kliimamuutustele ja seeläbi säilitada kultuuripärandi objektide panus majandustegevusse. Investeering hõlmab kliimariskide ruumilist ja ajalist hindamist ning kultuuripärandiga seotud paikade haavatavuse tuvastamist. Investeeringu rakendamine viiakse lõpule 31. detsembriks 2025.</w:t>
      </w:r>
    </w:p>
    <w:p w14:paraId="0A48F4C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Kõrgema kunstihariduse ajakohastamine (meetme ID 16725)</w:t>
      </w:r>
    </w:p>
    <w:p w14:paraId="46B1C088" w14:textId="2C33F82D" w:rsidR="00892295" w:rsidRDefault="00356CBA" w:rsidP="00892295">
      <w:pPr>
        <w:spacing w:before="120" w:after="120" w:line="240" w:lineRule="auto"/>
        <w:jc w:val="both"/>
        <w:rPr>
          <w:rFonts w:ascii="Times New Roman" w:hAnsi="Times New Roman"/>
          <w:noProof/>
          <w:sz w:val="24"/>
        </w:rPr>
      </w:pPr>
      <w:r>
        <w:rPr>
          <w:rFonts w:ascii="Times New Roman" w:hAnsi="Times New Roman"/>
          <w:noProof/>
          <w:sz w:val="24"/>
        </w:rPr>
        <w:t xml:space="preserve">Investeeringuga täiustatakse Kreekas kõrgharidust, kõrvaldades õiguslikud, akadeemilised, institutsioonilised ja muud takistused. Sellega kaasneb kõikide õppekavade läbivaatamine ja ajakohastamine, et võimaldada ka välisüliõpilaste ligitõmbamist Kreeka kunstikoolidesse. </w:t>
      </w:r>
      <w:r>
        <w:rPr>
          <w:rFonts w:ascii="Times New Roman" w:hAnsi="Times New Roman"/>
          <w:noProof/>
          <w:sz w:val="24"/>
        </w:rPr>
        <w:br w:type="page"/>
      </w:r>
    </w:p>
    <w:p w14:paraId="2BE45256" w14:textId="1BAC93E0"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Lisaks eeldatakse, et investeeringuga toetatakse kunstiharidust pakkuvaid koole, ajakohastades nende füüsilist ja tehnilist taristut ning toetades nende üleminekut nüüdisaegsele digitaristule. Lõpuks vaatab komisjon läbi nende tegevusmudeli, et ajakohastada uuringuid ja tagada kohalike omavalitsuste pakutava kunstihariduse kvaliteet.</w:t>
      </w:r>
    </w:p>
    <w:p w14:paraId="71377C5D"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hõlmab järgmist:</w:t>
      </w:r>
    </w:p>
    <w:p w14:paraId="78AAF4CB" w14:textId="77777777" w:rsidR="00356CBA" w:rsidRPr="00E02B5D" w:rsidRDefault="00356CBA" w:rsidP="00DE1EE5">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õppekavade ajakohastamine Euroopa valdkondliku kvalifikatsiooniraamistiku kontekstis, pidades silmas ka välisüliõpilaste ligimeelitamist Kreeka kunstikoolidesse;</w:t>
      </w:r>
    </w:p>
    <w:p w14:paraId="517DF712" w14:textId="77777777" w:rsidR="00356CBA" w:rsidRPr="00E02B5D" w:rsidRDefault="00356CBA" w:rsidP="00DE1EE5">
      <w:pPr>
        <w:numPr>
          <w:ilvl w:val="0"/>
          <w:numId w:val="61"/>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riikliku kunstikooli loomine ning</w:t>
      </w:r>
    </w:p>
    <w:p w14:paraId="687C59F5" w14:textId="77777777" w:rsidR="00356CBA" w:rsidRPr="00E02B5D" w:rsidRDefault="00356CBA" w:rsidP="00DE1EE5">
      <w:pPr>
        <w:numPr>
          <w:ilvl w:val="0"/>
          <w:numId w:val="61"/>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suuremate riiklike haridusasutuste füüsiliste ja digitaalsete taristute ajakohastamine.</w:t>
      </w:r>
    </w:p>
    <w:p w14:paraId="059405D7"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Investeeringuga tagatakse ka kunstihariduse samaväärsus teistes ELi riikides antavate kõrghariduskraadidega Kreekas. Investeeringu rakendamine viiakse lõpule 31. detsembriks 2025.</w:t>
      </w:r>
    </w:p>
    <w:p w14:paraId="1AB0C9EC"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Kultuurirajad sümboolse tähendusega arheoloogilistes paikades ja mälestistes (meetme ID 16485)</w:t>
      </w:r>
    </w:p>
    <w:p w14:paraId="0B3F1AC9"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Selle investeeringuga kujundatakse viis sümboolset kultuurirada temaatiliste narratiividega, mis hõlmavad kõiki Kreeka ajaloo perioode. Marsruudid peaksid olema geograafiliselt hajutatud üle kogu riigi. Investeering hõlmab ka valitud mälestiste säilitamist ja taastamist, teenuste ja taristu ajakohastamist, interaktiivsete digitaalrakenduste arendamist ning kunsti ja kultuurisündmuste kaasamist. Marsruudil olevad mälestised ja kohad loovad koostoime turismisihtkohtadega ning soodustavad seega jätkusuutlikku majanduskasvu ning majanduslikku, sotsiaalset ja territoriaalset ühtekuuluvust. Investeeringu rakendamine viiakse lõpule 31. detsembriks 2025.</w:t>
      </w:r>
    </w:p>
    <w:p w14:paraId="0EF33F67"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Taastamine – kaitse – Akropoli mälestiste tõhustamine (meetme ID 16435)</w:t>
      </w:r>
    </w:p>
    <w:p w14:paraId="24D4169B"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hõlmab Ateena Akropoli mälestiste kaitset kliimamuutuste eest ning Parthenoni ja müüride taastamistöid, kõigi Akropoli mälestiste konkreetsete osade säilitamist, kivimasside konsolideerimist ja stabiliseerimist ning külastajatele juurdepääsu parandamist. Investeeringu rakendamine viiakse lõpule 31. detsembriks 2025.</w:t>
      </w:r>
    </w:p>
    <w:p w14:paraId="7773F705"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Turismi arendamine (meetme ID 16931)</w:t>
      </w:r>
    </w:p>
    <w:p w14:paraId="36D87C4B"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Selle investeeringu eesmärk on pikendada turismihooaega Kreekas üle suvekuude ja edendada alternatiivseid turismivorme, aidates kaasa majanduslikule vastupanuvõimele, jätkusuutlikule majanduskasvule ning sotsiaalsele ja territoriaalsele ühtekuuluvusele. Investeering koosneb kahest osast:</w:t>
      </w:r>
    </w:p>
    <w:p w14:paraId="2A251E4B" w14:textId="77777777" w:rsidR="00356CBA" w:rsidRPr="00E02B5D" w:rsidRDefault="00356CBA" w:rsidP="00DE1EE5">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Roheline areng: mägiturismi arendamine, mis hõlmab avaliku taristu energiatõhusat renoveerimist ja uute taastuvate energiaallikate paigaldamist, tervise- ja heaoluturismi, agroturismi ja gastronoomiat.</w:t>
      </w:r>
    </w:p>
    <w:p w14:paraId="6D07DCF0" w14:textId="77777777" w:rsidR="00356CBA" w:rsidRPr="00E02B5D" w:rsidRDefault="00356CBA" w:rsidP="00DE1EE5">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Sinine areng: turismisadamate taristu ajakohastamine olemasolevate hoonete ja taristuhoonete energiatõhususe parandamise meetmete, jahisadamate juhtimise, taristu ja pakutavate teenuste parandamise, eakate ja puuetega inimeste randadele juurdepääsu ning sukeldumis- ja veealuse turismi arendamise kaudu.</w:t>
      </w:r>
    </w:p>
    <w:p w14:paraId="70DC5ED2" w14:textId="77777777" w:rsidR="00892295" w:rsidRDefault="00892295">
      <w:pPr>
        <w:rPr>
          <w:rFonts w:ascii="Times New Roman" w:hAnsi="Times New Roman"/>
          <w:noProof/>
          <w:sz w:val="24"/>
          <w:szCs w:val="24"/>
        </w:rPr>
      </w:pPr>
      <w:r>
        <w:rPr>
          <w:noProof/>
        </w:rPr>
        <w:br w:type="page"/>
      </w:r>
    </w:p>
    <w:p w14:paraId="61B3DE25" w14:textId="60C496DC" w:rsidR="00356CBA" w:rsidRPr="00E02B5D" w:rsidRDefault="30A4CC0A" w:rsidP="00645BC7">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Tagamaks, et meede vastab tehnilistele suunistele põhimõtte „ei kahjusta oluliselt“ kohaldamise kohta (2021/C58/01), jäetakse konkursikutsetes esitatud abikõlblikkuse kriteeriumide hulgast välja järgmised tegevused:</w:t>
      </w:r>
      <w:r>
        <w:rPr>
          <w:rFonts w:ascii="Times New Roman" w:hAnsi="Times New Roman"/>
          <w:noProof/>
          <w:color w:val="FF0000"/>
          <w:sz w:val="24"/>
        </w:rPr>
        <w:t xml:space="preserve"> </w:t>
      </w:r>
      <w:r>
        <w:rPr>
          <w:rFonts w:ascii="Times New Roman" w:hAnsi="Times New Roman"/>
          <w:noProof/>
          <w:sz w:val="24"/>
        </w:rPr>
        <w:t>i) fossiilkütustega seotud tegevus, sealhulgas allkasutus tootmisahela järgmistes etappides</w:t>
      </w:r>
      <w:r w:rsidR="00356CBA" w:rsidRPr="008AECE0">
        <w:rPr>
          <w:rFonts w:ascii="Times New Roman" w:hAnsi="Times New Roman" w:cs="Times New Roman"/>
          <w:noProof/>
          <w:sz w:val="24"/>
          <w:szCs w:val="24"/>
          <w:vertAlign w:val="superscript"/>
          <w:lang w:val="en-GB"/>
        </w:rPr>
        <w:footnoteReference w:id="23"/>
      </w:r>
      <w:r>
        <w:rPr>
          <w:rFonts w:ascii="Times New Roman" w:hAnsi="Times New Roman"/>
          <w:noProof/>
          <w:sz w:val="24"/>
        </w:rPr>
        <w:t>; ii) ELi heitkogustega kauplemise süsteemi (HKS) raames toimuv tegevus, mille prognoositav kasvuhoonegaaside heide ei ole asjaomastest võrdlusalustest</w:t>
      </w:r>
      <w:r w:rsidR="00356CBA" w:rsidRPr="008AECE0">
        <w:rPr>
          <w:rFonts w:ascii="Times New Roman" w:hAnsi="Times New Roman" w:cs="Times New Roman"/>
          <w:noProof/>
          <w:sz w:val="24"/>
          <w:szCs w:val="24"/>
          <w:vertAlign w:val="superscript"/>
          <w:lang w:val="en-GB"/>
        </w:rPr>
        <w:footnoteReference w:id="24"/>
      </w:r>
      <w:r>
        <w:rPr>
          <w:rFonts w:ascii="Times New Roman" w:hAnsi="Times New Roman"/>
          <w:noProof/>
          <w:sz w:val="24"/>
        </w:rPr>
        <w:t xml:space="preserve"> madalam; iii) prügilate, jäätmepõletustehaste</w:t>
      </w:r>
      <w:r w:rsidR="00356CBA" w:rsidRPr="008AECE0">
        <w:rPr>
          <w:rFonts w:ascii="Times New Roman" w:hAnsi="Times New Roman" w:cs="Times New Roman"/>
          <w:noProof/>
          <w:sz w:val="24"/>
          <w:szCs w:val="24"/>
          <w:vertAlign w:val="superscript"/>
          <w:lang w:val="en-GB"/>
        </w:rPr>
        <w:footnoteReference w:id="25"/>
      </w:r>
      <w:r>
        <w:rPr>
          <w:rFonts w:ascii="Times New Roman" w:hAnsi="Times New Roman"/>
          <w:noProof/>
          <w:sz w:val="24"/>
        </w:rPr>
        <w:t xml:space="preserve"> ja mehhaanilis-bioloogilise töötlemise jaamadega</w:t>
      </w:r>
      <w:r w:rsidR="00356CBA" w:rsidRPr="008AECE0">
        <w:rPr>
          <w:rFonts w:ascii="Times New Roman" w:hAnsi="Times New Roman" w:cs="Times New Roman"/>
          <w:noProof/>
          <w:sz w:val="24"/>
          <w:szCs w:val="24"/>
          <w:vertAlign w:val="superscript"/>
          <w:lang w:val="en-GB"/>
        </w:rPr>
        <w:footnoteReference w:id="26"/>
      </w:r>
      <w:r>
        <w:rPr>
          <w:rFonts w:ascii="Times New Roman" w:hAnsi="Times New Roman"/>
          <w:noProof/>
          <w:sz w:val="24"/>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 Investeeringu rakendamine viiakse lõpule 31. detsembriks 2025.</w:t>
      </w:r>
    </w:p>
    <w:p w14:paraId="188574A7"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Ümberõpe ja oskuste täiendamine turismisektoris (meetme ID 16921)</w:t>
      </w:r>
    </w:p>
    <w:p w14:paraId="52D8F4EC"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hõlmab hooajatöötajate, pikaajaliste töötute ja nende turismisektori töötajate oskuste täiendamist ja ümberõpet, kelle tööleping on pandeemia ajal peatatud. Ümberõppeprogrammid hõlmavad mitut spetsialiseerumist ja vastavad sektori tulevastele vajadustele COVID-19 pandeemia järgsel perioodil. Investeeringu rakendamine viiakse lõpule 30. juuniks 2025.</w:t>
      </w:r>
    </w:p>
    <w:p w14:paraId="6838DBCC"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Uued tööstuspargid (meetme ID 16634)</w:t>
      </w:r>
    </w:p>
    <w:p w14:paraId="685507A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hõlmab finantsabi andmist a) uue põlvkonna tööstusparkide rajamiseks, b) olemasolevate laiendamiseks, et suurendada nende valmisolekut üleminekuks 5G- ja ülikiirele võrgutaristule ning taastuvate energiaallikate kasutamiseks, arukaks energiajuhtimiseks ja energiasäästumeetmeteks ning ringmajanduse taristuks, ning c) suure tööstusliku kontsentratsiooniga piirkondade ümberkujundamiseks rohelisteks ja digiteeritud tööstusparkideks. Meede hõlmab ka tööstusparke reguleeriva raamistiku reformi, sealhulgas õigusliku ebakindlusega tegelemist, juhtimisküsimuste lahendamist ja tõhusate stiimulite pakkumist mitteametliku tööstuskontsentreerumise lahendamiseks. Investeeringu rakendamine viiakse lõpule 31. detsembriks 2025.</w:t>
      </w:r>
    </w:p>
    <w:p w14:paraId="2CB864F5" w14:textId="3905E46E" w:rsidR="00892295" w:rsidRDefault="00356CBA" w:rsidP="00892295">
      <w:pPr>
        <w:spacing w:before="120" w:after="120" w:line="240" w:lineRule="auto"/>
        <w:jc w:val="both"/>
        <w:rPr>
          <w:rFonts w:ascii="Times New Roman" w:hAnsi="Times New Roman"/>
          <w:noProof/>
          <w:sz w:val="24"/>
        </w:rPr>
      </w:pPr>
      <w:r>
        <w:rPr>
          <w:rFonts w:ascii="Times New Roman" w:hAnsi="Times New Roman"/>
          <w:noProof/>
          <w:sz w:val="24"/>
        </w:rPr>
        <w:t xml:space="preserve">Rahaline toetus hõlmab investeeringuid a) taristusse uue põlvkonna parkide rajamiseks (sealhulgas maa omandamine) koos konkreetsete energiatõhususe kriteeriumidega uute hoonete ehitamiseks ning energiatõhususe ja näidisprojektide jaoks suurettevõtetes ja toetusmeetmetesse, b) taristusse, mis võimaldab digitaalselt ümber kujundada ja luua arukaid tööstuspiirkondi, c) taastuvenergia päikeseenergiasse, </w:t>
      </w:r>
      <w:r>
        <w:rPr>
          <w:rFonts w:ascii="Times New Roman" w:hAnsi="Times New Roman"/>
          <w:noProof/>
          <w:sz w:val="24"/>
        </w:rPr>
        <w:br w:type="page"/>
      </w:r>
    </w:p>
    <w:p w14:paraId="2114B7F7" w14:textId="2171FB0A"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d) veemajandus ja veeressursside säilitamine (investeeringutel peab olema keskmine taristu lekkeindeks (ILI) on &amp;= 1,5), e) reovee kogumise ja puhastamise süsteemid, mis vastavad energiatõhususe kriteeriumidele, f) elektromobiilsus (elektri- või vesiniksõidukite tankimisvõrkude või transpordis kasutatava biometaani tanklate arendamine), g) tööstusalade ja saastatud maade taastamise projektid. Uue hoone ehitamine peab vastama primaarenergia nõudlusele, mis on vähemalt 20 % madalam kui liginullenergiahoone nõue (ligi nullenergiahoone, riiklikud direktiivid). Terviklike reoveesüsteemide ehitamise korral on meetme energia netotarbimine null ning terviklike reoveesüsteemide uuendamise korral väheneb keskmine energiakasutus vähemalt 10 % (üksnes energiatõhususe meetmete abil, mitte materjalimuutuse või koormuse muutuse kaudu). Investeeringud elektromobiilsusesse peavad olema kooskõlas direktiiviga (EL) 2018/2001 ja seotud transpordis kasutatava alternatiivkütusega.</w:t>
      </w:r>
    </w:p>
    <w:p w14:paraId="32E24E15" w14:textId="77777777" w:rsidR="00356CBA" w:rsidRPr="00E02B5D" w:rsidRDefault="30A4CC0A" w:rsidP="00645BC7">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Tagamaks, et meede vastab tehnilistele suunistele põhimõtte „ei kahjusta oluliselt“ kohaldamise kohta (2021/C58/01), jäetakse konkursikutsetes esitatud abikõlblikkuse kriteeriumide hulgast välja järgmised tegevused:</w:t>
      </w:r>
      <w:r>
        <w:rPr>
          <w:rFonts w:ascii="Times New Roman" w:hAnsi="Times New Roman"/>
          <w:noProof/>
          <w:color w:val="FF0000"/>
          <w:sz w:val="24"/>
        </w:rPr>
        <w:t xml:space="preserve"> </w:t>
      </w:r>
      <w:r>
        <w:rPr>
          <w:rFonts w:ascii="Times New Roman" w:hAnsi="Times New Roman"/>
          <w:noProof/>
          <w:sz w:val="24"/>
        </w:rPr>
        <w:t>i) fossiilkütustega seotud tegevus, sealhulgas allkasutus tootmisahela järgmistes etappides</w:t>
      </w:r>
      <w:r w:rsidR="00356CBA" w:rsidRPr="008AECE0">
        <w:rPr>
          <w:rFonts w:ascii="Times New Roman" w:hAnsi="Times New Roman" w:cs="Times New Roman"/>
          <w:noProof/>
          <w:sz w:val="24"/>
          <w:szCs w:val="24"/>
          <w:vertAlign w:val="superscript"/>
          <w:lang w:val="en-GB"/>
        </w:rPr>
        <w:footnoteReference w:id="27"/>
      </w:r>
      <w:r>
        <w:rPr>
          <w:rFonts w:ascii="Times New Roman" w:hAnsi="Times New Roman"/>
          <w:noProof/>
          <w:sz w:val="24"/>
        </w:rPr>
        <w:t>; ii) ELi heitkogustega kauplemise süsteemi (HKS) raames toimuv tegevus, mille prognoositav kasvuhoonegaaside heide ei ole asjaomastest võrdlusalustest</w:t>
      </w:r>
      <w:r w:rsidR="00356CBA" w:rsidRPr="008AECE0">
        <w:rPr>
          <w:rFonts w:ascii="Times New Roman" w:hAnsi="Times New Roman" w:cs="Times New Roman"/>
          <w:noProof/>
          <w:sz w:val="24"/>
          <w:szCs w:val="24"/>
          <w:vertAlign w:val="superscript"/>
          <w:lang w:val="en-GB"/>
        </w:rPr>
        <w:footnoteReference w:id="28"/>
      </w:r>
      <w:r>
        <w:rPr>
          <w:rFonts w:ascii="Times New Roman" w:hAnsi="Times New Roman"/>
          <w:noProof/>
          <w:sz w:val="24"/>
        </w:rPr>
        <w:t xml:space="preserve"> madalam; iii) prügilate, jäätmepõletustehaste</w:t>
      </w:r>
      <w:r w:rsidR="00356CBA" w:rsidRPr="008AECE0">
        <w:rPr>
          <w:rFonts w:ascii="Times New Roman" w:hAnsi="Times New Roman" w:cs="Times New Roman"/>
          <w:noProof/>
          <w:sz w:val="24"/>
          <w:szCs w:val="24"/>
          <w:vertAlign w:val="superscript"/>
          <w:lang w:val="en-GB"/>
        </w:rPr>
        <w:footnoteReference w:id="29"/>
      </w:r>
      <w:r>
        <w:rPr>
          <w:rFonts w:ascii="Times New Roman" w:hAnsi="Times New Roman"/>
          <w:noProof/>
          <w:sz w:val="24"/>
        </w:rPr>
        <w:t xml:space="preserve"> ja mehhaanilis-bioloogilise töötlemise jaamadega</w:t>
      </w:r>
      <w:r w:rsidR="00356CBA" w:rsidRPr="008AECE0">
        <w:rPr>
          <w:rFonts w:ascii="Times New Roman" w:hAnsi="Times New Roman" w:cs="Times New Roman"/>
          <w:noProof/>
          <w:sz w:val="24"/>
          <w:szCs w:val="24"/>
          <w:vertAlign w:val="superscript"/>
          <w:lang w:val="en-GB"/>
        </w:rPr>
        <w:footnoteReference w:id="30"/>
      </w:r>
      <w:r>
        <w:rPr>
          <w:rFonts w:ascii="Times New Roman" w:hAnsi="Times New Roman"/>
          <w:noProof/>
          <w:sz w:val="24"/>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w:t>
      </w:r>
    </w:p>
    <w:p w14:paraId="5F42954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Aruka tootmise kiirendamine (meetme ID 16721)</w:t>
      </w:r>
    </w:p>
    <w:p w14:paraId="186538E2"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 hõlmab rahalist toetust tööstussektori väikestele ja keskmise suurusega ettevõtjatele, et ajakohastada nende tootmisseadmeid ja taristut tipptasemel aruka tehnoloogiaga, millel on väike keskkonnamõju. Meetmega toetatakse ka tööstuse kavasid ja ettevõtete klastreid olulistes tööstuslikes väärtusahelates, mis edendavad Kreeka tööstuse konkurentsivõimet ja selle üleminekut tööstusele 4.0. Rahastamistoetus hõlmab investeeringuid, mis on seotud tootmisliinide digiteerimisega, tarneahelate automatiseerimise ja omavahelise ühendamisega, arukate toodete ja teenuste kavandamise ja tootmisega, aruka tootmistehnoloogia rakendamisega ülikiire 5G-võrgu mehaanilistes, labori- ja tootmisseadmetes, kvaliteedikontrolli seadmetega, info- ja kommunikatsioonitehnoloogia ning tarkvara seadmetega, tarkvaralitsentsidega, pilvelitsentsidega, uue IT-taristu ning tarkvara rakendusteenustega, IT-turvalisuse teenustega, tootedisaini, intellektuaalomandi, patentide ja sertifitseerimisega seotud kuludega. Investeeringu rakendamine viiakse lõpule 31. detsembriks 2025.</w:t>
      </w:r>
    </w:p>
    <w:p w14:paraId="7E43EE25" w14:textId="77777777" w:rsidR="00356CBA" w:rsidRPr="00E02B5D" w:rsidRDefault="30A4CC0A" w:rsidP="00645BC7">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Tagamaks, et meede vastab tehnilistele suunistele põhimõtte „ei kahjusta oluliselt“ kohaldamise kohta (2021/C58/01), jäetakse konkursikutsetes esitatud abikõlblikkuse kriteeriumide hulgast välja järgmised tegevused:</w:t>
      </w:r>
      <w:r>
        <w:rPr>
          <w:rFonts w:ascii="Times New Roman" w:hAnsi="Times New Roman"/>
          <w:noProof/>
          <w:color w:val="FF0000"/>
          <w:sz w:val="24"/>
        </w:rPr>
        <w:t xml:space="preserve"> </w:t>
      </w:r>
      <w:r>
        <w:rPr>
          <w:rFonts w:ascii="Times New Roman" w:hAnsi="Times New Roman"/>
          <w:noProof/>
          <w:sz w:val="24"/>
        </w:rPr>
        <w:t>i) fossiilkütustega seotud tegevus, sealhulgas allkasutus tootmisahela järgmistes etappides</w:t>
      </w:r>
      <w:r w:rsidR="00356CBA" w:rsidRPr="008AECE0">
        <w:rPr>
          <w:rFonts w:ascii="Times New Roman" w:hAnsi="Times New Roman" w:cs="Times New Roman"/>
          <w:noProof/>
          <w:sz w:val="24"/>
          <w:szCs w:val="24"/>
          <w:vertAlign w:val="superscript"/>
          <w:lang w:val="en-GB"/>
        </w:rPr>
        <w:footnoteReference w:id="31"/>
      </w:r>
      <w:r>
        <w:rPr>
          <w:rFonts w:ascii="Times New Roman" w:hAnsi="Times New Roman"/>
          <w:noProof/>
          <w:sz w:val="24"/>
        </w:rPr>
        <w:t>; ii) ELi heitkogustega kauplemise süsteemi (HKS) raames toimuv tegevus, mille prognoositav kasvuhoonegaaside heide ei ole asjaomastest võrdlusalustest</w:t>
      </w:r>
      <w:r w:rsidR="00356CBA" w:rsidRPr="008AECE0">
        <w:rPr>
          <w:rFonts w:ascii="Times New Roman" w:hAnsi="Times New Roman" w:cs="Times New Roman"/>
          <w:noProof/>
          <w:sz w:val="24"/>
          <w:szCs w:val="24"/>
          <w:vertAlign w:val="superscript"/>
          <w:lang w:val="en-GB"/>
        </w:rPr>
        <w:footnoteReference w:id="32"/>
      </w:r>
      <w:r>
        <w:rPr>
          <w:rFonts w:ascii="Times New Roman" w:hAnsi="Times New Roman"/>
          <w:noProof/>
          <w:sz w:val="24"/>
        </w:rPr>
        <w:t xml:space="preserve"> madalam; iii) prügilate, jäätmepõletustehaste</w:t>
      </w:r>
      <w:r w:rsidR="00356CBA" w:rsidRPr="008AECE0">
        <w:rPr>
          <w:rFonts w:ascii="Times New Roman" w:hAnsi="Times New Roman" w:cs="Times New Roman"/>
          <w:noProof/>
          <w:sz w:val="24"/>
          <w:szCs w:val="24"/>
          <w:vertAlign w:val="superscript"/>
          <w:lang w:val="en-GB"/>
        </w:rPr>
        <w:footnoteReference w:id="33"/>
      </w:r>
      <w:r>
        <w:rPr>
          <w:rFonts w:ascii="Times New Roman" w:hAnsi="Times New Roman"/>
          <w:noProof/>
          <w:sz w:val="24"/>
        </w:rPr>
        <w:t xml:space="preserve"> ja mehhaanilis-bioloogilise töötlemise jaamadega</w:t>
      </w:r>
      <w:r w:rsidR="00356CBA" w:rsidRPr="008AECE0">
        <w:rPr>
          <w:rFonts w:ascii="Times New Roman" w:hAnsi="Times New Roman" w:cs="Times New Roman"/>
          <w:noProof/>
          <w:sz w:val="24"/>
          <w:szCs w:val="24"/>
          <w:vertAlign w:val="superscript"/>
          <w:lang w:val="en-GB"/>
        </w:rPr>
        <w:footnoteReference w:id="34"/>
      </w:r>
      <w:r>
        <w:rPr>
          <w:rFonts w:ascii="Times New Roman" w:hAnsi="Times New Roman"/>
          <w:noProof/>
          <w:sz w:val="24"/>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w:t>
      </w:r>
    </w:p>
    <w:p w14:paraId="3C06248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Põllumajandussektori majanduslik ümberkujundamine (meetme ID 16626)</w:t>
      </w:r>
    </w:p>
    <w:p w14:paraId="52B3B87D" w14:textId="77777777" w:rsidR="00356CBA" w:rsidRPr="00E02B5D" w:rsidRDefault="00356CBA"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Investeering koosneb järgmisest viiest meetmest, mille eesmärk on tugevdada ja edendada põllumajandussektori arengut Kreekas: a) põllumajandustoodete töötlemisega seotud innovatsioon ja keskkonnahoidlik üleminek, b) primaarsektori ajakohastamine, c) keskkonnahoidliku turismi arendamine, d) viljeluse ümberkorraldamine ja e) loomade geneetilise seisundi parandamine. Punktides a, c ja d osutatud investeeringutest antakse sihtotstarbelist toetust tootmisüksuste ja hoonete energiakasutuse ajakohastamiseks, väikese energiatarbimisega mehaaniliste seadmete jaoks olemasolevate tootmisüksuste moderniseerimiseks, jäätmekäitlusüksuste projektideks ja gaasiliste saasteainete heite haldamiseks keskkonnakaitse eesmärgil, uute tehnoloogiate kasutuselevõtuks jälgitavuse, keskkonnasäästlike tootmisprotsesside ja ressursitõhususe jälgimiseks ning turuanalüüsiks, strateegiliseks koostööks ja väärtuslike tarneahelate loomiseks, mille peamine eesmärk on ühendada omavahel majandussektoreid (põllumajandus – protsess – turism). Kõnealuse investeeringuga toetatakse ka keskkonnasõbralikke transpordivahendeid, uute taastuvate energiaallikate arendamist, kliimamuutustega kohanemise ja nende ennetamise meetmeid ning kliimaga seotud riskide ohjamist, bioloogilise mitmekesisuse kaitset, looduspärandit ja loodusvarasid. </w:t>
      </w:r>
    </w:p>
    <w:p w14:paraId="53B979C3" w14:textId="77777777" w:rsidR="00356CBA" w:rsidRPr="00E02B5D" w:rsidRDefault="30A4CC0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Tagamaks, et meede vastab tehnilistele suunistele põhimõtte „ei kahjusta oluliselt“ kohaldamise kohta (2021/C58/01), jäetakse konkursikutsetes esitatud abikõlblikkuse kriteeriumide hulgast välja järgmised tegevused:</w:t>
      </w:r>
      <w:r>
        <w:rPr>
          <w:rFonts w:ascii="Times New Roman" w:hAnsi="Times New Roman"/>
          <w:noProof/>
          <w:color w:val="FF0000"/>
          <w:sz w:val="24"/>
        </w:rPr>
        <w:t xml:space="preserve"> </w:t>
      </w:r>
      <w:r>
        <w:rPr>
          <w:rFonts w:ascii="Times New Roman" w:hAnsi="Times New Roman"/>
          <w:noProof/>
          <w:sz w:val="24"/>
        </w:rPr>
        <w:t>i) fossiilkütustega seotud tegevus, sealhulgas allkasutus tootmisahela järgmistes etappides</w:t>
      </w:r>
      <w:r w:rsidR="00356CBA" w:rsidRPr="008AECE0">
        <w:rPr>
          <w:rFonts w:ascii="Times New Roman" w:hAnsi="Times New Roman" w:cs="Times New Roman"/>
          <w:noProof/>
          <w:sz w:val="24"/>
          <w:szCs w:val="24"/>
          <w:vertAlign w:val="superscript"/>
          <w:lang w:val="en-GB"/>
        </w:rPr>
        <w:footnoteReference w:id="35"/>
      </w:r>
      <w:r>
        <w:rPr>
          <w:rFonts w:ascii="Times New Roman" w:hAnsi="Times New Roman"/>
          <w:noProof/>
          <w:sz w:val="24"/>
        </w:rPr>
        <w:t>; ii) ELi heitkogustega kauplemise süsteemi (HKS) raames toimuv tegevus, mille prognoositav kasvuhoonegaaside heide ei ole asjaomastest võrdlusalustest</w:t>
      </w:r>
      <w:r w:rsidR="00356CBA" w:rsidRPr="008AECE0">
        <w:rPr>
          <w:rFonts w:ascii="Times New Roman" w:hAnsi="Times New Roman" w:cs="Times New Roman"/>
          <w:noProof/>
          <w:sz w:val="24"/>
          <w:szCs w:val="24"/>
          <w:vertAlign w:val="superscript"/>
          <w:lang w:val="en-GB"/>
        </w:rPr>
        <w:footnoteReference w:id="36"/>
      </w:r>
      <w:r>
        <w:rPr>
          <w:rFonts w:ascii="Times New Roman" w:hAnsi="Times New Roman"/>
          <w:noProof/>
          <w:sz w:val="24"/>
        </w:rPr>
        <w:t xml:space="preserve"> madalam; iii) prügilate, jäätmepõletustehaste</w:t>
      </w:r>
      <w:r w:rsidR="00356CBA" w:rsidRPr="008AECE0">
        <w:rPr>
          <w:rFonts w:ascii="Times New Roman" w:hAnsi="Times New Roman" w:cs="Times New Roman"/>
          <w:noProof/>
          <w:sz w:val="24"/>
          <w:szCs w:val="24"/>
          <w:vertAlign w:val="superscript"/>
          <w:lang w:val="en-GB"/>
        </w:rPr>
        <w:footnoteReference w:id="37"/>
      </w:r>
      <w:r>
        <w:rPr>
          <w:rFonts w:ascii="Times New Roman" w:hAnsi="Times New Roman"/>
          <w:noProof/>
          <w:sz w:val="24"/>
        </w:rPr>
        <w:t xml:space="preserve"> ja mehhaanilis-bioloogilise töötlemise jaamadega</w:t>
      </w:r>
      <w:r w:rsidR="00356CBA" w:rsidRPr="008AECE0">
        <w:rPr>
          <w:rFonts w:ascii="Times New Roman" w:hAnsi="Times New Roman" w:cs="Times New Roman"/>
          <w:noProof/>
          <w:sz w:val="24"/>
          <w:szCs w:val="24"/>
          <w:vertAlign w:val="superscript"/>
          <w:lang w:val="en-GB"/>
        </w:rPr>
        <w:footnoteReference w:id="38"/>
      </w:r>
      <w:r>
        <w:rPr>
          <w:rFonts w:ascii="Times New Roman" w:hAnsi="Times New Roman"/>
          <w:noProof/>
          <w:sz w:val="24"/>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 Investeeringu rakendamine viiakse lõpule 31. detsembriks 2025.</w:t>
      </w:r>
    </w:p>
    <w:p w14:paraId="4876BEA1"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Põllumajandus- ja toiduainesektori digitaalne ümberkujundamine (meetme ID 16653)</w:t>
      </w:r>
    </w:p>
    <w:p w14:paraId="0E7C0D4B" w14:textId="77777777" w:rsidR="00356CBA" w:rsidRPr="00E02B5D" w:rsidRDefault="00356CB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Investeeringuga edendatakse uuenduslike tehnoloogiate kasutuselevõttu Kreeka põllumajandussektoris, kontrolli Kreeka toodete võltsimise üle, hõlbustatakse Kreeka toiduainete pääsu välisturgudele, arendatakse Kreekas uusi põllumajandusliku toidutööstuse teadmisi ja võetakse kasutusele parimad tavad. Investeeringud hõlmavad sekkumist a) põllumajandussektori digiülemineku toetamiseks, näiteks suuremahulise avatud digitaalse taristu arendamine koos pilvetaristu ning satelliidi- ja aeroandmete suuremahulise töötlemise suutlikkusega, ning b) Kreeka põllumajandustoodete kaubanduse, loomakasvatuse ja kalanduse edendamiseks ekspordisertifikaatide väljastamise lihtsustamise kaudu, impordi- ja ühendusesisese kaubanduse andmete haldamise süsteemi ja äriteabe süsteemi väljatöötamiseks Kreeka impordi ja kaubanduse jaoks ning põllumajandustoodete väljapoole suunatud reklaamiportaali väljatöötamiseks. Reformi rakendamine viiakse lõpule 30. juuni 2025.</w:t>
      </w:r>
    </w:p>
    <w:p w14:paraId="4816B1D0"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Ettepanekud vesiviljelussektori meetmete kohta (meetme ID 16584)</w:t>
      </w:r>
    </w:p>
    <w:p w14:paraId="29B061EA"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Need investeeringud hõlmavad innovaatilisi varustuslahendusi, teadusuuringuid, oskusteabe edasiandmist ja inimressursside koolitamist eesmärgiga moderniseerida ja mitmekesistada vesiviljelustootmist. Samuti luuakse sellega geneetiline materjalipank ohustatud liikide ja kaubanduslike mageveekalade jaoks. Investeeringu eesmärk on toetada keskkonnasõbralikke tootmisprotsesse ja ressursitõhusust, mis toob kaasa kaubanduse kasvu ja töökohtade loomise sektoris. Investeeringu rakendamine viiakse lõpule 31. detsembriks 2025.</w:t>
      </w:r>
    </w:p>
    <w:p w14:paraId="6EA91051"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Piirkondlike sadamate ajakohastamine (meetme ID 16975)</w:t>
      </w:r>
    </w:p>
    <w:p w14:paraId="66E3EA1C" w14:textId="00F45949"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Investeeringud hõlmavad meetmeid piirkondlike sadamate ajakohastamiseks saartel ja piirkondades, kus on välja kujunenud turismitegevus. Sekkumine toimub kaheteistkümnes sadamas üle kogu riigi ning hõlmab infrastruktuuri parandamist, näiteks sadamakaide uuendamist, et hõlbustada pardaleminekut, lainemurdmist, ujuvate kaiteede paigaldamist, teenindusrampide ja kaipiirete ehitamist ning rannikukaitsetöid.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 Meetme suhtes kohaldatakse direktiivi 2011/92/EL kohast keskkonnamõju hindamist, et tagada DNSH-põhimõtte järgimine projektis ning selle range järgimine taristu ehitamise, käitamise ja kasutusest kõrvaldamise etappides. Investeeringu rakendamine viiakse lõpule 31. detsembriks 2025.</w:t>
      </w:r>
    </w:p>
    <w:p w14:paraId="50992995"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Kreeka reisilaevastiku uuendamise üldkava (meetme ID 16944)</w:t>
      </w:r>
    </w:p>
    <w:p w14:paraId="1EDD2B2C" w14:textId="77777777" w:rsidR="00356CBA" w:rsidRPr="00E02B5D" w:rsidRDefault="00356CBA"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 seisneb üksikasjaliku uuringu, strateegia ja rahastamismehhanismi väljatöötamise ettevalmistamises riigi reisilaevastiku järkjärguliseks uuendamiseks. Uuringus määratakse kindlaks laevade asjakohased moderniseerimisvajadused ja investeeringu ulatus, ettevõtjate rahastamisvajadused ja võimalik tulu, mis saadakse uuendamiskava kaudu, määratakse kindlaks taristu uuendamine, mis peaks toimuma sadamates, et toetada uute laevade käitamist, ning töötatakse välja rahastamismehhanism, et hõlbustada ettevõtjate juurdepääsu rahastamisele. Investeeringu rakendamine viiakse lõpule 30. juuniks 2025.</w:t>
      </w:r>
    </w:p>
    <w:p w14:paraId="25CDFBFF"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Raudteesektori organisatsioonireform (meetme ID 16982)</w:t>
      </w:r>
    </w:p>
    <w:p w14:paraId="6A492446"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Projekti peamised meetmed on järgmised.</w:t>
      </w:r>
    </w:p>
    <w:p w14:paraId="13018BF1" w14:textId="77777777" w:rsidR="00356CBA" w:rsidRPr="00E02B5D" w:rsidRDefault="00356CBA" w:rsidP="00DE1EE5">
      <w:pPr>
        <w:numPr>
          <w:ilvl w:val="0"/>
          <w:numId w:val="63"/>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Tegevuskava vastuvõtmine, mis sisaldab äriühingute OSE ja ERGOSE täieliku ümberkorraldamise etappe.</w:t>
      </w:r>
    </w:p>
    <w:p w14:paraId="3D624F5A" w14:textId="77777777" w:rsidR="00356CBA" w:rsidRPr="00E02B5D" w:rsidRDefault="00356CBA" w:rsidP="00DE1EE5">
      <w:pPr>
        <w:numPr>
          <w:ilvl w:val="0"/>
          <w:numId w:val="63"/>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Reformi elluviimise abistamiseks spetsialiseerunud konsultandi värbamine</w:t>
      </w:r>
    </w:p>
    <w:p w14:paraId="7F8B0F60" w14:textId="77777777" w:rsidR="00356CBA" w:rsidRPr="00E02B5D" w:rsidRDefault="00356CBA" w:rsidP="00DE1EE5">
      <w:pPr>
        <w:numPr>
          <w:ilvl w:val="0"/>
          <w:numId w:val="63"/>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Nende kahe äriühingu reformimist käsitlevate esmaste ja teiseste õigusaktide jõustumine, mis võimaldab neil arendada, käitada ja hooldada kaasaegset raudteevõrgustikku.</w:t>
      </w:r>
    </w:p>
    <w:p w14:paraId="14D9D45B" w14:textId="77777777" w:rsidR="00356CBA" w:rsidRPr="00E02B5D" w:rsidRDefault="00356CBA" w:rsidP="00DE1EE5">
      <w:pPr>
        <w:numPr>
          <w:ilvl w:val="0"/>
          <w:numId w:val="63"/>
        </w:numPr>
        <w:spacing w:before="120" w:after="120" w:line="240" w:lineRule="auto"/>
        <w:ind w:left="360"/>
        <w:jc w:val="both"/>
        <w:rPr>
          <w:rFonts w:ascii="Times New Roman" w:eastAsia="Times New Roman" w:hAnsi="Times New Roman" w:cs="Times New Roman"/>
          <w:noProof/>
          <w:sz w:val="24"/>
          <w:szCs w:val="24"/>
        </w:rPr>
      </w:pPr>
      <w:r>
        <w:rPr>
          <w:rFonts w:ascii="Times New Roman" w:hAnsi="Times New Roman"/>
          <w:noProof/>
          <w:sz w:val="24"/>
        </w:rPr>
        <w:t xml:space="preserve">Esmastes ja teisestes õigusaktides määratletud reformi rakendamine. </w:t>
      </w:r>
    </w:p>
    <w:p w14:paraId="03B471EA" w14:textId="77777777" w:rsidR="00356CBA" w:rsidRPr="00E02B5D" w:rsidRDefault="00356CBA" w:rsidP="00D16F13">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Ümberkorraldusi võib ellu viia, integreerides ERGOSE täielikult OSEga.</w:t>
      </w:r>
    </w:p>
    <w:p w14:paraId="3C82E318" w14:textId="77777777" w:rsidR="00356CBA" w:rsidRPr="00E02B5D" w:rsidRDefault="00356CBA"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rakendamine viiakse lõpule 31. detsembriks 2025. Reformi eesmärk on muuta Kreeka raudteesektor turvalisemaks, tõhusamaks, integreeritumaks, kaasaegsemaks ja klientide nõudlusele paremini vastavaks. Reformi toetatakse Kreeka raudteeinfrastruktuuri sektori ümberkorraldamist käsitleva mitme töövõtjaga sõlmitava raamlepinguga.</w:t>
      </w:r>
    </w:p>
    <w:p w14:paraId="044ED555"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Strateegiliste investeeringute ligimeelitamise õigusraamistiku muutmine (meetme ID 16593)</w:t>
      </w:r>
    </w:p>
    <w:p w14:paraId="08400217" w14:textId="6AA4181B" w:rsidR="00892295" w:rsidRDefault="30A4CC0A" w:rsidP="005D5392">
      <w:pPr>
        <w:spacing w:before="120" w:after="120" w:line="240" w:lineRule="auto"/>
        <w:jc w:val="both"/>
        <w:rPr>
          <w:rFonts w:ascii="Times New Roman" w:hAnsi="Times New Roman"/>
          <w:noProof/>
          <w:sz w:val="24"/>
          <w:szCs w:val="24"/>
        </w:rPr>
      </w:pPr>
      <w:r>
        <w:rPr>
          <w:rFonts w:ascii="Times New Roman" w:hAnsi="Times New Roman"/>
          <w:noProof/>
          <w:sz w:val="24"/>
        </w:rPr>
        <w:t xml:space="preserve">Reformi eesmärk on edendada Kreekat kui atraktiivset sihtkohta potentsiaalsetele investoritele. Reformiga vaadatakse läbi strateegiliste investeeringute ligimeelitamise õigusraamistik ja ühtlustatakse ühes õigusaktis kahe erineva seaduse 3894/2010 ja 4608/2019 sätted, muutes strateegiliste investeeringute õigusraamistiku potentsiaalsetele investoritele selgeks. Sellega luuakse uus strateegiliste investeeringute kategooria koos täiendavate stiimulitega, lihtsustatakse ja konsolideeritakse lubade andmise korda ühtse kontaktpunkti kaudu ning lisatakse olemasolevasse õigusraamistikku uued majandustegevuse valdkonnad ja üleeuroopalist huvi pakkuvad olulised projektid (seadus 3894/2010 ja seadus 4608/2019). </w:t>
      </w:r>
      <w:r w:rsidR="00892295">
        <w:rPr>
          <w:noProof/>
        </w:rPr>
        <w:br w:type="page"/>
      </w:r>
    </w:p>
    <w:p w14:paraId="5F5AC78A" w14:textId="65E7CA12" w:rsidR="00356CBA" w:rsidRPr="00E02B5D" w:rsidRDefault="30A4CC0A" w:rsidP="008AECE0">
      <w:pPr>
        <w:spacing w:before="120" w:after="120" w:line="240" w:lineRule="auto"/>
        <w:jc w:val="both"/>
        <w:rPr>
          <w:rFonts w:ascii="Times New Roman" w:hAnsi="Times New Roman" w:cs="Times New Roman"/>
          <w:noProof/>
          <w:sz w:val="24"/>
          <w:szCs w:val="24"/>
        </w:rPr>
      </w:pPr>
      <w:r>
        <w:rPr>
          <w:rFonts w:ascii="Times New Roman" w:hAnsi="Times New Roman"/>
          <w:noProof/>
          <w:sz w:val="24"/>
        </w:rPr>
        <w:t>Peamine kriteerium, mille alusel saab investeeringut iseloomustada suure tähtsusega investeeringuna, on edendada innovatsiooni või tehnoloogia levikut, rohelist majandust ja/või märkimisväärselt edendada Kreeka majanduse konkurentsivõimet rahvusvahelisel tasandil. Projektide iseloomustamine ei nõua investeerimiskulude miinimumsummat ega iga-aastaste tööhõivekvootide miinimumarvu. Strateegiliste investeeringute ministeeriumidevaheline komitee teeb lõpliku otsuse investeeringu kvalifitseerimise kohta suure tähtsusega investeeringuks ja konkreetsete stiimulite kohta, millele investeeringul on õigus. Reformi rakendamine viiakse lõpule 31. detsembriks 2025.</w:t>
      </w:r>
    </w:p>
    <w:p w14:paraId="38A5D2AC" w14:textId="7910C43F" w:rsidR="00356CBA" w:rsidRPr="00E02B5D" w:rsidRDefault="30A4CC0A" w:rsidP="008AECE0">
      <w:pPr>
        <w:spacing w:before="120" w:after="120" w:line="240" w:lineRule="auto"/>
        <w:jc w:val="both"/>
        <w:rPr>
          <w:rFonts w:ascii="Times New Roman" w:hAnsi="Times New Roman" w:cs="Times New Roman"/>
          <w:noProof/>
          <w:sz w:val="24"/>
          <w:szCs w:val="24"/>
        </w:rPr>
      </w:pPr>
      <w:r>
        <w:rPr>
          <w:rFonts w:ascii="Times New Roman" w:hAnsi="Times New Roman"/>
          <w:noProof/>
          <w:sz w:val="24"/>
        </w:rPr>
        <w:t>Rahastamiskõlblikud investeeringud hõlmavad projekte, mis edendavad innovatsiooni või tehnoloogia levikut, taastuvate energiaallikate kasutamist ja üleminekut vähese CO</w:t>
      </w:r>
      <w:r>
        <w:rPr>
          <w:rFonts w:ascii="Times New Roman" w:hAnsi="Times New Roman"/>
          <w:noProof/>
          <w:sz w:val="24"/>
          <w:vertAlign w:val="subscript"/>
        </w:rPr>
        <w:t>2</w:t>
      </w:r>
      <w:r>
        <w:rPr>
          <w:rFonts w:ascii="Times New Roman" w:hAnsi="Times New Roman"/>
          <w:noProof/>
          <w:sz w:val="24"/>
        </w:rPr>
        <w:t xml:space="preserve"> heitega majandusele ja/või edendavad märkimisväärselt Kreeka majanduse konkurentsivõimet rahvusvahelisel tasandil. </w:t>
      </w:r>
    </w:p>
    <w:p w14:paraId="4C8FECA5" w14:textId="77777777" w:rsidR="00356CBA" w:rsidRPr="00E02B5D" w:rsidRDefault="30A4CC0A" w:rsidP="00645BC7">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Tagamaks, et meede on kooskõlas olulise kahju ärahoidmise tehniliste suunistega (2021/C58/01), jäetakse strateegiliste investeeringute ligimeelitamise õigusraamistikus sisalduvatest rahastamiskõlblikkuse kriteeriumidest välja järgmine tegevuste loetelu:</w:t>
      </w:r>
      <w:r>
        <w:rPr>
          <w:rFonts w:ascii="Times New Roman" w:hAnsi="Times New Roman"/>
          <w:noProof/>
          <w:color w:val="FF0000"/>
          <w:sz w:val="24"/>
        </w:rPr>
        <w:t xml:space="preserve"> </w:t>
      </w:r>
      <w:r>
        <w:rPr>
          <w:rFonts w:ascii="Times New Roman" w:hAnsi="Times New Roman"/>
          <w:noProof/>
          <w:sz w:val="24"/>
        </w:rPr>
        <w:t>i) fossiilkütustega seotud tegevus, sealhulgas allkasutus tootmisahela järgmistes etappides</w:t>
      </w:r>
      <w:r w:rsidR="00356CBA" w:rsidRPr="008AECE0">
        <w:rPr>
          <w:rFonts w:ascii="Times New Roman" w:hAnsi="Times New Roman" w:cs="Times New Roman"/>
          <w:noProof/>
          <w:sz w:val="24"/>
          <w:szCs w:val="24"/>
          <w:vertAlign w:val="superscript"/>
          <w:lang w:val="en-GB"/>
        </w:rPr>
        <w:footnoteReference w:id="39"/>
      </w:r>
      <w:r>
        <w:rPr>
          <w:rFonts w:ascii="Times New Roman" w:hAnsi="Times New Roman"/>
          <w:noProof/>
          <w:sz w:val="24"/>
        </w:rPr>
        <w:t>; ii) ELi heitkogustega kauplemise süsteemi (HKS) raames toimuv tegevus, mille prognoositav kasvuhoonegaaside heide ei ole asjaomastest võrdlusalustest</w:t>
      </w:r>
      <w:r w:rsidR="00356CBA" w:rsidRPr="008AECE0">
        <w:rPr>
          <w:rFonts w:ascii="Times New Roman" w:hAnsi="Times New Roman" w:cs="Times New Roman"/>
          <w:noProof/>
          <w:sz w:val="24"/>
          <w:szCs w:val="24"/>
          <w:vertAlign w:val="superscript"/>
          <w:lang w:val="en-GB"/>
        </w:rPr>
        <w:footnoteReference w:id="40"/>
      </w:r>
      <w:r>
        <w:rPr>
          <w:rFonts w:ascii="Times New Roman" w:hAnsi="Times New Roman"/>
          <w:noProof/>
          <w:sz w:val="24"/>
        </w:rPr>
        <w:t xml:space="preserve"> madalam; iii) prügilate, jäätmepõletustehaste</w:t>
      </w:r>
      <w:r w:rsidR="00356CBA" w:rsidRPr="008AECE0">
        <w:rPr>
          <w:rFonts w:ascii="Times New Roman" w:hAnsi="Times New Roman" w:cs="Times New Roman"/>
          <w:noProof/>
          <w:sz w:val="24"/>
          <w:szCs w:val="24"/>
          <w:vertAlign w:val="superscript"/>
          <w:lang w:val="en-GB"/>
        </w:rPr>
        <w:footnoteReference w:id="41"/>
      </w:r>
      <w:r>
        <w:rPr>
          <w:rFonts w:ascii="Times New Roman" w:hAnsi="Times New Roman"/>
          <w:noProof/>
          <w:sz w:val="24"/>
        </w:rPr>
        <w:t xml:space="preserve"> ja mehhaanilis-bioloogilise töötlemise jaamadega</w:t>
      </w:r>
      <w:r w:rsidR="00356CBA" w:rsidRPr="008AECE0">
        <w:rPr>
          <w:rFonts w:ascii="Times New Roman" w:hAnsi="Times New Roman" w:cs="Times New Roman"/>
          <w:noProof/>
          <w:sz w:val="24"/>
          <w:szCs w:val="24"/>
          <w:vertAlign w:val="superscript"/>
          <w:lang w:val="en-GB"/>
        </w:rPr>
        <w:footnoteReference w:id="42"/>
      </w:r>
      <w:r>
        <w:rPr>
          <w:rFonts w:ascii="Times New Roman" w:hAnsi="Times New Roman"/>
          <w:noProof/>
          <w:sz w:val="24"/>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w:t>
      </w:r>
    </w:p>
    <w:p w14:paraId="0A790055"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Majandusdiplomaatia võrgustiku digiteerimine (meetme ID 16599)</w:t>
      </w:r>
    </w:p>
    <w:p w14:paraId="5F0E864F" w14:textId="77777777" w:rsidR="00356CBA" w:rsidRPr="00E02B5D" w:rsidRDefault="00356CBA" w:rsidP="00D16F13">
      <w:pPr>
        <w:spacing w:before="120" w:after="120" w:line="240" w:lineRule="auto"/>
        <w:jc w:val="both"/>
        <w:rPr>
          <w:rFonts w:ascii="Times New Roman" w:hAnsi="Times New Roman"/>
          <w:noProof/>
          <w:sz w:val="24"/>
        </w:rPr>
      </w:pPr>
      <w:r>
        <w:rPr>
          <w:rFonts w:ascii="Times New Roman" w:hAnsi="Times New Roman"/>
          <w:noProof/>
          <w:sz w:val="24"/>
        </w:rPr>
        <w:t>Reform koosneb reast poliitilistest reformidest, mille eesmärk on digiteerida Kreeka majandusdiplomaatia võrgustik. Reform hõlmab Enterprise Greece’i, riigi kaubanduse ja investeeringute edendamise agentuuri pakutavate kasutajatoe teenuste laiendamist, rahvusvaheliste turgude ja ekspordimenetluste andmebaaside omandamist, töötlemist ja kasutamist, ombudsmani teenuse loomist, et aidata eksportijatel ületada ekspordiprotsessi käigus tekkivaid takistusi, Enterprise Greece’i siseprotsesside täielikku digiteerimist ning eksportijate ja potentsiaalsete investoritega suhtlemise uusi digitaalseid kanaleid. Reformi rakendamine viiakse lõpule 31. detsembriks 2025.</w:t>
      </w:r>
    </w:p>
    <w:p w14:paraId="17DCA531" w14:textId="77777777" w:rsidR="00356CBA" w:rsidRPr="00AD4052" w:rsidRDefault="00356CBA" w:rsidP="005D5392">
      <w:pPr>
        <w:spacing w:before="120" w:after="120" w:line="240" w:lineRule="auto"/>
        <w:jc w:val="both"/>
        <w:rPr>
          <w:rFonts w:ascii="Times New Roman" w:hAnsi="Times New Roman" w:cs="Times New Roman"/>
          <w:noProof/>
          <w:sz w:val="24"/>
        </w:rPr>
        <w:sectPr w:rsidR="00356CBA" w:rsidRPr="00AD4052" w:rsidSect="00271D33">
          <w:headerReference w:type="even" r:id="rId326"/>
          <w:headerReference w:type="default" r:id="rId327"/>
          <w:footerReference w:type="even" r:id="rId328"/>
          <w:footerReference w:type="default" r:id="rId329"/>
          <w:headerReference w:type="first" r:id="rId330"/>
          <w:footerReference w:type="first" r:id="rId331"/>
          <w:pgSz w:w="11907" w:h="16839"/>
          <w:pgMar w:top="1134" w:right="1417" w:bottom="1134" w:left="1417" w:header="709" w:footer="327" w:gutter="0"/>
          <w:cols w:space="720"/>
          <w:docGrid w:linePitch="360"/>
        </w:sectPr>
      </w:pPr>
    </w:p>
    <w:p w14:paraId="06B9F52A" w14:textId="77777777" w:rsidR="00356CBA" w:rsidRPr="00E02B5D" w:rsidRDefault="00356CBA" w:rsidP="00584C80">
      <w:pPr>
        <w:spacing w:before="120" w:after="120" w:line="240" w:lineRule="auto"/>
        <w:ind w:left="709"/>
        <w:jc w:val="both"/>
        <w:rPr>
          <w:rFonts w:ascii="Times New Roman" w:hAnsi="Times New Roman"/>
          <w:b/>
          <w:noProof/>
          <w:sz w:val="24"/>
          <w:u w:val="single"/>
        </w:rPr>
      </w:pPr>
      <w:r>
        <w:rPr>
          <w:rFonts w:ascii="Times New Roman" w:hAnsi="Times New Roman"/>
          <w:b/>
          <w:noProof/>
          <w:sz w:val="24"/>
          <w:u w:val="single"/>
        </w:rPr>
        <w:t xml:space="preserve">Q.2. </w:t>
      </w:r>
      <w:r>
        <w:rPr>
          <w:noProof/>
        </w:rPr>
        <w:tab/>
      </w:r>
      <w:r>
        <w:rPr>
          <w:rFonts w:ascii="Times New Roman" w:hAnsi="Times New Roman"/>
          <w:b/>
          <w:noProof/>
          <w:sz w:val="24"/>
          <w:u w:val="single"/>
        </w:rPr>
        <w:t>Tagastamatu rahalise toetuse eesmärgid, sihid, näitajad ning seire ja rakendamise ajakava</w:t>
      </w:r>
      <w:r>
        <w:rPr>
          <w:rFonts w:ascii="Times New Roman" w:hAnsi="Times New Roman"/>
          <w:b/>
          <w:noProof/>
          <w:color w:val="2B579A"/>
          <w:sz w:val="24"/>
          <w:u w:val="single"/>
          <w:shd w:val="clear" w:color="auto" w:fill="E6E6E6"/>
        </w:rPr>
        <w:t xml:space="preserve"> </w:t>
      </w:r>
    </w:p>
    <w:p w14:paraId="26FEEDC1" w14:textId="77777777" w:rsidR="00356CBA" w:rsidRPr="00E02B5D" w:rsidRDefault="00356CBA" w:rsidP="00645BC7">
      <w:pPr>
        <w:keepNext/>
        <w:keepLines/>
        <w:spacing w:before="40" w:after="240" w:line="240" w:lineRule="auto"/>
        <w:jc w:val="both"/>
        <w:outlineLvl w:val="4"/>
        <w:rPr>
          <w:rFonts w:ascii="Cambria" w:eastAsia="Times New Roman" w:hAnsi="Cambria"/>
          <w:noProof/>
          <w:color w:val="365F91"/>
          <w:sz w:val="24"/>
        </w:rPr>
      </w:pPr>
      <w:r>
        <w:rPr>
          <w:rFonts w:ascii="Cambria" w:hAnsi="Cambria"/>
          <w:noProof/>
          <w:color w:val="365F91"/>
          <w:sz w:val="24"/>
        </w:rPr>
        <w:t>Suurimad investeeringud 6: Kesk-Kreeka kiirtee E-65: Trikala – Egnatia</w:t>
      </w:r>
    </w:p>
    <w:tbl>
      <w:tblPr>
        <w:tblW w:w="15871" w:type="dxa"/>
        <w:jc w:val="center"/>
        <w:tblLook w:val="04A0" w:firstRow="1" w:lastRow="0" w:firstColumn="1" w:lastColumn="0" w:noHBand="0" w:noVBand="1"/>
      </w:tblPr>
      <w:tblGrid>
        <w:gridCol w:w="1056"/>
        <w:gridCol w:w="1581"/>
        <w:gridCol w:w="966"/>
        <w:gridCol w:w="1137"/>
        <w:gridCol w:w="2253"/>
        <w:gridCol w:w="1230"/>
        <w:gridCol w:w="966"/>
        <w:gridCol w:w="906"/>
        <w:gridCol w:w="850"/>
        <w:gridCol w:w="851"/>
        <w:gridCol w:w="4075"/>
      </w:tblGrid>
      <w:tr w:rsidR="007B4D63" w:rsidRPr="003B132A" w14:paraId="287D2160" w14:textId="77777777" w:rsidTr="005D5392">
        <w:trPr>
          <w:trHeight w:val="810"/>
          <w:tblHeader/>
          <w:jc w:val="center"/>
        </w:trPr>
        <w:tc>
          <w:tcPr>
            <w:tcW w:w="10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CF222AA" w14:textId="77777777" w:rsidR="005D5392" w:rsidRDefault="00356CBA">
            <w:pPr>
              <w:spacing w:after="0" w:line="240" w:lineRule="auto"/>
              <w:jc w:val="center"/>
              <w:rPr>
                <w:rFonts w:ascii="Times New Roman" w:hAnsi="Times New Roman"/>
                <w:b/>
                <w:noProof/>
                <w:sz w:val="18"/>
              </w:rPr>
            </w:pPr>
            <w:r>
              <w:rPr>
                <w:rFonts w:ascii="Times New Roman" w:hAnsi="Times New Roman"/>
                <w:b/>
                <w:noProof/>
                <w:sz w:val="18"/>
              </w:rPr>
              <w:t>Järjekorra</w:t>
            </w:r>
          </w:p>
          <w:p w14:paraId="1CF3C002" w14:textId="343DABBC"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number</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19DDB9"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Seotud meede (reform või investeering)</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5BE99B"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 / siht</w:t>
            </w:r>
          </w:p>
        </w:tc>
        <w:tc>
          <w:tcPr>
            <w:tcW w:w="1137" w:type="dxa"/>
            <w:vMerge w:val="restart"/>
            <w:tcBorders>
              <w:top w:val="single" w:sz="4" w:space="0" w:color="auto"/>
              <w:left w:val="nil"/>
              <w:bottom w:val="single" w:sz="4" w:space="0" w:color="auto"/>
              <w:right w:val="single" w:sz="4" w:space="0" w:color="auto"/>
            </w:tcBorders>
            <w:shd w:val="clear" w:color="auto" w:fill="BDD7EE"/>
            <w:vAlign w:val="center"/>
            <w:hideMark/>
          </w:tcPr>
          <w:p w14:paraId="4E1DD29F"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Nimi</w:t>
            </w:r>
          </w:p>
        </w:tc>
        <w:tc>
          <w:tcPr>
            <w:tcW w:w="22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260C81"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Kvalitatiivsed näitajad (eesmärkide puhul)</w:t>
            </w:r>
          </w:p>
        </w:tc>
        <w:tc>
          <w:tcPr>
            <w:tcW w:w="3102" w:type="dxa"/>
            <w:gridSpan w:val="3"/>
            <w:tcBorders>
              <w:top w:val="single" w:sz="4" w:space="0" w:color="auto"/>
              <w:left w:val="nil"/>
              <w:bottom w:val="single" w:sz="4" w:space="0" w:color="auto"/>
              <w:right w:val="single" w:sz="4" w:space="0" w:color="auto"/>
            </w:tcBorders>
            <w:shd w:val="clear" w:color="auto" w:fill="BDD7EE"/>
            <w:vAlign w:val="center"/>
            <w:hideMark/>
          </w:tcPr>
          <w:p w14:paraId="73BA9C8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Kvantitatiivsed näitajad (sihtide puhul)</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14:paraId="59140E4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Lõpuleviimise soovituslik ajakava </w:t>
            </w:r>
          </w:p>
        </w:tc>
        <w:tc>
          <w:tcPr>
            <w:tcW w:w="40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74CA2D"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Iga eesmärgi ja sihi kirjeldus</w:t>
            </w:r>
          </w:p>
        </w:tc>
      </w:tr>
      <w:tr w:rsidR="007B4D63" w:rsidRPr="00E02B5D" w14:paraId="0E496B6E" w14:textId="77777777" w:rsidTr="005D5392">
        <w:trPr>
          <w:trHeight w:val="440"/>
          <w:tblHeader/>
          <w:jc w:val="cent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6376319F"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485A811F"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53184C5D"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66367E46"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14:paraId="5397323F"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23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A6F8D86"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966" w:type="dxa"/>
            <w:tcBorders>
              <w:top w:val="nil"/>
              <w:left w:val="nil"/>
              <w:bottom w:val="single" w:sz="4" w:space="0" w:color="auto"/>
              <w:right w:val="single" w:sz="4" w:space="0" w:color="auto"/>
            </w:tcBorders>
            <w:shd w:val="clear" w:color="auto" w:fill="BDD7EE"/>
            <w:vAlign w:val="center"/>
            <w:hideMark/>
          </w:tcPr>
          <w:p w14:paraId="54954A6F"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Lähtetase </w:t>
            </w:r>
          </w:p>
        </w:tc>
        <w:tc>
          <w:tcPr>
            <w:tcW w:w="906" w:type="dxa"/>
            <w:tcBorders>
              <w:top w:val="nil"/>
              <w:left w:val="nil"/>
              <w:bottom w:val="single" w:sz="4" w:space="0" w:color="auto"/>
              <w:right w:val="single" w:sz="4" w:space="0" w:color="auto"/>
            </w:tcBorders>
            <w:shd w:val="clear" w:color="auto" w:fill="BDD7EE"/>
            <w:vAlign w:val="center"/>
            <w:hideMark/>
          </w:tcPr>
          <w:p w14:paraId="7E556EB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Eesmärk </w:t>
            </w:r>
          </w:p>
        </w:tc>
        <w:tc>
          <w:tcPr>
            <w:tcW w:w="850" w:type="dxa"/>
            <w:tcBorders>
              <w:top w:val="nil"/>
              <w:left w:val="nil"/>
              <w:bottom w:val="single" w:sz="4" w:space="0" w:color="auto"/>
              <w:right w:val="single" w:sz="4" w:space="0" w:color="auto"/>
            </w:tcBorders>
            <w:shd w:val="clear" w:color="auto" w:fill="BDD7EE"/>
            <w:vAlign w:val="center"/>
            <w:hideMark/>
          </w:tcPr>
          <w:p w14:paraId="2E85865A"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851" w:type="dxa"/>
            <w:tcBorders>
              <w:top w:val="nil"/>
              <w:left w:val="nil"/>
              <w:bottom w:val="single" w:sz="4" w:space="0" w:color="auto"/>
              <w:right w:val="single" w:sz="4" w:space="0" w:color="auto"/>
            </w:tcBorders>
            <w:shd w:val="clear" w:color="auto" w:fill="BDD7EE"/>
            <w:vAlign w:val="center"/>
            <w:hideMark/>
          </w:tcPr>
          <w:p w14:paraId="537FE7C3"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4075" w:type="dxa"/>
            <w:vMerge/>
            <w:tcBorders>
              <w:top w:val="single" w:sz="4" w:space="0" w:color="auto"/>
              <w:bottom w:val="single" w:sz="4" w:space="0" w:color="auto"/>
              <w:right w:val="single" w:sz="4" w:space="0" w:color="auto"/>
            </w:tcBorders>
            <w:vAlign w:val="center"/>
            <w:hideMark/>
          </w:tcPr>
          <w:p w14:paraId="6CEAFF1A"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69BE7749" w14:textId="77777777" w:rsidTr="005D5392">
        <w:trPr>
          <w:trHeight w:val="313"/>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14:paraId="31AB0C7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254</w:t>
            </w:r>
          </w:p>
        </w:tc>
        <w:tc>
          <w:tcPr>
            <w:tcW w:w="1581" w:type="dxa"/>
            <w:tcBorders>
              <w:top w:val="single" w:sz="4" w:space="0" w:color="auto"/>
              <w:left w:val="nil"/>
              <w:bottom w:val="single" w:sz="4" w:space="0" w:color="auto"/>
              <w:right w:val="single" w:sz="4" w:space="0" w:color="auto"/>
            </w:tcBorders>
            <w:shd w:val="clear" w:color="auto" w:fill="C6EFCE"/>
            <w:noWrap/>
          </w:tcPr>
          <w:p w14:paraId="0A0AF3B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16628_Kesk-Kreeka kiirtee E-65: Trikala – Egnatia</w:t>
            </w:r>
          </w:p>
        </w:tc>
        <w:tc>
          <w:tcPr>
            <w:tcW w:w="966" w:type="dxa"/>
            <w:tcBorders>
              <w:top w:val="single" w:sz="4" w:space="0" w:color="auto"/>
              <w:left w:val="nil"/>
              <w:bottom w:val="single" w:sz="4" w:space="0" w:color="auto"/>
              <w:right w:val="single" w:sz="4" w:space="0" w:color="auto"/>
            </w:tcBorders>
            <w:shd w:val="clear" w:color="auto" w:fill="C6EFCE"/>
            <w:noWrap/>
          </w:tcPr>
          <w:p w14:paraId="6134D1A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137" w:type="dxa"/>
            <w:tcBorders>
              <w:top w:val="single" w:sz="4" w:space="0" w:color="auto"/>
              <w:left w:val="nil"/>
              <w:bottom w:val="single" w:sz="4" w:space="0" w:color="auto"/>
              <w:right w:val="single" w:sz="4" w:space="0" w:color="auto"/>
            </w:tcBorders>
            <w:shd w:val="clear" w:color="auto" w:fill="C6EFCE"/>
            <w:noWrap/>
          </w:tcPr>
          <w:p w14:paraId="425BDE8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Ehitustööde alustamine (E-65)</w:t>
            </w:r>
          </w:p>
        </w:tc>
        <w:tc>
          <w:tcPr>
            <w:tcW w:w="2253" w:type="dxa"/>
            <w:tcBorders>
              <w:top w:val="single" w:sz="4" w:space="0" w:color="auto"/>
              <w:left w:val="nil"/>
              <w:bottom w:val="single" w:sz="4" w:space="0" w:color="auto"/>
              <w:right w:val="single" w:sz="4" w:space="0" w:color="auto"/>
            </w:tcBorders>
            <w:shd w:val="clear" w:color="auto" w:fill="C6EFCE"/>
            <w:noWrap/>
          </w:tcPr>
          <w:p w14:paraId="5974488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Sõltumatu inseneri aruanne, mille on ratifitseerinud infrastruktuuriministeerium</w:t>
            </w:r>
          </w:p>
        </w:tc>
        <w:tc>
          <w:tcPr>
            <w:tcW w:w="1230" w:type="dxa"/>
            <w:tcBorders>
              <w:top w:val="single" w:sz="4" w:space="0" w:color="auto"/>
              <w:left w:val="nil"/>
              <w:bottom w:val="single" w:sz="4" w:space="0" w:color="auto"/>
              <w:right w:val="single" w:sz="4" w:space="0" w:color="auto"/>
            </w:tcBorders>
            <w:shd w:val="clear" w:color="auto" w:fill="C6EFCE"/>
            <w:noWrap/>
          </w:tcPr>
          <w:p w14:paraId="5D0FC72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4156ED2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3ED55C98"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0" w:type="dxa"/>
            <w:tcBorders>
              <w:top w:val="nil"/>
              <w:left w:val="nil"/>
              <w:bottom w:val="single" w:sz="4" w:space="0" w:color="auto"/>
              <w:right w:val="single" w:sz="4" w:space="0" w:color="auto"/>
            </w:tcBorders>
            <w:shd w:val="clear" w:color="auto" w:fill="C6EFCE"/>
            <w:noWrap/>
          </w:tcPr>
          <w:p w14:paraId="1A4E021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851" w:type="dxa"/>
            <w:tcBorders>
              <w:top w:val="nil"/>
              <w:left w:val="nil"/>
              <w:bottom w:val="single" w:sz="4" w:space="0" w:color="auto"/>
              <w:right w:val="single" w:sz="4" w:space="0" w:color="auto"/>
            </w:tcBorders>
            <w:shd w:val="clear" w:color="auto" w:fill="C6EFCE"/>
            <w:noWrap/>
          </w:tcPr>
          <w:p w14:paraId="3DB41D0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4075" w:type="dxa"/>
            <w:tcBorders>
              <w:top w:val="single" w:sz="4" w:space="0" w:color="auto"/>
              <w:left w:val="nil"/>
              <w:bottom w:val="single" w:sz="4" w:space="0" w:color="auto"/>
              <w:right w:val="single" w:sz="4" w:space="0" w:color="auto"/>
            </w:tcBorders>
            <w:shd w:val="clear" w:color="auto" w:fill="C6EFCE"/>
            <w:noWrap/>
          </w:tcPr>
          <w:p w14:paraId="41C97C9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Kesk-Kreeka kiirtee E-65 ehitustööde alustamine: Trikala-Egnatia</w:t>
            </w:r>
          </w:p>
        </w:tc>
      </w:tr>
      <w:tr w:rsidR="00356CBA" w:rsidRPr="003B132A" w14:paraId="6AB66D98" w14:textId="77777777" w:rsidTr="005D5392">
        <w:trPr>
          <w:trHeight w:val="313"/>
          <w:jc w:val="center"/>
        </w:trPr>
        <w:tc>
          <w:tcPr>
            <w:tcW w:w="1056" w:type="dxa"/>
            <w:tcBorders>
              <w:top w:val="nil"/>
              <w:left w:val="single" w:sz="4" w:space="0" w:color="auto"/>
              <w:bottom w:val="single" w:sz="4" w:space="0" w:color="auto"/>
              <w:right w:val="single" w:sz="4" w:space="0" w:color="auto"/>
            </w:tcBorders>
            <w:shd w:val="clear" w:color="auto" w:fill="C6EFCE"/>
            <w:noWrap/>
          </w:tcPr>
          <w:p w14:paraId="4AF32D1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255</w:t>
            </w:r>
          </w:p>
        </w:tc>
        <w:tc>
          <w:tcPr>
            <w:tcW w:w="1581" w:type="dxa"/>
            <w:tcBorders>
              <w:top w:val="nil"/>
              <w:left w:val="nil"/>
              <w:bottom w:val="single" w:sz="4" w:space="0" w:color="auto"/>
              <w:right w:val="single" w:sz="4" w:space="0" w:color="auto"/>
            </w:tcBorders>
            <w:shd w:val="clear" w:color="auto" w:fill="C6EFCE"/>
            <w:noWrap/>
          </w:tcPr>
          <w:p w14:paraId="6E14E78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16628_Kesk-Kreeka kiirtee E-65: Trikala – Egnatia</w:t>
            </w:r>
          </w:p>
        </w:tc>
        <w:tc>
          <w:tcPr>
            <w:tcW w:w="966" w:type="dxa"/>
            <w:tcBorders>
              <w:top w:val="nil"/>
              <w:left w:val="nil"/>
              <w:bottom w:val="single" w:sz="4" w:space="0" w:color="auto"/>
              <w:right w:val="single" w:sz="4" w:space="0" w:color="auto"/>
            </w:tcBorders>
            <w:shd w:val="clear" w:color="auto" w:fill="C6EFCE"/>
            <w:noWrap/>
          </w:tcPr>
          <w:p w14:paraId="3303E82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137" w:type="dxa"/>
            <w:tcBorders>
              <w:top w:val="nil"/>
              <w:left w:val="nil"/>
              <w:bottom w:val="single" w:sz="4" w:space="0" w:color="auto"/>
              <w:right w:val="single" w:sz="4" w:space="0" w:color="auto"/>
            </w:tcBorders>
            <w:shd w:val="clear" w:color="auto" w:fill="C6EFCE"/>
            <w:noWrap/>
          </w:tcPr>
          <w:p w14:paraId="37EE41F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E-65 tööd – esimene ehitusetapp</w:t>
            </w:r>
          </w:p>
        </w:tc>
        <w:tc>
          <w:tcPr>
            <w:tcW w:w="2253" w:type="dxa"/>
            <w:tcBorders>
              <w:top w:val="nil"/>
              <w:left w:val="nil"/>
              <w:bottom w:val="single" w:sz="4" w:space="0" w:color="auto"/>
              <w:right w:val="single" w:sz="4" w:space="0" w:color="auto"/>
            </w:tcBorders>
            <w:shd w:val="clear" w:color="auto" w:fill="C6EFCE"/>
            <w:noWrap/>
          </w:tcPr>
          <w:p w14:paraId="4A64743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60 % lõpetatud projektidest, mida toetab sõltumatu inseneri aruanne, mille on ratifitseerinud infrastruktuuriministeerium</w:t>
            </w:r>
          </w:p>
        </w:tc>
        <w:tc>
          <w:tcPr>
            <w:tcW w:w="1230" w:type="dxa"/>
            <w:tcBorders>
              <w:top w:val="nil"/>
              <w:left w:val="nil"/>
              <w:bottom w:val="single" w:sz="4" w:space="0" w:color="auto"/>
              <w:right w:val="single" w:sz="4" w:space="0" w:color="auto"/>
            </w:tcBorders>
            <w:shd w:val="clear" w:color="auto" w:fill="C6EFCE"/>
            <w:noWrap/>
          </w:tcPr>
          <w:p w14:paraId="0ACC697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5EF7704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559BDA91"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0" w:type="dxa"/>
            <w:tcBorders>
              <w:top w:val="nil"/>
              <w:left w:val="nil"/>
              <w:bottom w:val="single" w:sz="4" w:space="0" w:color="auto"/>
              <w:right w:val="single" w:sz="4" w:space="0" w:color="auto"/>
            </w:tcBorders>
            <w:shd w:val="clear" w:color="auto" w:fill="C6EFCE"/>
            <w:noWrap/>
          </w:tcPr>
          <w:p w14:paraId="571CC70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851" w:type="dxa"/>
            <w:tcBorders>
              <w:top w:val="nil"/>
              <w:left w:val="nil"/>
              <w:bottom w:val="single" w:sz="4" w:space="0" w:color="auto"/>
              <w:right w:val="single" w:sz="4" w:space="0" w:color="auto"/>
            </w:tcBorders>
            <w:shd w:val="clear" w:color="auto" w:fill="C6EFCE"/>
            <w:noWrap/>
          </w:tcPr>
          <w:p w14:paraId="060CA6B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4075" w:type="dxa"/>
            <w:tcBorders>
              <w:top w:val="nil"/>
              <w:left w:val="nil"/>
              <w:bottom w:val="single" w:sz="4" w:space="0" w:color="auto"/>
              <w:right w:val="single" w:sz="4" w:space="0" w:color="auto"/>
            </w:tcBorders>
            <w:shd w:val="clear" w:color="auto" w:fill="C6EFCE"/>
            <w:noWrap/>
          </w:tcPr>
          <w:p w14:paraId="2E64C3C0" w14:textId="77777777" w:rsidR="00356CBA" w:rsidRPr="00E02B5D" w:rsidRDefault="00356CBA">
            <w:pPr>
              <w:spacing w:after="0" w:line="240" w:lineRule="auto"/>
              <w:jc w:val="both"/>
              <w:rPr>
                <w:rFonts w:eastAsia="Times New Roman" w:cs="Calibri"/>
                <w:noProof/>
                <w:color w:val="006100"/>
                <w:sz w:val="18"/>
                <w:szCs w:val="18"/>
              </w:rPr>
            </w:pPr>
            <w:r>
              <w:rPr>
                <w:noProof/>
                <w:color w:val="006100"/>
                <w:sz w:val="18"/>
              </w:rPr>
              <w:t>60 % Kesk-Kreeka kiirtee E-65 ehitustööde väärtusest: Trikala-Egnatia peab olema läbinud ja kinnitanud sõltumatu insener.</w:t>
            </w:r>
          </w:p>
        </w:tc>
      </w:tr>
      <w:tr w:rsidR="00356CBA" w:rsidRPr="003B132A" w14:paraId="6122BC97" w14:textId="77777777" w:rsidTr="005D5392">
        <w:trPr>
          <w:trHeight w:val="313"/>
          <w:jc w:val="center"/>
        </w:trPr>
        <w:tc>
          <w:tcPr>
            <w:tcW w:w="1056" w:type="dxa"/>
            <w:tcBorders>
              <w:top w:val="nil"/>
              <w:left w:val="single" w:sz="4" w:space="0" w:color="auto"/>
              <w:bottom w:val="single" w:sz="4" w:space="0" w:color="auto"/>
              <w:right w:val="single" w:sz="4" w:space="0" w:color="auto"/>
            </w:tcBorders>
            <w:shd w:val="clear" w:color="auto" w:fill="C6EFCE"/>
            <w:noWrap/>
            <w:hideMark/>
          </w:tcPr>
          <w:p w14:paraId="7397600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256</w:t>
            </w:r>
          </w:p>
        </w:tc>
        <w:tc>
          <w:tcPr>
            <w:tcW w:w="1581" w:type="dxa"/>
            <w:tcBorders>
              <w:top w:val="nil"/>
              <w:left w:val="nil"/>
              <w:bottom w:val="single" w:sz="4" w:space="0" w:color="auto"/>
              <w:right w:val="single" w:sz="4" w:space="0" w:color="auto"/>
            </w:tcBorders>
            <w:shd w:val="clear" w:color="auto" w:fill="C6EFCE"/>
            <w:noWrap/>
            <w:hideMark/>
          </w:tcPr>
          <w:p w14:paraId="114C818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17-4.6. Peamiste majandussektorite ajakohastamine ja vastupanuvõime parandamine – 16628_Kesk-Kreeka kiirtee E-65: Trikala – Egnatia</w:t>
            </w:r>
          </w:p>
        </w:tc>
        <w:tc>
          <w:tcPr>
            <w:tcW w:w="966" w:type="dxa"/>
            <w:tcBorders>
              <w:top w:val="nil"/>
              <w:left w:val="nil"/>
              <w:bottom w:val="single" w:sz="4" w:space="0" w:color="auto"/>
              <w:right w:val="single" w:sz="4" w:space="0" w:color="auto"/>
            </w:tcBorders>
            <w:shd w:val="clear" w:color="auto" w:fill="C6EFCE"/>
            <w:noWrap/>
            <w:hideMark/>
          </w:tcPr>
          <w:p w14:paraId="3F12EC4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137" w:type="dxa"/>
            <w:tcBorders>
              <w:top w:val="nil"/>
              <w:left w:val="nil"/>
              <w:bottom w:val="single" w:sz="4" w:space="0" w:color="auto"/>
              <w:right w:val="single" w:sz="4" w:space="0" w:color="auto"/>
            </w:tcBorders>
            <w:shd w:val="clear" w:color="auto" w:fill="C6EFCE"/>
            <w:noWrap/>
            <w:hideMark/>
          </w:tcPr>
          <w:p w14:paraId="53FFCC9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E-65 tööd – lõpetamine</w:t>
            </w:r>
          </w:p>
        </w:tc>
        <w:tc>
          <w:tcPr>
            <w:tcW w:w="2253" w:type="dxa"/>
            <w:tcBorders>
              <w:top w:val="nil"/>
              <w:left w:val="nil"/>
              <w:bottom w:val="single" w:sz="4" w:space="0" w:color="auto"/>
              <w:right w:val="single" w:sz="4" w:space="0" w:color="auto"/>
            </w:tcBorders>
            <w:shd w:val="clear" w:color="auto" w:fill="C6EFCE"/>
            <w:noWrap/>
            <w:hideMark/>
          </w:tcPr>
          <w:p w14:paraId="1757AFE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100 % lõpetatud projektist, mida toetab sõltumatu inseneri aruanne, mille on ratifitseerinud infrastruktuuriministeerium</w:t>
            </w:r>
          </w:p>
        </w:tc>
        <w:tc>
          <w:tcPr>
            <w:tcW w:w="1230" w:type="dxa"/>
            <w:tcBorders>
              <w:top w:val="nil"/>
              <w:left w:val="nil"/>
              <w:bottom w:val="single" w:sz="4" w:space="0" w:color="auto"/>
              <w:right w:val="single" w:sz="4" w:space="0" w:color="auto"/>
            </w:tcBorders>
            <w:shd w:val="clear" w:color="auto" w:fill="C6EFCE"/>
            <w:noWrap/>
            <w:hideMark/>
          </w:tcPr>
          <w:p w14:paraId="1A048AAA"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hideMark/>
          </w:tcPr>
          <w:p w14:paraId="3B48496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hideMark/>
          </w:tcPr>
          <w:p w14:paraId="5F344C8E"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0" w:type="dxa"/>
            <w:tcBorders>
              <w:top w:val="nil"/>
              <w:left w:val="nil"/>
              <w:bottom w:val="single" w:sz="4" w:space="0" w:color="auto"/>
              <w:right w:val="single" w:sz="4" w:space="0" w:color="auto"/>
            </w:tcBorders>
            <w:shd w:val="clear" w:color="auto" w:fill="C6EFCE"/>
            <w:noWrap/>
            <w:hideMark/>
          </w:tcPr>
          <w:p w14:paraId="7469CB8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1" w:type="dxa"/>
            <w:tcBorders>
              <w:top w:val="nil"/>
              <w:left w:val="nil"/>
              <w:bottom w:val="single" w:sz="4" w:space="0" w:color="auto"/>
              <w:right w:val="single" w:sz="4" w:space="0" w:color="auto"/>
            </w:tcBorders>
            <w:shd w:val="clear" w:color="auto" w:fill="C6EFCE"/>
            <w:noWrap/>
            <w:hideMark/>
          </w:tcPr>
          <w:p w14:paraId="19B137F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4075" w:type="dxa"/>
            <w:tcBorders>
              <w:top w:val="nil"/>
              <w:left w:val="nil"/>
              <w:bottom w:val="single" w:sz="4" w:space="0" w:color="auto"/>
              <w:right w:val="single" w:sz="4" w:space="0" w:color="auto"/>
            </w:tcBorders>
            <w:shd w:val="clear" w:color="auto" w:fill="C6EFCE"/>
            <w:noWrap/>
            <w:hideMark/>
          </w:tcPr>
          <w:p w14:paraId="3EBC840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Projekti lõpuleviimine, sealhulgas juhuslikud tööd (nt kõik teemaksupunktid, valgustus ja ohutusmeetmed, mis on vajalikud kiirtee sertifitseerimiseks ja toimimiseks).</w:t>
            </w:r>
          </w:p>
        </w:tc>
      </w:tr>
    </w:tbl>
    <w:p w14:paraId="791819A1" w14:textId="77777777" w:rsidR="00356CBA" w:rsidRPr="00AD4052" w:rsidRDefault="00356CBA" w:rsidP="00645BC7">
      <w:pPr>
        <w:keepNext/>
        <w:keepLines/>
        <w:spacing w:before="240" w:after="0" w:line="240" w:lineRule="auto"/>
        <w:jc w:val="both"/>
        <w:outlineLvl w:val="4"/>
        <w:rPr>
          <w:rFonts w:ascii="Cambria" w:eastAsia="Times New Roman" w:hAnsi="Cambria"/>
          <w:noProof/>
          <w:color w:val="365F91"/>
          <w:sz w:val="24"/>
        </w:rPr>
        <w:sectPr w:rsidR="00356CBA" w:rsidRPr="00AD4052" w:rsidSect="00271D33">
          <w:headerReference w:type="even" r:id="rId332"/>
          <w:headerReference w:type="default" r:id="rId333"/>
          <w:footerReference w:type="even" r:id="rId334"/>
          <w:footerReference w:type="default" r:id="rId335"/>
          <w:headerReference w:type="first" r:id="rId336"/>
          <w:footerReference w:type="first" r:id="rId337"/>
          <w:pgSz w:w="16839" w:h="11907" w:orient="landscape"/>
          <w:pgMar w:top="720" w:right="720" w:bottom="720" w:left="720" w:header="709" w:footer="359" w:gutter="0"/>
          <w:cols w:space="720"/>
          <w:docGrid w:linePitch="360"/>
        </w:sectPr>
      </w:pPr>
    </w:p>
    <w:p w14:paraId="2C9C1C24" w14:textId="77777777" w:rsidR="00356CBA" w:rsidRPr="00E02B5D" w:rsidRDefault="00356CBA" w:rsidP="00645BC7">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Suurimad investeeringud 7: Liiklusohutuse suurendamine</w:t>
      </w:r>
    </w:p>
    <w:tbl>
      <w:tblPr>
        <w:tblW w:w="15617" w:type="dxa"/>
        <w:tblInd w:w="113" w:type="dxa"/>
        <w:tblLayout w:type="fixed"/>
        <w:tblLook w:val="04A0" w:firstRow="1" w:lastRow="0" w:firstColumn="1" w:lastColumn="0" w:noHBand="0" w:noVBand="1"/>
      </w:tblPr>
      <w:tblGrid>
        <w:gridCol w:w="1094"/>
        <w:gridCol w:w="1405"/>
        <w:gridCol w:w="1182"/>
        <w:gridCol w:w="1163"/>
        <w:gridCol w:w="1559"/>
        <w:gridCol w:w="709"/>
        <w:gridCol w:w="857"/>
        <w:gridCol w:w="587"/>
        <w:gridCol w:w="846"/>
        <w:gridCol w:w="690"/>
        <w:gridCol w:w="5525"/>
      </w:tblGrid>
      <w:tr w:rsidR="007B4D63" w:rsidRPr="003B132A" w14:paraId="15BC920B" w14:textId="77777777" w:rsidTr="005D5392">
        <w:trPr>
          <w:trHeight w:val="835"/>
          <w:tblHeader/>
        </w:trPr>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BF0653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Järjekorranumber</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06814DF"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Seotud meede (reform või investeering)</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F58ED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 / siht</w:t>
            </w:r>
          </w:p>
        </w:tc>
        <w:tc>
          <w:tcPr>
            <w:tcW w:w="1163" w:type="dxa"/>
            <w:vMerge w:val="restart"/>
            <w:tcBorders>
              <w:top w:val="single" w:sz="4" w:space="0" w:color="auto"/>
              <w:left w:val="nil"/>
              <w:bottom w:val="single" w:sz="4" w:space="0" w:color="auto"/>
              <w:right w:val="single" w:sz="4" w:space="0" w:color="auto"/>
            </w:tcBorders>
            <w:shd w:val="clear" w:color="auto" w:fill="BDD7EE"/>
            <w:vAlign w:val="center"/>
            <w:hideMark/>
          </w:tcPr>
          <w:p w14:paraId="3E75DA86"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Nimi</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4D094A"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Kvalitatiivsed näitajad (eesmärkide puhul)</w:t>
            </w:r>
          </w:p>
        </w:tc>
        <w:tc>
          <w:tcPr>
            <w:tcW w:w="2153" w:type="dxa"/>
            <w:gridSpan w:val="3"/>
            <w:tcBorders>
              <w:top w:val="single" w:sz="4" w:space="0" w:color="auto"/>
              <w:left w:val="nil"/>
              <w:bottom w:val="single" w:sz="4" w:space="0" w:color="auto"/>
              <w:right w:val="single" w:sz="4" w:space="0" w:color="auto"/>
            </w:tcBorders>
            <w:shd w:val="clear" w:color="auto" w:fill="BDD7EE"/>
            <w:vAlign w:val="center"/>
            <w:hideMark/>
          </w:tcPr>
          <w:p w14:paraId="086A4815"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Kvantitatiivsed näitajad (sihtide puhul)</w:t>
            </w:r>
          </w:p>
        </w:tc>
        <w:tc>
          <w:tcPr>
            <w:tcW w:w="1536" w:type="dxa"/>
            <w:gridSpan w:val="2"/>
            <w:tcBorders>
              <w:top w:val="single" w:sz="4" w:space="0" w:color="auto"/>
              <w:left w:val="nil"/>
              <w:bottom w:val="single" w:sz="4" w:space="0" w:color="auto"/>
              <w:right w:val="single" w:sz="4" w:space="0" w:color="auto"/>
            </w:tcBorders>
            <w:shd w:val="clear" w:color="auto" w:fill="BDD7EE"/>
            <w:vAlign w:val="center"/>
            <w:hideMark/>
          </w:tcPr>
          <w:p w14:paraId="705C0C31"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Lõpuleviimise soovituslik ajakava </w:t>
            </w:r>
          </w:p>
        </w:tc>
        <w:tc>
          <w:tcPr>
            <w:tcW w:w="55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64CA75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Iga eesmärgi ja sihi kirjeldus</w:t>
            </w:r>
          </w:p>
        </w:tc>
      </w:tr>
      <w:tr w:rsidR="007B4D63" w:rsidRPr="00E02B5D" w14:paraId="6F0347DA" w14:textId="77777777" w:rsidTr="005D5392">
        <w:trPr>
          <w:trHeight w:val="594"/>
          <w:tblHeader/>
        </w:trPr>
        <w:tc>
          <w:tcPr>
            <w:tcW w:w="1094" w:type="dxa"/>
            <w:vMerge/>
            <w:tcBorders>
              <w:top w:val="single" w:sz="4" w:space="0" w:color="auto"/>
              <w:left w:val="single" w:sz="4" w:space="0" w:color="auto"/>
              <w:bottom w:val="single" w:sz="4" w:space="0" w:color="auto"/>
              <w:right w:val="single" w:sz="4" w:space="0" w:color="auto"/>
            </w:tcBorders>
            <w:vAlign w:val="center"/>
            <w:hideMark/>
          </w:tcPr>
          <w:p w14:paraId="7E3B76E0"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4A4C692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706A1DA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31FFB95A"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7681F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F63E8FE"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857" w:type="dxa"/>
            <w:tcBorders>
              <w:top w:val="nil"/>
              <w:left w:val="nil"/>
              <w:bottom w:val="single" w:sz="4" w:space="0" w:color="auto"/>
              <w:right w:val="single" w:sz="4" w:space="0" w:color="auto"/>
            </w:tcBorders>
            <w:shd w:val="clear" w:color="auto" w:fill="BDD7EE"/>
            <w:vAlign w:val="center"/>
            <w:hideMark/>
          </w:tcPr>
          <w:p w14:paraId="66EE4E6F"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Lähtetase </w:t>
            </w:r>
          </w:p>
        </w:tc>
        <w:tc>
          <w:tcPr>
            <w:tcW w:w="587" w:type="dxa"/>
            <w:tcBorders>
              <w:top w:val="nil"/>
              <w:left w:val="nil"/>
              <w:bottom w:val="single" w:sz="4" w:space="0" w:color="auto"/>
              <w:right w:val="single" w:sz="4" w:space="0" w:color="auto"/>
            </w:tcBorders>
            <w:shd w:val="clear" w:color="auto" w:fill="BDD7EE"/>
            <w:vAlign w:val="center"/>
            <w:hideMark/>
          </w:tcPr>
          <w:p w14:paraId="5F43E365"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Eesmärk </w:t>
            </w:r>
          </w:p>
        </w:tc>
        <w:tc>
          <w:tcPr>
            <w:tcW w:w="846" w:type="dxa"/>
            <w:tcBorders>
              <w:top w:val="nil"/>
              <w:left w:val="nil"/>
              <w:bottom w:val="single" w:sz="4" w:space="0" w:color="auto"/>
              <w:right w:val="single" w:sz="4" w:space="0" w:color="auto"/>
            </w:tcBorders>
            <w:shd w:val="clear" w:color="auto" w:fill="BDD7EE"/>
            <w:vAlign w:val="center"/>
            <w:hideMark/>
          </w:tcPr>
          <w:p w14:paraId="4A77892F"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690" w:type="dxa"/>
            <w:tcBorders>
              <w:top w:val="nil"/>
              <w:left w:val="nil"/>
              <w:bottom w:val="single" w:sz="4" w:space="0" w:color="auto"/>
              <w:right w:val="single" w:sz="4" w:space="0" w:color="auto"/>
            </w:tcBorders>
            <w:shd w:val="clear" w:color="auto" w:fill="BDD7EE"/>
            <w:vAlign w:val="center"/>
            <w:hideMark/>
          </w:tcPr>
          <w:p w14:paraId="66D6B4B3"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5525" w:type="dxa"/>
            <w:vMerge/>
            <w:tcBorders>
              <w:top w:val="single" w:sz="4" w:space="0" w:color="auto"/>
              <w:bottom w:val="single" w:sz="4" w:space="0" w:color="auto"/>
              <w:right w:val="single" w:sz="4" w:space="0" w:color="auto"/>
            </w:tcBorders>
            <w:vAlign w:val="center"/>
            <w:hideMark/>
          </w:tcPr>
          <w:p w14:paraId="55DF350E"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261E0463" w14:textId="77777777" w:rsidTr="005D5392">
        <w:trPr>
          <w:trHeight w:val="313"/>
        </w:trPr>
        <w:tc>
          <w:tcPr>
            <w:tcW w:w="1094" w:type="dxa"/>
            <w:tcBorders>
              <w:top w:val="single" w:sz="4" w:space="0" w:color="auto"/>
              <w:left w:val="single" w:sz="4" w:space="0" w:color="auto"/>
              <w:bottom w:val="single" w:sz="4" w:space="0" w:color="auto"/>
              <w:right w:val="single" w:sz="4" w:space="0" w:color="auto"/>
            </w:tcBorders>
            <w:shd w:val="clear" w:color="auto" w:fill="C6EFCE"/>
            <w:noWrap/>
          </w:tcPr>
          <w:p w14:paraId="6BE87A5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257</w:t>
            </w:r>
          </w:p>
        </w:tc>
        <w:tc>
          <w:tcPr>
            <w:tcW w:w="1405" w:type="dxa"/>
            <w:tcBorders>
              <w:top w:val="single" w:sz="4" w:space="0" w:color="auto"/>
              <w:left w:val="nil"/>
              <w:bottom w:val="single" w:sz="4" w:space="0" w:color="auto"/>
              <w:right w:val="single" w:sz="4" w:space="0" w:color="auto"/>
            </w:tcBorders>
            <w:shd w:val="clear" w:color="auto" w:fill="C6EFCE"/>
            <w:noWrap/>
          </w:tcPr>
          <w:p w14:paraId="50AB51D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16631_Maanteeohutuse suurendamine</w:t>
            </w:r>
          </w:p>
        </w:tc>
        <w:tc>
          <w:tcPr>
            <w:tcW w:w="1182" w:type="dxa"/>
            <w:tcBorders>
              <w:top w:val="single" w:sz="4" w:space="0" w:color="auto"/>
              <w:left w:val="nil"/>
              <w:bottom w:val="single" w:sz="4" w:space="0" w:color="auto"/>
              <w:right w:val="single" w:sz="4" w:space="0" w:color="auto"/>
            </w:tcBorders>
            <w:shd w:val="clear" w:color="auto" w:fill="C6EFCE"/>
            <w:noWrap/>
          </w:tcPr>
          <w:p w14:paraId="5770BD3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163" w:type="dxa"/>
            <w:tcBorders>
              <w:top w:val="single" w:sz="4" w:space="0" w:color="auto"/>
              <w:left w:val="nil"/>
              <w:bottom w:val="single" w:sz="4" w:space="0" w:color="auto"/>
              <w:right w:val="single" w:sz="4" w:space="0" w:color="auto"/>
            </w:tcBorders>
            <w:shd w:val="clear" w:color="auto" w:fill="C6EFCE"/>
            <w:noWrap/>
          </w:tcPr>
          <w:p w14:paraId="1B18B63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Liiklusohutusega seotud lepingu sõlmimine – lepingute esimene osa</w:t>
            </w:r>
          </w:p>
        </w:tc>
        <w:tc>
          <w:tcPr>
            <w:tcW w:w="1559" w:type="dxa"/>
            <w:tcBorders>
              <w:top w:val="single" w:sz="4" w:space="0" w:color="auto"/>
              <w:left w:val="nil"/>
              <w:bottom w:val="single" w:sz="4" w:space="0" w:color="auto"/>
              <w:right w:val="single" w:sz="4" w:space="0" w:color="auto"/>
            </w:tcBorders>
            <w:shd w:val="clear" w:color="auto" w:fill="C6EFCE"/>
            <w:noWrap/>
          </w:tcPr>
          <w:p w14:paraId="1E13026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Teade vähemalt 2 300 asukohaga lepingute sõlmimise kohta.</w:t>
            </w:r>
          </w:p>
        </w:tc>
        <w:tc>
          <w:tcPr>
            <w:tcW w:w="709" w:type="dxa"/>
            <w:tcBorders>
              <w:top w:val="single" w:sz="4" w:space="0" w:color="auto"/>
              <w:left w:val="nil"/>
              <w:bottom w:val="single" w:sz="4" w:space="0" w:color="auto"/>
              <w:right w:val="single" w:sz="4" w:space="0" w:color="auto"/>
            </w:tcBorders>
            <w:shd w:val="clear" w:color="auto" w:fill="C6EFCE"/>
            <w:noWrap/>
          </w:tcPr>
          <w:p w14:paraId="5A50A3AD" w14:textId="77777777" w:rsidR="00356CBA" w:rsidRPr="00AD4052" w:rsidRDefault="00356CBA">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14:paraId="62A417C3" w14:textId="77777777" w:rsidR="00356CBA" w:rsidRPr="00AD4052" w:rsidRDefault="00356CBA">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14:paraId="4C306D9B" w14:textId="77777777" w:rsidR="00356CBA" w:rsidRPr="00AD4052" w:rsidRDefault="00356CBA">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14:paraId="78E99E0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690" w:type="dxa"/>
            <w:tcBorders>
              <w:top w:val="nil"/>
              <w:left w:val="nil"/>
              <w:bottom w:val="single" w:sz="4" w:space="0" w:color="auto"/>
              <w:right w:val="single" w:sz="4" w:space="0" w:color="auto"/>
            </w:tcBorders>
            <w:shd w:val="clear" w:color="auto" w:fill="C6EFCE"/>
            <w:noWrap/>
          </w:tcPr>
          <w:p w14:paraId="355FB69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2023</w:t>
            </w:r>
          </w:p>
        </w:tc>
        <w:tc>
          <w:tcPr>
            <w:tcW w:w="5525" w:type="dxa"/>
            <w:tcBorders>
              <w:top w:val="nil"/>
              <w:left w:val="nil"/>
              <w:bottom w:val="single" w:sz="4" w:space="0" w:color="auto"/>
              <w:right w:val="single" w:sz="4" w:space="0" w:color="auto"/>
            </w:tcBorders>
            <w:shd w:val="clear" w:color="auto" w:fill="C6EFCE"/>
            <w:noWrap/>
          </w:tcPr>
          <w:p w14:paraId="33ECFFC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Vähemalt 2 300 kohta sõlmitud lepingud, millega tagatakse a) liiklusohutuse parandamine programmi „Maanteeohutuse parandamise programm (PEVOA)“ raames ligikaudu 7 000 ohtlikus kohas; b) väikesed parandused ülejäänud 2 500 km osas</w:t>
            </w:r>
          </w:p>
        </w:tc>
      </w:tr>
      <w:tr w:rsidR="00356CBA" w:rsidRPr="003B132A" w14:paraId="70110F73" w14:textId="77777777" w:rsidTr="005D5392">
        <w:trPr>
          <w:trHeight w:val="313"/>
        </w:trPr>
        <w:tc>
          <w:tcPr>
            <w:tcW w:w="1094" w:type="dxa"/>
            <w:tcBorders>
              <w:top w:val="nil"/>
              <w:left w:val="single" w:sz="4" w:space="0" w:color="auto"/>
              <w:bottom w:val="single" w:sz="4" w:space="0" w:color="auto"/>
              <w:right w:val="single" w:sz="4" w:space="0" w:color="auto"/>
            </w:tcBorders>
            <w:shd w:val="clear" w:color="auto" w:fill="C6EFCE"/>
            <w:noWrap/>
          </w:tcPr>
          <w:p w14:paraId="689B042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258</w:t>
            </w:r>
          </w:p>
        </w:tc>
        <w:tc>
          <w:tcPr>
            <w:tcW w:w="1405" w:type="dxa"/>
            <w:tcBorders>
              <w:top w:val="nil"/>
              <w:left w:val="nil"/>
              <w:bottom w:val="single" w:sz="4" w:space="0" w:color="auto"/>
              <w:right w:val="single" w:sz="4" w:space="0" w:color="auto"/>
            </w:tcBorders>
            <w:shd w:val="clear" w:color="auto" w:fill="C6EFCE"/>
            <w:noWrap/>
          </w:tcPr>
          <w:p w14:paraId="1DFC5E1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16631_Maanteeohutuse suurendamine</w:t>
            </w:r>
          </w:p>
        </w:tc>
        <w:tc>
          <w:tcPr>
            <w:tcW w:w="1182" w:type="dxa"/>
            <w:tcBorders>
              <w:top w:val="nil"/>
              <w:left w:val="nil"/>
              <w:bottom w:val="single" w:sz="4" w:space="0" w:color="auto"/>
              <w:right w:val="single" w:sz="4" w:space="0" w:color="auto"/>
            </w:tcBorders>
            <w:shd w:val="clear" w:color="auto" w:fill="C6EFCE"/>
            <w:noWrap/>
          </w:tcPr>
          <w:p w14:paraId="75B231C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163" w:type="dxa"/>
            <w:tcBorders>
              <w:top w:val="nil"/>
              <w:left w:val="nil"/>
              <w:bottom w:val="single" w:sz="4" w:space="0" w:color="auto"/>
              <w:right w:val="single" w:sz="4" w:space="0" w:color="auto"/>
            </w:tcBorders>
            <w:shd w:val="clear" w:color="auto" w:fill="C6EFCE"/>
            <w:noWrap/>
          </w:tcPr>
          <w:p w14:paraId="502BA90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Liiklusohutusega seotud lepingute sõlmimine – kõik lepingud</w:t>
            </w:r>
          </w:p>
        </w:tc>
        <w:tc>
          <w:tcPr>
            <w:tcW w:w="1559" w:type="dxa"/>
            <w:tcBorders>
              <w:top w:val="nil"/>
              <w:left w:val="nil"/>
              <w:bottom w:val="single" w:sz="4" w:space="0" w:color="auto"/>
              <w:right w:val="single" w:sz="4" w:space="0" w:color="auto"/>
            </w:tcBorders>
            <w:shd w:val="clear" w:color="auto" w:fill="C6EFCE"/>
            <w:noWrap/>
          </w:tcPr>
          <w:p w14:paraId="3601665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100 % lepingute sõlmimisest teatamine</w:t>
            </w:r>
          </w:p>
        </w:tc>
        <w:tc>
          <w:tcPr>
            <w:tcW w:w="709" w:type="dxa"/>
            <w:tcBorders>
              <w:top w:val="nil"/>
              <w:left w:val="nil"/>
              <w:bottom w:val="single" w:sz="4" w:space="0" w:color="auto"/>
              <w:right w:val="single" w:sz="4" w:space="0" w:color="auto"/>
            </w:tcBorders>
            <w:shd w:val="clear" w:color="auto" w:fill="C6EFCE"/>
            <w:noWrap/>
          </w:tcPr>
          <w:p w14:paraId="6EBED7F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2A6EF9F7"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587" w:type="dxa"/>
            <w:tcBorders>
              <w:top w:val="nil"/>
              <w:left w:val="nil"/>
              <w:bottom w:val="single" w:sz="4" w:space="0" w:color="auto"/>
              <w:right w:val="single" w:sz="4" w:space="0" w:color="auto"/>
            </w:tcBorders>
            <w:shd w:val="clear" w:color="auto" w:fill="C6EFCE"/>
            <w:noWrap/>
          </w:tcPr>
          <w:p w14:paraId="7E78423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46" w:type="dxa"/>
            <w:tcBorders>
              <w:top w:val="nil"/>
              <w:left w:val="nil"/>
              <w:bottom w:val="single" w:sz="4" w:space="0" w:color="auto"/>
              <w:right w:val="single" w:sz="4" w:space="0" w:color="auto"/>
            </w:tcBorders>
            <w:shd w:val="clear" w:color="auto" w:fill="C6EFCE"/>
            <w:noWrap/>
          </w:tcPr>
          <w:p w14:paraId="6691D8E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690" w:type="dxa"/>
            <w:tcBorders>
              <w:top w:val="nil"/>
              <w:left w:val="nil"/>
              <w:bottom w:val="single" w:sz="4" w:space="0" w:color="auto"/>
              <w:right w:val="single" w:sz="4" w:space="0" w:color="auto"/>
            </w:tcBorders>
            <w:shd w:val="clear" w:color="auto" w:fill="C6EFCE"/>
            <w:noWrap/>
          </w:tcPr>
          <w:p w14:paraId="043AFF5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5525" w:type="dxa"/>
            <w:tcBorders>
              <w:top w:val="nil"/>
              <w:left w:val="nil"/>
              <w:bottom w:val="single" w:sz="4" w:space="0" w:color="auto"/>
              <w:right w:val="single" w:sz="4" w:space="0" w:color="auto"/>
            </w:tcBorders>
            <w:shd w:val="clear" w:color="auto" w:fill="C6EFCE"/>
            <w:noWrap/>
          </w:tcPr>
          <w:p w14:paraId="66629C3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Lepingud, mis on sõlmitud 100 % ulatuses käesoleva projekti raames asuvatest asukohtadest, mis tagavad liiklusohutuse parandamise programmi (PEVOA) raames vähemalt 7 000 ohtlikus kohas; b) väikesed parandused ülejäänud 2 500 km osas</w:t>
            </w:r>
          </w:p>
        </w:tc>
      </w:tr>
      <w:tr w:rsidR="00356CBA" w:rsidRPr="003B132A" w14:paraId="59177803" w14:textId="77777777" w:rsidTr="005D5392">
        <w:trPr>
          <w:trHeight w:val="313"/>
        </w:trPr>
        <w:tc>
          <w:tcPr>
            <w:tcW w:w="1094" w:type="dxa"/>
            <w:tcBorders>
              <w:top w:val="nil"/>
              <w:left w:val="single" w:sz="4" w:space="0" w:color="auto"/>
              <w:bottom w:val="single" w:sz="4" w:space="0" w:color="auto"/>
              <w:right w:val="single" w:sz="4" w:space="0" w:color="auto"/>
            </w:tcBorders>
            <w:shd w:val="clear" w:color="auto" w:fill="C6EFCE"/>
            <w:noWrap/>
            <w:hideMark/>
          </w:tcPr>
          <w:p w14:paraId="598AA490" w14:textId="77777777" w:rsidR="00356CBA" w:rsidRDefault="00356CBA">
            <w:pPr>
              <w:spacing w:after="0" w:line="240" w:lineRule="auto"/>
              <w:rPr>
                <w:noProof/>
                <w:color w:val="006100"/>
                <w:sz w:val="18"/>
              </w:rPr>
            </w:pPr>
            <w:r>
              <w:rPr>
                <w:noProof/>
                <w:color w:val="006100"/>
                <w:sz w:val="18"/>
              </w:rPr>
              <w:t>259</w:t>
            </w:r>
          </w:p>
          <w:p w14:paraId="36D816D5" w14:textId="77777777" w:rsidR="006B4EF8" w:rsidRPr="006B4EF8" w:rsidRDefault="006B4EF8" w:rsidP="006B4EF8">
            <w:pPr>
              <w:rPr>
                <w:rFonts w:eastAsia="Times New Roman" w:cs="Calibri"/>
                <w:noProof/>
                <w:sz w:val="18"/>
                <w:szCs w:val="18"/>
                <w:lang w:val="en-GB"/>
              </w:rPr>
            </w:pPr>
          </w:p>
          <w:p w14:paraId="1AF0C026" w14:textId="77777777" w:rsidR="006B4EF8" w:rsidRPr="006B4EF8" w:rsidRDefault="006B4EF8" w:rsidP="006B4EF8">
            <w:pPr>
              <w:rPr>
                <w:rFonts w:eastAsia="Times New Roman" w:cs="Calibri"/>
                <w:noProof/>
                <w:sz w:val="18"/>
                <w:szCs w:val="18"/>
                <w:lang w:val="en-GB"/>
              </w:rPr>
            </w:pPr>
          </w:p>
          <w:p w14:paraId="21083252" w14:textId="77777777" w:rsidR="006B4EF8" w:rsidRPr="006B4EF8" w:rsidRDefault="006B4EF8" w:rsidP="006B4EF8">
            <w:pPr>
              <w:rPr>
                <w:rFonts w:eastAsia="Times New Roman" w:cs="Calibri"/>
                <w:noProof/>
                <w:sz w:val="18"/>
                <w:szCs w:val="18"/>
                <w:lang w:val="en-GB"/>
              </w:rPr>
            </w:pPr>
          </w:p>
          <w:p w14:paraId="527F3653" w14:textId="77777777" w:rsidR="006B4EF8" w:rsidRPr="006B4EF8" w:rsidRDefault="006B4EF8" w:rsidP="006B4EF8">
            <w:pPr>
              <w:rPr>
                <w:rFonts w:eastAsia="Times New Roman" w:cs="Calibri"/>
                <w:noProof/>
                <w:sz w:val="18"/>
                <w:szCs w:val="18"/>
                <w:lang w:val="en-GB"/>
              </w:rPr>
            </w:pPr>
          </w:p>
          <w:p w14:paraId="46F89B15" w14:textId="77777777" w:rsidR="006B4EF8" w:rsidRPr="006B4EF8" w:rsidRDefault="006B4EF8" w:rsidP="006B4EF8">
            <w:pPr>
              <w:rPr>
                <w:rFonts w:eastAsia="Times New Roman" w:cs="Calibri"/>
                <w:noProof/>
                <w:sz w:val="18"/>
                <w:szCs w:val="18"/>
                <w:lang w:val="en-GB"/>
              </w:rPr>
            </w:pPr>
          </w:p>
        </w:tc>
        <w:tc>
          <w:tcPr>
            <w:tcW w:w="1405" w:type="dxa"/>
            <w:tcBorders>
              <w:top w:val="nil"/>
              <w:left w:val="nil"/>
              <w:bottom w:val="single" w:sz="4" w:space="0" w:color="auto"/>
              <w:right w:val="single" w:sz="4" w:space="0" w:color="auto"/>
            </w:tcBorders>
            <w:shd w:val="clear" w:color="auto" w:fill="C6EFCE"/>
            <w:noWrap/>
            <w:hideMark/>
          </w:tcPr>
          <w:p w14:paraId="4A625D14" w14:textId="2C61BA44"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16631_Maanteeohutuse suurendamine</w:t>
            </w:r>
          </w:p>
        </w:tc>
        <w:tc>
          <w:tcPr>
            <w:tcW w:w="1182" w:type="dxa"/>
            <w:tcBorders>
              <w:top w:val="nil"/>
              <w:left w:val="nil"/>
              <w:bottom w:val="single" w:sz="4" w:space="0" w:color="auto"/>
              <w:right w:val="single" w:sz="4" w:space="0" w:color="auto"/>
            </w:tcBorders>
            <w:shd w:val="clear" w:color="auto" w:fill="C6EFCE"/>
            <w:noWrap/>
            <w:hideMark/>
          </w:tcPr>
          <w:p w14:paraId="3A99AA0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163" w:type="dxa"/>
            <w:tcBorders>
              <w:top w:val="nil"/>
              <w:left w:val="nil"/>
              <w:bottom w:val="single" w:sz="4" w:space="0" w:color="auto"/>
              <w:right w:val="single" w:sz="4" w:space="0" w:color="auto"/>
            </w:tcBorders>
            <w:shd w:val="clear" w:color="auto" w:fill="C6EFCE"/>
            <w:noWrap/>
            <w:hideMark/>
          </w:tcPr>
          <w:p w14:paraId="341D69C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Liiklusohutuse projekti lõpuleviimine</w:t>
            </w:r>
          </w:p>
        </w:tc>
        <w:tc>
          <w:tcPr>
            <w:tcW w:w="1559" w:type="dxa"/>
            <w:tcBorders>
              <w:top w:val="nil"/>
              <w:left w:val="nil"/>
              <w:bottom w:val="single" w:sz="4" w:space="0" w:color="auto"/>
              <w:right w:val="single" w:sz="4" w:space="0" w:color="auto"/>
            </w:tcBorders>
            <w:shd w:val="clear" w:color="auto" w:fill="C6EFCE"/>
            <w:noWrap/>
            <w:hideMark/>
          </w:tcPr>
          <w:p w14:paraId="676F9B7B" w14:textId="77777777" w:rsidR="00356CBA" w:rsidRPr="00E02B5D" w:rsidRDefault="00356CBA">
            <w:pPr>
              <w:spacing w:after="0" w:line="240" w:lineRule="auto"/>
              <w:rPr>
                <w:rFonts w:eastAsia="Times New Roman" w:cs="Calibri"/>
                <w:noProof/>
                <w:color w:val="006100"/>
                <w:sz w:val="18"/>
                <w:szCs w:val="18"/>
                <w:highlight w:val="yellow"/>
              </w:rPr>
            </w:pPr>
            <w:r>
              <w:rPr>
                <w:noProof/>
                <w:color w:val="006100"/>
                <w:sz w:val="18"/>
              </w:rPr>
              <w:t>Sõltumatu inseneri tõend kõigi liiklusohutusega seotud tööde lõpuleviimise kohta</w:t>
            </w:r>
          </w:p>
        </w:tc>
        <w:tc>
          <w:tcPr>
            <w:tcW w:w="709" w:type="dxa"/>
            <w:tcBorders>
              <w:top w:val="nil"/>
              <w:left w:val="nil"/>
              <w:bottom w:val="single" w:sz="4" w:space="0" w:color="auto"/>
              <w:right w:val="single" w:sz="4" w:space="0" w:color="auto"/>
            </w:tcBorders>
            <w:shd w:val="clear" w:color="auto" w:fill="C6EFCE"/>
            <w:noWrap/>
            <w:hideMark/>
          </w:tcPr>
          <w:p w14:paraId="3FACB39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857" w:type="dxa"/>
            <w:tcBorders>
              <w:top w:val="nil"/>
              <w:left w:val="nil"/>
              <w:bottom w:val="single" w:sz="4" w:space="0" w:color="auto"/>
              <w:right w:val="single" w:sz="4" w:space="0" w:color="auto"/>
            </w:tcBorders>
            <w:shd w:val="clear" w:color="auto" w:fill="C6EFCE"/>
            <w:noWrap/>
            <w:hideMark/>
          </w:tcPr>
          <w:p w14:paraId="5F73B0D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587" w:type="dxa"/>
            <w:tcBorders>
              <w:top w:val="nil"/>
              <w:left w:val="nil"/>
              <w:bottom w:val="single" w:sz="4" w:space="0" w:color="auto"/>
              <w:right w:val="single" w:sz="4" w:space="0" w:color="auto"/>
            </w:tcBorders>
            <w:shd w:val="clear" w:color="auto" w:fill="C6EFCE"/>
            <w:noWrap/>
            <w:hideMark/>
          </w:tcPr>
          <w:p w14:paraId="7454901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846" w:type="dxa"/>
            <w:tcBorders>
              <w:top w:val="nil"/>
              <w:left w:val="nil"/>
              <w:bottom w:val="single" w:sz="4" w:space="0" w:color="auto"/>
              <w:right w:val="single" w:sz="4" w:space="0" w:color="auto"/>
            </w:tcBorders>
            <w:shd w:val="clear" w:color="auto" w:fill="C6EFCE"/>
            <w:noWrap/>
            <w:hideMark/>
          </w:tcPr>
          <w:p w14:paraId="6B285D4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 </w:t>
            </w:r>
          </w:p>
        </w:tc>
        <w:tc>
          <w:tcPr>
            <w:tcW w:w="690" w:type="dxa"/>
            <w:tcBorders>
              <w:top w:val="nil"/>
              <w:left w:val="nil"/>
              <w:bottom w:val="single" w:sz="4" w:space="0" w:color="auto"/>
              <w:right w:val="single" w:sz="4" w:space="0" w:color="auto"/>
            </w:tcBorders>
            <w:shd w:val="clear" w:color="auto" w:fill="C6EFCE"/>
            <w:noWrap/>
            <w:hideMark/>
          </w:tcPr>
          <w:p w14:paraId="068E688C" w14:textId="3C33992C"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5525" w:type="dxa"/>
            <w:tcBorders>
              <w:top w:val="nil"/>
              <w:left w:val="nil"/>
              <w:bottom w:val="single" w:sz="4" w:space="0" w:color="auto"/>
              <w:right w:val="single" w:sz="4" w:space="0" w:color="auto"/>
            </w:tcBorders>
            <w:shd w:val="clear" w:color="auto" w:fill="C6EFCE"/>
            <w:noWrap/>
            <w:hideMark/>
          </w:tcPr>
          <w:p w14:paraId="204D85E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Projekti lõpuleviimine ja a) liiklusohutuse parandamine osana programmist „Maanteeohutuse parandamise programm (PEVOA)“ vähemalt 7 000 ohtlikus kohas; b) väikesed parandused ülejäänud 2 500 km osas</w:t>
            </w:r>
          </w:p>
        </w:tc>
      </w:tr>
    </w:tbl>
    <w:p w14:paraId="7463FDA7" w14:textId="77777777" w:rsidR="00356CBA" w:rsidRPr="00E02B5D" w:rsidRDefault="00356CBA" w:rsidP="00645BC7">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Tippinvesteeringud 8: Kreeta põhjakiirtee (Β. Ο. Α. Κ.)</w:t>
      </w:r>
    </w:p>
    <w:tbl>
      <w:tblPr>
        <w:tblW w:w="16438" w:type="dxa"/>
        <w:jc w:val="center"/>
        <w:tblLook w:val="04A0" w:firstRow="1" w:lastRow="0" w:firstColumn="1" w:lastColumn="0" w:noHBand="0" w:noVBand="1"/>
      </w:tblPr>
      <w:tblGrid>
        <w:gridCol w:w="1129"/>
        <w:gridCol w:w="1581"/>
        <w:gridCol w:w="965"/>
        <w:gridCol w:w="1206"/>
        <w:gridCol w:w="2298"/>
        <w:gridCol w:w="1858"/>
        <w:gridCol w:w="1249"/>
        <w:gridCol w:w="906"/>
        <w:gridCol w:w="1233"/>
        <w:gridCol w:w="852"/>
        <w:gridCol w:w="3161"/>
      </w:tblGrid>
      <w:tr w:rsidR="007B4D63" w:rsidRPr="003B132A" w14:paraId="12E7C184" w14:textId="77777777" w:rsidTr="005D5392">
        <w:trPr>
          <w:trHeight w:val="939"/>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B06E575" w14:textId="3A1D421D"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Järjekorra</w:t>
            </w:r>
            <w:r w:rsidR="005D5392">
              <w:rPr>
                <w:rFonts w:ascii="Times New Roman" w:hAnsi="Times New Roman"/>
                <w:b/>
                <w:noProof/>
                <w:sz w:val="18"/>
              </w:rPr>
              <w:t>-</w:t>
            </w:r>
            <w:r>
              <w:rPr>
                <w:rFonts w:ascii="Times New Roman" w:hAnsi="Times New Roman"/>
                <w:b/>
                <w:noProof/>
                <w:sz w:val="18"/>
              </w:rPr>
              <w:t>number</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9D81AA"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Seotud meede (reform või investeering)</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840729"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 / siht</w:t>
            </w:r>
          </w:p>
        </w:tc>
        <w:tc>
          <w:tcPr>
            <w:tcW w:w="1206" w:type="dxa"/>
            <w:vMerge w:val="restart"/>
            <w:tcBorders>
              <w:top w:val="single" w:sz="4" w:space="0" w:color="auto"/>
              <w:left w:val="nil"/>
              <w:bottom w:val="single" w:sz="4" w:space="0" w:color="auto"/>
              <w:right w:val="single" w:sz="4" w:space="0" w:color="auto"/>
            </w:tcBorders>
            <w:shd w:val="clear" w:color="auto" w:fill="BDD7EE"/>
            <w:vAlign w:val="center"/>
            <w:hideMark/>
          </w:tcPr>
          <w:p w14:paraId="471396C5"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Nimi</w:t>
            </w:r>
          </w:p>
        </w:tc>
        <w:tc>
          <w:tcPr>
            <w:tcW w:w="22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8BEC77"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Kvalitatiivsed näitajad (eesmärkide puhul)</w:t>
            </w:r>
          </w:p>
        </w:tc>
        <w:tc>
          <w:tcPr>
            <w:tcW w:w="4013" w:type="dxa"/>
            <w:gridSpan w:val="3"/>
            <w:tcBorders>
              <w:top w:val="single" w:sz="4" w:space="0" w:color="auto"/>
              <w:left w:val="nil"/>
              <w:bottom w:val="single" w:sz="4" w:space="0" w:color="auto"/>
              <w:right w:val="single" w:sz="4" w:space="0" w:color="auto"/>
            </w:tcBorders>
            <w:shd w:val="clear" w:color="auto" w:fill="BDD7EE"/>
            <w:vAlign w:val="center"/>
            <w:hideMark/>
          </w:tcPr>
          <w:p w14:paraId="73FB7675"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Kvantitatiivsed näitajad (sihtide puhul)</w:t>
            </w:r>
          </w:p>
        </w:tc>
        <w:tc>
          <w:tcPr>
            <w:tcW w:w="2085" w:type="dxa"/>
            <w:gridSpan w:val="2"/>
            <w:tcBorders>
              <w:top w:val="single" w:sz="4" w:space="0" w:color="auto"/>
              <w:left w:val="nil"/>
              <w:bottom w:val="single" w:sz="4" w:space="0" w:color="auto"/>
              <w:right w:val="single" w:sz="4" w:space="0" w:color="auto"/>
            </w:tcBorders>
            <w:shd w:val="clear" w:color="auto" w:fill="BDD7EE"/>
            <w:vAlign w:val="center"/>
            <w:hideMark/>
          </w:tcPr>
          <w:p w14:paraId="10FC4F8E"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Lõpuleviimise soovituslik ajakava </w:t>
            </w:r>
          </w:p>
        </w:tc>
        <w:tc>
          <w:tcPr>
            <w:tcW w:w="31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A84C78A"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Iga eesmärgi ja sihi kirjeldus</w:t>
            </w:r>
          </w:p>
        </w:tc>
      </w:tr>
      <w:tr w:rsidR="007B4D63" w:rsidRPr="00E02B5D" w14:paraId="33F08BA6" w14:textId="77777777" w:rsidTr="005D5392">
        <w:trPr>
          <w:trHeight w:val="431"/>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FF7AA43"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3B4BA6DB"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604CE338"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00B5B603"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56143C53"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85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15B0E93"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1249" w:type="dxa"/>
            <w:tcBorders>
              <w:top w:val="nil"/>
              <w:left w:val="nil"/>
              <w:bottom w:val="single" w:sz="4" w:space="0" w:color="auto"/>
              <w:right w:val="single" w:sz="4" w:space="0" w:color="auto"/>
            </w:tcBorders>
            <w:shd w:val="clear" w:color="auto" w:fill="BDD7EE"/>
            <w:vAlign w:val="center"/>
            <w:hideMark/>
          </w:tcPr>
          <w:p w14:paraId="7D4AFB36"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Lähtetase </w:t>
            </w:r>
          </w:p>
        </w:tc>
        <w:tc>
          <w:tcPr>
            <w:tcW w:w="906" w:type="dxa"/>
            <w:tcBorders>
              <w:top w:val="nil"/>
              <w:left w:val="nil"/>
              <w:bottom w:val="single" w:sz="4" w:space="0" w:color="auto"/>
              <w:right w:val="single" w:sz="4" w:space="0" w:color="auto"/>
            </w:tcBorders>
            <w:shd w:val="clear" w:color="auto" w:fill="BDD7EE"/>
            <w:vAlign w:val="center"/>
            <w:hideMark/>
          </w:tcPr>
          <w:p w14:paraId="40943057"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Eesmärk </w:t>
            </w:r>
          </w:p>
        </w:tc>
        <w:tc>
          <w:tcPr>
            <w:tcW w:w="1233" w:type="dxa"/>
            <w:tcBorders>
              <w:top w:val="nil"/>
              <w:left w:val="nil"/>
              <w:bottom w:val="single" w:sz="4" w:space="0" w:color="auto"/>
              <w:right w:val="single" w:sz="4" w:space="0" w:color="auto"/>
            </w:tcBorders>
            <w:shd w:val="clear" w:color="auto" w:fill="BDD7EE"/>
            <w:vAlign w:val="center"/>
            <w:hideMark/>
          </w:tcPr>
          <w:p w14:paraId="100F5ED6"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852" w:type="dxa"/>
            <w:tcBorders>
              <w:top w:val="nil"/>
              <w:left w:val="nil"/>
              <w:bottom w:val="single" w:sz="4" w:space="0" w:color="auto"/>
              <w:right w:val="single" w:sz="4" w:space="0" w:color="auto"/>
            </w:tcBorders>
            <w:shd w:val="clear" w:color="auto" w:fill="BDD7EE"/>
            <w:vAlign w:val="center"/>
            <w:hideMark/>
          </w:tcPr>
          <w:p w14:paraId="38B5FA6E"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3161" w:type="dxa"/>
            <w:vMerge/>
            <w:tcBorders>
              <w:top w:val="single" w:sz="4" w:space="0" w:color="auto"/>
              <w:bottom w:val="single" w:sz="4" w:space="0" w:color="auto"/>
              <w:right w:val="single" w:sz="4" w:space="0" w:color="auto"/>
            </w:tcBorders>
            <w:vAlign w:val="center"/>
            <w:hideMark/>
          </w:tcPr>
          <w:p w14:paraId="38551AC3"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31D253DB" w14:textId="77777777" w:rsidTr="005D5392">
        <w:trPr>
          <w:trHeight w:val="2161"/>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E2A2CD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260</w:t>
            </w:r>
          </w:p>
        </w:tc>
        <w:tc>
          <w:tcPr>
            <w:tcW w:w="1581" w:type="dxa"/>
            <w:tcBorders>
              <w:top w:val="single" w:sz="4" w:space="0" w:color="auto"/>
              <w:left w:val="nil"/>
              <w:bottom w:val="single" w:sz="4" w:space="0" w:color="auto"/>
              <w:right w:val="single" w:sz="4" w:space="0" w:color="auto"/>
            </w:tcBorders>
            <w:shd w:val="clear" w:color="auto" w:fill="C6EFCE"/>
            <w:noWrap/>
          </w:tcPr>
          <w:p w14:paraId="2307A75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16630_Kreeta põhjakiirtee (Β. Ο. Α. Κ. )</w:t>
            </w:r>
          </w:p>
        </w:tc>
        <w:tc>
          <w:tcPr>
            <w:tcW w:w="965" w:type="dxa"/>
            <w:tcBorders>
              <w:top w:val="single" w:sz="4" w:space="0" w:color="auto"/>
              <w:left w:val="nil"/>
              <w:bottom w:val="single" w:sz="4" w:space="0" w:color="auto"/>
              <w:right w:val="single" w:sz="4" w:space="0" w:color="auto"/>
            </w:tcBorders>
            <w:shd w:val="clear" w:color="auto" w:fill="C6EFCE"/>
            <w:noWrap/>
          </w:tcPr>
          <w:p w14:paraId="77AAE5D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206" w:type="dxa"/>
            <w:tcBorders>
              <w:top w:val="single" w:sz="4" w:space="0" w:color="auto"/>
              <w:left w:val="nil"/>
              <w:bottom w:val="single" w:sz="4" w:space="0" w:color="auto"/>
              <w:right w:val="single" w:sz="4" w:space="0" w:color="auto"/>
            </w:tcBorders>
            <w:shd w:val="clear" w:color="auto" w:fill="C6EFCE"/>
            <w:noWrap/>
          </w:tcPr>
          <w:p w14:paraId="7240E01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Teade lepingute sõlmimise kohta seoses BOAKi kolme allprojektiga</w:t>
            </w:r>
          </w:p>
        </w:tc>
        <w:tc>
          <w:tcPr>
            <w:tcW w:w="2298" w:type="dxa"/>
            <w:tcBorders>
              <w:top w:val="single" w:sz="4" w:space="0" w:color="auto"/>
              <w:left w:val="nil"/>
              <w:bottom w:val="single" w:sz="4" w:space="0" w:color="auto"/>
              <w:right w:val="single" w:sz="4" w:space="0" w:color="auto"/>
            </w:tcBorders>
            <w:shd w:val="clear" w:color="auto" w:fill="C6EFCE"/>
            <w:noWrap/>
          </w:tcPr>
          <w:p w14:paraId="3DE0E06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Lepingute sõlmimisest teatamine</w:t>
            </w:r>
          </w:p>
        </w:tc>
        <w:tc>
          <w:tcPr>
            <w:tcW w:w="1858" w:type="dxa"/>
            <w:tcBorders>
              <w:top w:val="single" w:sz="4" w:space="0" w:color="auto"/>
              <w:left w:val="nil"/>
              <w:bottom w:val="single" w:sz="4" w:space="0" w:color="auto"/>
              <w:right w:val="single" w:sz="4" w:space="0" w:color="auto"/>
            </w:tcBorders>
            <w:shd w:val="clear" w:color="auto" w:fill="C6EFCE"/>
            <w:noWrap/>
          </w:tcPr>
          <w:p w14:paraId="770D2BAD"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249" w:type="dxa"/>
            <w:tcBorders>
              <w:top w:val="nil"/>
              <w:left w:val="nil"/>
              <w:bottom w:val="single" w:sz="4" w:space="0" w:color="auto"/>
              <w:right w:val="single" w:sz="4" w:space="0" w:color="auto"/>
            </w:tcBorders>
            <w:shd w:val="clear" w:color="auto" w:fill="C6EFCE"/>
            <w:noWrap/>
          </w:tcPr>
          <w:p w14:paraId="4F517366"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02C4EB19"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233" w:type="dxa"/>
            <w:tcBorders>
              <w:top w:val="nil"/>
              <w:left w:val="nil"/>
              <w:bottom w:val="single" w:sz="4" w:space="0" w:color="auto"/>
              <w:right w:val="single" w:sz="4" w:space="0" w:color="auto"/>
            </w:tcBorders>
            <w:shd w:val="clear" w:color="auto" w:fill="C6EFCE"/>
            <w:noWrap/>
          </w:tcPr>
          <w:p w14:paraId="577BC5C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852" w:type="dxa"/>
            <w:tcBorders>
              <w:top w:val="nil"/>
              <w:left w:val="nil"/>
              <w:bottom w:val="single" w:sz="4" w:space="0" w:color="auto"/>
              <w:right w:val="single" w:sz="4" w:space="0" w:color="auto"/>
            </w:tcBorders>
            <w:shd w:val="clear" w:color="auto" w:fill="C6EFCE"/>
            <w:noWrap/>
          </w:tcPr>
          <w:p w14:paraId="425FE0E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2023</w:t>
            </w:r>
          </w:p>
        </w:tc>
        <w:tc>
          <w:tcPr>
            <w:tcW w:w="3161" w:type="dxa"/>
            <w:tcBorders>
              <w:top w:val="single" w:sz="4" w:space="0" w:color="auto"/>
              <w:left w:val="nil"/>
              <w:bottom w:val="single" w:sz="4" w:space="0" w:color="auto"/>
              <w:right w:val="single" w:sz="4" w:space="0" w:color="auto"/>
            </w:tcBorders>
            <w:shd w:val="clear" w:color="auto" w:fill="C6EFCE"/>
            <w:noWrap/>
          </w:tcPr>
          <w:p w14:paraId="7344CF5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Teade a) kontsessioonilepingu sõlmimise kohta; b) avaliku ja erasektori partnerlus; ning c) riiklikud ehitustööd.</w:t>
            </w:r>
          </w:p>
        </w:tc>
      </w:tr>
      <w:tr w:rsidR="00356CBA" w:rsidRPr="003B132A" w14:paraId="52197C65" w14:textId="77777777" w:rsidTr="005D5392">
        <w:trPr>
          <w:trHeight w:val="313"/>
          <w:jc w:val="center"/>
        </w:trPr>
        <w:tc>
          <w:tcPr>
            <w:tcW w:w="1129" w:type="dxa"/>
            <w:tcBorders>
              <w:top w:val="nil"/>
              <w:left w:val="single" w:sz="4" w:space="0" w:color="auto"/>
              <w:bottom w:val="single" w:sz="4" w:space="0" w:color="auto"/>
              <w:right w:val="single" w:sz="4" w:space="0" w:color="auto"/>
            </w:tcBorders>
            <w:shd w:val="clear" w:color="auto" w:fill="C6EFCE"/>
            <w:noWrap/>
          </w:tcPr>
          <w:p w14:paraId="6CE7D51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261</w:t>
            </w:r>
          </w:p>
        </w:tc>
        <w:tc>
          <w:tcPr>
            <w:tcW w:w="1581" w:type="dxa"/>
            <w:tcBorders>
              <w:top w:val="nil"/>
              <w:left w:val="nil"/>
              <w:bottom w:val="single" w:sz="4" w:space="0" w:color="auto"/>
              <w:right w:val="single" w:sz="4" w:space="0" w:color="auto"/>
            </w:tcBorders>
            <w:shd w:val="clear" w:color="auto" w:fill="C6EFCE"/>
            <w:noWrap/>
          </w:tcPr>
          <w:p w14:paraId="14E6E01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16630_Kreeta põhjakiirtee (Β. Ο. Α. Κ. )</w:t>
            </w:r>
          </w:p>
        </w:tc>
        <w:tc>
          <w:tcPr>
            <w:tcW w:w="965" w:type="dxa"/>
            <w:tcBorders>
              <w:top w:val="nil"/>
              <w:left w:val="nil"/>
              <w:bottom w:val="single" w:sz="4" w:space="0" w:color="auto"/>
              <w:right w:val="single" w:sz="4" w:space="0" w:color="auto"/>
            </w:tcBorders>
            <w:shd w:val="clear" w:color="auto" w:fill="C6EFCE"/>
            <w:noWrap/>
          </w:tcPr>
          <w:p w14:paraId="782EF12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Siht</w:t>
            </w:r>
          </w:p>
        </w:tc>
        <w:tc>
          <w:tcPr>
            <w:tcW w:w="1206" w:type="dxa"/>
            <w:tcBorders>
              <w:top w:val="nil"/>
              <w:left w:val="nil"/>
              <w:bottom w:val="single" w:sz="4" w:space="0" w:color="auto"/>
              <w:right w:val="single" w:sz="4" w:space="0" w:color="auto"/>
            </w:tcBorders>
            <w:shd w:val="clear" w:color="auto" w:fill="C6EFCE"/>
            <w:noWrap/>
          </w:tcPr>
          <w:p w14:paraId="3BE70EA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BOAKi ehitustööde edenemine</w:t>
            </w:r>
          </w:p>
        </w:tc>
        <w:tc>
          <w:tcPr>
            <w:tcW w:w="2298" w:type="dxa"/>
            <w:tcBorders>
              <w:top w:val="nil"/>
              <w:left w:val="nil"/>
              <w:bottom w:val="single" w:sz="4" w:space="0" w:color="auto"/>
              <w:right w:val="single" w:sz="4" w:space="0" w:color="auto"/>
            </w:tcBorders>
            <w:shd w:val="clear" w:color="auto" w:fill="C6EFCE"/>
            <w:noWrap/>
          </w:tcPr>
          <w:p w14:paraId="2A293B3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858" w:type="dxa"/>
            <w:tcBorders>
              <w:top w:val="nil"/>
              <w:left w:val="nil"/>
              <w:bottom w:val="single" w:sz="4" w:space="0" w:color="auto"/>
              <w:right w:val="single" w:sz="4" w:space="0" w:color="auto"/>
            </w:tcBorders>
            <w:shd w:val="clear" w:color="auto" w:fill="C6EFCE"/>
            <w:noWrap/>
          </w:tcPr>
          <w:p w14:paraId="0AD06E3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Lõpuleviidud, sõltumatu inseneri aruandega heaks kiidetud ja taristuministeeriumi poolt heaks kiidetud taaste- ja vastupidavusrahastust rahastatud tööde väärtuse protsent</w:t>
            </w:r>
          </w:p>
        </w:tc>
        <w:tc>
          <w:tcPr>
            <w:tcW w:w="1249" w:type="dxa"/>
            <w:tcBorders>
              <w:top w:val="nil"/>
              <w:left w:val="nil"/>
              <w:bottom w:val="single" w:sz="4" w:space="0" w:color="auto"/>
              <w:right w:val="single" w:sz="4" w:space="0" w:color="auto"/>
            </w:tcBorders>
            <w:shd w:val="clear" w:color="auto" w:fill="C6EFCE"/>
            <w:noWrap/>
          </w:tcPr>
          <w:p w14:paraId="7920FC4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0</w:t>
            </w:r>
          </w:p>
        </w:tc>
        <w:tc>
          <w:tcPr>
            <w:tcW w:w="906" w:type="dxa"/>
            <w:tcBorders>
              <w:top w:val="nil"/>
              <w:left w:val="nil"/>
              <w:bottom w:val="single" w:sz="4" w:space="0" w:color="auto"/>
              <w:right w:val="single" w:sz="4" w:space="0" w:color="auto"/>
            </w:tcBorders>
            <w:shd w:val="clear" w:color="auto" w:fill="C6EFCE"/>
            <w:noWrap/>
          </w:tcPr>
          <w:p w14:paraId="017B613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60</w:t>
            </w:r>
          </w:p>
        </w:tc>
        <w:tc>
          <w:tcPr>
            <w:tcW w:w="1233" w:type="dxa"/>
            <w:tcBorders>
              <w:top w:val="nil"/>
              <w:left w:val="nil"/>
              <w:bottom w:val="single" w:sz="4" w:space="0" w:color="auto"/>
              <w:right w:val="single" w:sz="4" w:space="0" w:color="auto"/>
            </w:tcBorders>
            <w:shd w:val="clear" w:color="auto" w:fill="C6EFCE"/>
            <w:noWrap/>
          </w:tcPr>
          <w:p w14:paraId="754DA65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852" w:type="dxa"/>
            <w:tcBorders>
              <w:top w:val="nil"/>
              <w:left w:val="nil"/>
              <w:bottom w:val="single" w:sz="4" w:space="0" w:color="auto"/>
              <w:right w:val="single" w:sz="4" w:space="0" w:color="auto"/>
            </w:tcBorders>
            <w:shd w:val="clear" w:color="auto" w:fill="C6EFCE"/>
            <w:noWrap/>
          </w:tcPr>
          <w:p w14:paraId="3EF3414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3161" w:type="dxa"/>
            <w:tcBorders>
              <w:top w:val="nil"/>
              <w:left w:val="nil"/>
              <w:bottom w:val="single" w:sz="4" w:space="0" w:color="auto"/>
              <w:right w:val="single" w:sz="4" w:space="0" w:color="auto"/>
            </w:tcBorders>
            <w:shd w:val="clear" w:color="auto" w:fill="C6EFCE"/>
            <w:noWrap/>
          </w:tcPr>
          <w:p w14:paraId="151B445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60 % taaste- ja vastupidavusrahastust rahastatud Kreeta põhjatelje tee ehitustööde väärtusest, mille on lõpule viinud ja heaks kiitnud sõltumatu insener teise allprojekti jaoks: (Hersonissos-Neapolis) ja allprojekt nr 3: (Neapolis-Agios Nikolaos).</w:t>
            </w:r>
          </w:p>
        </w:tc>
      </w:tr>
      <w:tr w:rsidR="00356CBA" w:rsidRPr="003B132A" w14:paraId="44F500C6" w14:textId="77777777" w:rsidTr="005D5392">
        <w:trPr>
          <w:trHeight w:val="313"/>
          <w:jc w:val="center"/>
        </w:trPr>
        <w:tc>
          <w:tcPr>
            <w:tcW w:w="1129" w:type="dxa"/>
            <w:tcBorders>
              <w:top w:val="nil"/>
              <w:left w:val="single" w:sz="4" w:space="0" w:color="auto"/>
              <w:bottom w:val="single" w:sz="4" w:space="0" w:color="auto"/>
              <w:right w:val="single" w:sz="4" w:space="0" w:color="auto"/>
            </w:tcBorders>
            <w:shd w:val="clear" w:color="auto" w:fill="C6EFCE"/>
            <w:noWrap/>
            <w:hideMark/>
          </w:tcPr>
          <w:p w14:paraId="36C610C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262</w:t>
            </w:r>
          </w:p>
        </w:tc>
        <w:tc>
          <w:tcPr>
            <w:tcW w:w="1581" w:type="dxa"/>
            <w:tcBorders>
              <w:top w:val="nil"/>
              <w:left w:val="nil"/>
              <w:bottom w:val="single" w:sz="4" w:space="0" w:color="auto"/>
              <w:right w:val="single" w:sz="4" w:space="0" w:color="auto"/>
            </w:tcBorders>
            <w:shd w:val="clear" w:color="auto" w:fill="C6EFCE"/>
            <w:noWrap/>
            <w:hideMark/>
          </w:tcPr>
          <w:p w14:paraId="677E4CD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16630_Kreeta põhjakiirtee (Β. Ο. Α. Κ. )</w:t>
            </w:r>
          </w:p>
        </w:tc>
        <w:tc>
          <w:tcPr>
            <w:tcW w:w="965" w:type="dxa"/>
            <w:tcBorders>
              <w:top w:val="nil"/>
              <w:left w:val="nil"/>
              <w:bottom w:val="single" w:sz="4" w:space="0" w:color="auto"/>
              <w:right w:val="single" w:sz="4" w:space="0" w:color="auto"/>
            </w:tcBorders>
            <w:shd w:val="clear" w:color="auto" w:fill="C6EFCE"/>
            <w:noWrap/>
            <w:hideMark/>
          </w:tcPr>
          <w:p w14:paraId="735727A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206" w:type="dxa"/>
            <w:tcBorders>
              <w:top w:val="nil"/>
              <w:left w:val="nil"/>
              <w:bottom w:val="single" w:sz="4" w:space="0" w:color="auto"/>
              <w:right w:val="single" w:sz="4" w:space="0" w:color="auto"/>
            </w:tcBorders>
            <w:shd w:val="clear" w:color="auto" w:fill="C6EFCE"/>
            <w:noWrap/>
            <w:hideMark/>
          </w:tcPr>
          <w:p w14:paraId="71981C8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Projekti BOAK lõpuleviimine</w:t>
            </w:r>
          </w:p>
        </w:tc>
        <w:tc>
          <w:tcPr>
            <w:tcW w:w="2298" w:type="dxa"/>
            <w:tcBorders>
              <w:top w:val="nil"/>
              <w:left w:val="nil"/>
              <w:bottom w:val="single" w:sz="4" w:space="0" w:color="auto"/>
              <w:right w:val="single" w:sz="4" w:space="0" w:color="auto"/>
            </w:tcBorders>
            <w:shd w:val="clear" w:color="auto" w:fill="C6EFCE"/>
            <w:noWrap/>
            <w:hideMark/>
          </w:tcPr>
          <w:p w14:paraId="738C887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100 % taaste- ja vastupidavusrahastust rahastatud tööde maksumuse lõpuleviimine, mille on sertifitseerinud sõltumatu insener. TIR-tunnistuse kiidab heaks infrastruktuuriministeerium.</w:t>
            </w:r>
          </w:p>
        </w:tc>
        <w:tc>
          <w:tcPr>
            <w:tcW w:w="1858" w:type="dxa"/>
            <w:tcBorders>
              <w:top w:val="nil"/>
              <w:left w:val="nil"/>
              <w:bottom w:val="single" w:sz="4" w:space="0" w:color="auto"/>
              <w:right w:val="single" w:sz="4" w:space="0" w:color="auto"/>
            </w:tcBorders>
            <w:shd w:val="clear" w:color="auto" w:fill="C6EFCE"/>
            <w:noWrap/>
            <w:hideMark/>
          </w:tcPr>
          <w:p w14:paraId="715C3A6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249" w:type="dxa"/>
            <w:tcBorders>
              <w:top w:val="nil"/>
              <w:left w:val="nil"/>
              <w:bottom w:val="single" w:sz="4" w:space="0" w:color="auto"/>
              <w:right w:val="single" w:sz="4" w:space="0" w:color="auto"/>
            </w:tcBorders>
            <w:shd w:val="clear" w:color="auto" w:fill="C6EFCE"/>
            <w:noWrap/>
            <w:hideMark/>
          </w:tcPr>
          <w:p w14:paraId="7A3AA23E"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hideMark/>
          </w:tcPr>
          <w:p w14:paraId="366F1059"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233" w:type="dxa"/>
            <w:tcBorders>
              <w:top w:val="nil"/>
              <w:left w:val="nil"/>
              <w:bottom w:val="single" w:sz="4" w:space="0" w:color="auto"/>
              <w:right w:val="single" w:sz="4" w:space="0" w:color="auto"/>
            </w:tcBorders>
            <w:shd w:val="clear" w:color="auto" w:fill="C6EFCE"/>
            <w:noWrap/>
            <w:hideMark/>
          </w:tcPr>
          <w:p w14:paraId="5DD2E87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2" w:type="dxa"/>
            <w:tcBorders>
              <w:top w:val="nil"/>
              <w:left w:val="nil"/>
              <w:bottom w:val="single" w:sz="4" w:space="0" w:color="auto"/>
              <w:right w:val="single" w:sz="4" w:space="0" w:color="auto"/>
            </w:tcBorders>
            <w:shd w:val="clear" w:color="auto" w:fill="C6EFCE"/>
            <w:noWrap/>
            <w:hideMark/>
          </w:tcPr>
          <w:p w14:paraId="7F2E128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3161" w:type="dxa"/>
            <w:tcBorders>
              <w:top w:val="nil"/>
              <w:left w:val="nil"/>
              <w:bottom w:val="single" w:sz="4" w:space="0" w:color="auto"/>
              <w:right w:val="single" w:sz="4" w:space="0" w:color="auto"/>
            </w:tcBorders>
            <w:shd w:val="clear" w:color="auto" w:fill="C6EFCE"/>
            <w:noWrap/>
            <w:hideMark/>
          </w:tcPr>
          <w:p w14:paraId="258975F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Allprojekt nr 3: (Neapolis-Agios Nikolaos) lõpule viidud ja töös. Allprojekt nr 2: (Hersonisos – Neapolis) kaevetööde A- ja B-etapi lõpuleviimine ning maanteetunnelite T2 ja T3 ajutine toetamine ning maanteetunneli T4 tsiviilehitustööde lõpuleviimine. Esimese allprojekti (Chania-Heraklion) puhul peavad olema lõpule viidud järgmised tööd, mis vastavad 15 %-le projekti maksumusest:</w:t>
            </w:r>
          </w:p>
          <w:p w14:paraId="257F9C76" w14:textId="77777777" w:rsidR="00356CBA" w:rsidRPr="00AD4052" w:rsidRDefault="00356CBA">
            <w:pPr>
              <w:spacing w:after="0" w:line="240" w:lineRule="auto"/>
              <w:rPr>
                <w:rFonts w:eastAsia="Times New Roman" w:cs="Calibri"/>
                <w:noProof/>
                <w:color w:val="006100"/>
                <w:sz w:val="18"/>
                <w:szCs w:val="18"/>
                <w:lang w:eastAsia="en-GB"/>
              </w:rPr>
            </w:pPr>
          </w:p>
          <w:p w14:paraId="2BA22DE4" w14:textId="77777777" w:rsidR="00356CBA" w:rsidRPr="00E02B5D" w:rsidRDefault="00356CBA">
            <w:pPr>
              <w:spacing w:before="120" w:after="0" w:line="240" w:lineRule="auto"/>
              <w:jc w:val="both"/>
              <w:rPr>
                <w:rFonts w:eastAsia="Times New Roman" w:cs="Calibri"/>
                <w:noProof/>
                <w:color w:val="006100"/>
                <w:sz w:val="18"/>
                <w:szCs w:val="18"/>
              </w:rPr>
            </w:pPr>
            <w:r>
              <w:rPr>
                <w:noProof/>
                <w:color w:val="006100"/>
                <w:sz w:val="18"/>
              </w:rPr>
              <w:t>1. Tsiviilehitustööde lõpuleviimine olemasolevate ümbersõitude jaoks Chanias, Irákleios ja Rethymnonis.</w:t>
            </w:r>
          </w:p>
          <w:p w14:paraId="07C7413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Ehitusinseneride töö lõpetamine 21,9 km pikkuses osas Vrises-Atsipopoulo, mis koosneb kahest vahetusest.</w:t>
            </w:r>
          </w:p>
          <w:p w14:paraId="021CEBF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Sildade kogupikkus: 2036m</w:t>
            </w:r>
          </w:p>
          <w:p w14:paraId="2A9428A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Maa-aluste tööde (kaevandamistööd, vundamendid, kuivendamine, truubid, pinnasetööd ja abitööd) kogupikkus: 10 215 m</w:t>
            </w:r>
          </w:p>
          <w:p w14:paraId="10E99AE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12,4 km pikkuse Amari-Skaleta osa (mis koosneb ühest vahetusest) tsiviilehitustööde lõpuleviimine</w:t>
            </w:r>
          </w:p>
          <w:p w14:paraId="6CE7FB1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Sildade kogupikkus: 710 m.</w:t>
            </w:r>
          </w:p>
          <w:p w14:paraId="1A98682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Maa-aluste tööde (kaevandamistööd, vundamendid, kuivendamine, truubid, pinnasetööd ja abitööd) kogupikkus: 4230m</w:t>
            </w:r>
          </w:p>
          <w:p w14:paraId="63E0DFC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Valmimist tõendavad sõltumatu insener ja infrastruktuuriministeerium. </w:t>
            </w:r>
          </w:p>
        </w:tc>
      </w:tr>
    </w:tbl>
    <w:p w14:paraId="651805F7" w14:textId="77777777" w:rsidR="00356CBA" w:rsidRPr="00E02B5D" w:rsidRDefault="00356CBA" w:rsidP="00645BC7">
      <w:pPr>
        <w:spacing w:before="120" w:after="0" w:line="240" w:lineRule="auto"/>
        <w:jc w:val="both"/>
        <w:rPr>
          <w:rFonts w:ascii="Times New Roman" w:hAnsi="Times New Roman" w:cs="Times New Roman"/>
          <w:noProof/>
          <w:sz w:val="24"/>
          <w:lang w:val="en-GB"/>
        </w:rPr>
        <w:sectPr w:rsidR="00356CBA" w:rsidRPr="00E02B5D" w:rsidSect="00271D33">
          <w:headerReference w:type="even" r:id="rId338"/>
          <w:headerReference w:type="default" r:id="rId339"/>
          <w:footerReference w:type="even" r:id="rId340"/>
          <w:footerReference w:type="default" r:id="rId341"/>
          <w:headerReference w:type="first" r:id="rId342"/>
          <w:footerReference w:type="first" r:id="rId343"/>
          <w:pgSz w:w="16839" w:h="11907" w:orient="landscape"/>
          <w:pgMar w:top="720" w:right="720" w:bottom="720" w:left="720" w:header="709" w:footer="75" w:gutter="0"/>
          <w:cols w:space="720"/>
          <w:docGrid w:linePitch="360"/>
        </w:sectPr>
      </w:pPr>
    </w:p>
    <w:p w14:paraId="65A9B05E"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24: Taristu</w:t>
      </w:r>
    </w:p>
    <w:p w14:paraId="39DFE59C" w14:textId="77777777" w:rsidR="00356CBA" w:rsidRPr="00E02B5D" w:rsidRDefault="00356CBA" w:rsidP="00645BC7">
      <w:pPr>
        <w:spacing w:before="120" w:after="0" w:line="240" w:lineRule="auto"/>
        <w:jc w:val="both"/>
        <w:rPr>
          <w:rFonts w:ascii="Times New Roman" w:hAnsi="Times New Roman" w:cs="Times New Roman"/>
          <w:noProof/>
          <w:sz w:val="24"/>
          <w:lang w:val="en-GB"/>
        </w:rPr>
      </w:pPr>
    </w:p>
    <w:p w14:paraId="5D7854E2" w14:textId="77777777" w:rsidR="00356CBA" w:rsidRPr="00E02B5D" w:rsidRDefault="00356CBA" w:rsidP="00645BC7">
      <w:pPr>
        <w:spacing w:after="0" w:line="240" w:lineRule="auto"/>
        <w:rPr>
          <w:rFonts w:ascii="Times New Roman" w:hAnsi="Times New Roman" w:cs="Times New Roman"/>
          <w:b/>
          <w:noProof/>
          <w:sz w:val="28"/>
          <w:szCs w:val="28"/>
        </w:rPr>
      </w:pPr>
      <w:r>
        <w:rPr>
          <w:rFonts w:ascii="Times New Roman" w:hAnsi="Times New Roman"/>
          <w:b/>
          <w:noProof/>
        </w:rPr>
        <w:t>Alarühm 1 (digiüleminek)</w:t>
      </w:r>
    </w:p>
    <w:p w14:paraId="6C5D3951" w14:textId="77777777" w:rsidR="00356CBA" w:rsidRPr="00E02B5D" w:rsidRDefault="00356CBA" w:rsidP="00DE1EE5">
      <w:pPr>
        <w:numPr>
          <w:ilvl w:val="0"/>
          <w:numId w:val="32"/>
        </w:numPr>
        <w:spacing w:before="120" w:after="0" w:line="240" w:lineRule="auto"/>
        <w:jc w:val="both"/>
        <w:rPr>
          <w:rFonts w:ascii="Times New Roman" w:hAnsi="Times New Roman" w:cs="Times New Roman"/>
          <w:noProof/>
        </w:rPr>
      </w:pPr>
      <w:r>
        <w:rPr>
          <w:rFonts w:ascii="Times New Roman" w:hAnsi="Times New Roman"/>
          <w:noProof/>
        </w:rPr>
        <w:t>Keskkonna- ja kultuurikeskne arukas taristu (ID: 16960)</w:t>
      </w:r>
    </w:p>
    <w:p w14:paraId="4F6CC2C0" w14:textId="77777777" w:rsidR="00356CBA" w:rsidRPr="00E02B5D" w:rsidRDefault="00356CBA" w:rsidP="00DE1EE5">
      <w:pPr>
        <w:numPr>
          <w:ilvl w:val="0"/>
          <w:numId w:val="32"/>
        </w:numPr>
        <w:spacing w:before="120" w:after="0" w:line="240" w:lineRule="auto"/>
        <w:jc w:val="both"/>
        <w:rPr>
          <w:rFonts w:ascii="Times New Roman" w:hAnsi="Times New Roman" w:cs="Times New Roman"/>
          <w:noProof/>
        </w:rPr>
      </w:pPr>
      <w:r>
        <w:rPr>
          <w:rFonts w:ascii="Times New Roman" w:hAnsi="Times New Roman"/>
          <w:noProof/>
        </w:rPr>
        <w:t>Arukad sillad (ID: 16949)</w:t>
      </w:r>
    </w:p>
    <w:p w14:paraId="1A781000" w14:textId="77777777" w:rsidR="00356CBA" w:rsidRPr="00E02B5D" w:rsidRDefault="00356CBA" w:rsidP="00DE1EE5">
      <w:pPr>
        <w:numPr>
          <w:ilvl w:val="0"/>
          <w:numId w:val="32"/>
        </w:numPr>
        <w:spacing w:before="120" w:after="0" w:line="240" w:lineRule="auto"/>
        <w:ind w:left="714" w:hanging="357"/>
        <w:jc w:val="both"/>
        <w:rPr>
          <w:rFonts w:ascii="Times New Roman" w:hAnsi="Times New Roman" w:cs="Times New Roman"/>
          <w:noProof/>
        </w:rPr>
      </w:pPr>
      <w:r>
        <w:rPr>
          <w:rFonts w:ascii="Times New Roman" w:hAnsi="Times New Roman"/>
          <w:noProof/>
        </w:rPr>
        <w:t>Infrastruktuuri- ja transpordiministeeriumi menetluste lihtsustamine (ID: 16786)</w:t>
      </w:r>
    </w:p>
    <w:p w14:paraId="0B0A9816" w14:textId="77777777" w:rsidR="00356CBA" w:rsidRPr="00E02B5D" w:rsidRDefault="00356CBA" w:rsidP="00DE1EE5">
      <w:pPr>
        <w:numPr>
          <w:ilvl w:val="0"/>
          <w:numId w:val="32"/>
        </w:numPr>
        <w:spacing w:before="120" w:after="120" w:line="240" w:lineRule="auto"/>
        <w:jc w:val="both"/>
        <w:rPr>
          <w:rFonts w:ascii="Times New Roman" w:hAnsi="Times New Roman" w:cs="Times New Roman"/>
          <w:noProof/>
        </w:rPr>
      </w:pPr>
      <w:r>
        <w:rPr>
          <w:rFonts w:ascii="Times New Roman" w:hAnsi="Times New Roman"/>
          <w:noProof/>
        </w:rPr>
        <w:t>Digitaalintegreeritud programmihaldussüsteem infrastruktuuri- ja transpordiministeeriumi tehniliste tööde ja struktuurivahendite haldamiseks (ID: 16937)</w:t>
      </w:r>
    </w:p>
    <w:p w14:paraId="30792D6E" w14:textId="77777777" w:rsidR="00356CBA" w:rsidRPr="00E02B5D" w:rsidRDefault="00356CBA" w:rsidP="00645BC7">
      <w:pPr>
        <w:spacing w:after="0" w:line="240" w:lineRule="auto"/>
        <w:rPr>
          <w:rFonts w:ascii="Times New Roman" w:hAnsi="Times New Roman" w:cs="Times New Roman"/>
          <w:b/>
          <w:noProof/>
          <w:sz w:val="28"/>
          <w:szCs w:val="28"/>
        </w:rPr>
      </w:pPr>
      <w:r>
        <w:rPr>
          <w:rFonts w:ascii="Times New Roman" w:hAnsi="Times New Roman"/>
          <w:b/>
          <w:noProof/>
        </w:rPr>
        <w:t>Alarühm 2 (raudteed ja lennujaamad)</w:t>
      </w:r>
    </w:p>
    <w:p w14:paraId="33D09999" w14:textId="77777777" w:rsidR="00356CBA" w:rsidRPr="00E02B5D" w:rsidRDefault="00356CBA" w:rsidP="00DE1EE5">
      <w:pPr>
        <w:numPr>
          <w:ilvl w:val="0"/>
          <w:numId w:val="33"/>
        </w:numPr>
        <w:spacing w:before="120" w:after="0" w:line="240" w:lineRule="auto"/>
        <w:jc w:val="both"/>
        <w:rPr>
          <w:rFonts w:ascii="Times New Roman" w:hAnsi="Times New Roman" w:cs="Times New Roman"/>
          <w:noProof/>
        </w:rPr>
      </w:pPr>
      <w:r>
        <w:rPr>
          <w:rFonts w:ascii="Times New Roman" w:hAnsi="Times New Roman"/>
          <w:noProof/>
        </w:rPr>
        <w:t>Juurdepääsetavuse taastamine pärast tormi „DANIEL“ laastavat mõju (meetme ID 16999)</w:t>
      </w:r>
    </w:p>
    <w:p w14:paraId="64A144BE" w14:textId="77777777" w:rsidR="00356CBA" w:rsidRPr="00E02B5D" w:rsidRDefault="00356CBA" w:rsidP="00DE1EE5">
      <w:pPr>
        <w:numPr>
          <w:ilvl w:val="0"/>
          <w:numId w:val="33"/>
        </w:numPr>
        <w:spacing w:before="120" w:after="0" w:line="240" w:lineRule="auto"/>
        <w:jc w:val="both"/>
        <w:rPr>
          <w:rFonts w:ascii="Times New Roman" w:hAnsi="Times New Roman" w:cs="Times New Roman"/>
          <w:noProof/>
        </w:rPr>
      </w:pPr>
      <w:r>
        <w:rPr>
          <w:rFonts w:ascii="Times New Roman" w:hAnsi="Times New Roman"/>
          <w:noProof/>
        </w:rPr>
        <w:t>Raudteesektori organisatsiooniline reform (ID: 16982)</w:t>
      </w:r>
    </w:p>
    <w:p w14:paraId="19D715C7" w14:textId="77777777" w:rsidR="00356CBA" w:rsidRPr="00E02B5D" w:rsidRDefault="00356CBA" w:rsidP="00DE1EE5">
      <w:pPr>
        <w:numPr>
          <w:ilvl w:val="0"/>
          <w:numId w:val="33"/>
        </w:numPr>
        <w:spacing w:before="120" w:after="0" w:line="240" w:lineRule="auto"/>
        <w:jc w:val="both"/>
        <w:rPr>
          <w:rFonts w:ascii="Times New Roman" w:hAnsi="Times New Roman" w:cs="Times New Roman"/>
          <w:noProof/>
        </w:rPr>
      </w:pPr>
      <w:r>
        <w:rPr>
          <w:rFonts w:ascii="Times New Roman" w:hAnsi="Times New Roman"/>
          <w:noProof/>
        </w:rPr>
        <w:t>Kreeka Raudteeorganisatsiooni digiüleminek (ID: 16959)</w:t>
      </w:r>
    </w:p>
    <w:p w14:paraId="6B6B2438" w14:textId="77777777" w:rsidR="00356CBA" w:rsidRPr="00E02B5D" w:rsidRDefault="00356CBA" w:rsidP="00DE1EE5">
      <w:pPr>
        <w:numPr>
          <w:ilvl w:val="0"/>
          <w:numId w:val="33"/>
        </w:numPr>
        <w:spacing w:before="120" w:after="0" w:line="240" w:lineRule="auto"/>
        <w:jc w:val="both"/>
        <w:rPr>
          <w:rFonts w:ascii="Times New Roman" w:hAnsi="Times New Roman" w:cs="Times New Roman"/>
          <w:noProof/>
        </w:rPr>
      </w:pPr>
      <w:r>
        <w:rPr>
          <w:rFonts w:ascii="Times New Roman" w:hAnsi="Times New Roman"/>
          <w:noProof/>
        </w:rPr>
        <w:t>Lääne-Atika linnalähiraudtee uuendamine (ID: 16892)</w:t>
      </w:r>
    </w:p>
    <w:p w14:paraId="085969A4" w14:textId="77777777" w:rsidR="00356CBA" w:rsidRPr="00E02B5D" w:rsidRDefault="00356CBA" w:rsidP="00DE1EE5">
      <w:pPr>
        <w:numPr>
          <w:ilvl w:val="0"/>
          <w:numId w:val="33"/>
        </w:numPr>
        <w:spacing w:before="120" w:after="0" w:line="240" w:lineRule="auto"/>
        <w:jc w:val="both"/>
        <w:rPr>
          <w:rFonts w:ascii="Times New Roman" w:hAnsi="Times New Roman" w:cs="Times New Roman"/>
          <w:noProof/>
        </w:rPr>
      </w:pPr>
      <w:r>
        <w:rPr>
          <w:rFonts w:ascii="Times New Roman" w:hAnsi="Times New Roman"/>
          <w:noProof/>
        </w:rPr>
        <w:t>EASA vastavusprogramm (ID: 16833)</w:t>
      </w:r>
    </w:p>
    <w:p w14:paraId="69365E44" w14:textId="77777777" w:rsidR="00356CBA" w:rsidRPr="00E02B5D" w:rsidRDefault="00356CBA" w:rsidP="00645BC7">
      <w:pPr>
        <w:spacing w:before="120" w:after="0" w:line="240" w:lineRule="auto"/>
        <w:jc w:val="both"/>
        <w:rPr>
          <w:rFonts w:ascii="Times New Roman" w:hAnsi="Times New Roman" w:cs="Times New Roman"/>
          <w:noProof/>
          <w:lang w:val="en-GB"/>
        </w:rPr>
      </w:pPr>
    </w:p>
    <w:tbl>
      <w:tblPr>
        <w:tblW w:w="16159" w:type="dxa"/>
        <w:jc w:val="center"/>
        <w:tblLook w:val="04A0" w:firstRow="1" w:lastRow="0" w:firstColumn="1" w:lastColumn="0" w:noHBand="0" w:noVBand="1"/>
      </w:tblPr>
      <w:tblGrid>
        <w:gridCol w:w="1116"/>
        <w:gridCol w:w="2239"/>
        <w:gridCol w:w="1063"/>
        <w:gridCol w:w="2298"/>
        <w:gridCol w:w="2298"/>
        <w:gridCol w:w="977"/>
        <w:gridCol w:w="973"/>
        <w:gridCol w:w="906"/>
        <w:gridCol w:w="992"/>
        <w:gridCol w:w="946"/>
        <w:gridCol w:w="2617"/>
      </w:tblGrid>
      <w:tr w:rsidR="007B4D63" w:rsidRPr="003B132A" w14:paraId="19C7DB0C" w14:textId="77777777" w:rsidTr="005D5392">
        <w:trPr>
          <w:trHeight w:val="659"/>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5CB3E8D" w14:textId="71DCEF71"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Järjekorra</w:t>
            </w:r>
            <w:r w:rsidR="005D5392">
              <w:rPr>
                <w:rFonts w:ascii="Times New Roman" w:hAnsi="Times New Roman"/>
                <w:b/>
                <w:noProof/>
                <w:sz w:val="18"/>
              </w:rPr>
              <w:t>-</w:t>
            </w:r>
            <w:r>
              <w:rPr>
                <w:rFonts w:ascii="Times New Roman" w:hAnsi="Times New Roman"/>
                <w:b/>
                <w:noProof/>
                <w:sz w:val="18"/>
              </w:rPr>
              <w:t>number</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2B9DFC"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Seotud meede (reform või investeering)</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58A291"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 / siht</w:t>
            </w:r>
          </w:p>
        </w:tc>
        <w:tc>
          <w:tcPr>
            <w:tcW w:w="22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615C3D"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Nimi</w:t>
            </w:r>
          </w:p>
        </w:tc>
        <w:tc>
          <w:tcPr>
            <w:tcW w:w="22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1C2F2F"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Kvalitatiivsed näitajad (eesmärkide puhul)</w:t>
            </w:r>
          </w:p>
        </w:tc>
        <w:tc>
          <w:tcPr>
            <w:tcW w:w="2856"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E4AD931"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Kvantitatiivsed näitajad (sihtide puhul)</w:t>
            </w:r>
          </w:p>
        </w:tc>
        <w:tc>
          <w:tcPr>
            <w:tcW w:w="1938" w:type="dxa"/>
            <w:gridSpan w:val="2"/>
            <w:tcBorders>
              <w:top w:val="single" w:sz="4" w:space="0" w:color="auto"/>
              <w:left w:val="nil"/>
              <w:bottom w:val="single" w:sz="4" w:space="0" w:color="auto"/>
              <w:right w:val="single" w:sz="4" w:space="0" w:color="auto"/>
            </w:tcBorders>
            <w:shd w:val="clear" w:color="auto" w:fill="BDD7EE"/>
            <w:vAlign w:val="center"/>
            <w:hideMark/>
          </w:tcPr>
          <w:p w14:paraId="187B211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Lõpuleviimise soovituslik ajakava </w:t>
            </w:r>
          </w:p>
        </w:tc>
        <w:tc>
          <w:tcPr>
            <w:tcW w:w="26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B14599"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Iga eesmärgi ja sihi kirjeldus</w:t>
            </w:r>
          </w:p>
        </w:tc>
      </w:tr>
      <w:tr w:rsidR="007B4D63" w:rsidRPr="00E02B5D" w14:paraId="02B87BC3" w14:textId="77777777" w:rsidTr="005D5392">
        <w:trPr>
          <w:trHeight w:val="701"/>
          <w:tblHeade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32B146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46B9AFD8"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5C9BCCCE"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600CE4C8"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69B1C6B6"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7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4213032"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97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842E692"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Lähtetase </w:t>
            </w:r>
          </w:p>
        </w:tc>
        <w:tc>
          <w:tcPr>
            <w:tcW w:w="90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9946B45"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Eesmärk </w:t>
            </w: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DE4160C"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94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22EBE59"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2617" w:type="dxa"/>
            <w:vMerge/>
            <w:tcBorders>
              <w:top w:val="single" w:sz="4" w:space="0" w:color="auto"/>
              <w:left w:val="single" w:sz="4" w:space="0" w:color="auto"/>
              <w:bottom w:val="single" w:sz="4" w:space="0" w:color="auto"/>
              <w:right w:val="single" w:sz="4" w:space="0" w:color="auto"/>
            </w:tcBorders>
            <w:vAlign w:val="center"/>
            <w:hideMark/>
          </w:tcPr>
          <w:p w14:paraId="46493D10"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0313E29F"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7A709F5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263</w:t>
            </w:r>
          </w:p>
        </w:tc>
        <w:tc>
          <w:tcPr>
            <w:tcW w:w="2239" w:type="dxa"/>
            <w:tcBorders>
              <w:top w:val="single" w:sz="4" w:space="0" w:color="auto"/>
              <w:left w:val="nil"/>
              <w:bottom w:val="single" w:sz="4" w:space="0" w:color="auto"/>
              <w:right w:val="single" w:sz="4" w:space="0" w:color="auto"/>
            </w:tcBorders>
            <w:shd w:val="clear" w:color="auto" w:fill="C6EFCE"/>
            <w:noWrap/>
          </w:tcPr>
          <w:p w14:paraId="4D9E7D1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16982_Raudteesektori organisatsioonireform</w:t>
            </w:r>
          </w:p>
        </w:tc>
        <w:tc>
          <w:tcPr>
            <w:tcW w:w="1063" w:type="dxa"/>
            <w:tcBorders>
              <w:top w:val="single" w:sz="4" w:space="0" w:color="auto"/>
              <w:left w:val="nil"/>
              <w:bottom w:val="single" w:sz="4" w:space="0" w:color="auto"/>
              <w:right w:val="single" w:sz="4" w:space="0" w:color="auto"/>
            </w:tcBorders>
            <w:shd w:val="clear" w:color="auto" w:fill="C6EFCE"/>
            <w:noWrap/>
          </w:tcPr>
          <w:p w14:paraId="5432B9A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3908CF4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Raudteereformi tegevuskava</w:t>
            </w:r>
          </w:p>
        </w:tc>
        <w:tc>
          <w:tcPr>
            <w:tcW w:w="2298" w:type="dxa"/>
            <w:tcBorders>
              <w:top w:val="single" w:sz="4" w:space="0" w:color="auto"/>
              <w:left w:val="nil"/>
              <w:bottom w:val="single" w:sz="4" w:space="0" w:color="auto"/>
              <w:right w:val="single" w:sz="4" w:space="0" w:color="auto"/>
            </w:tcBorders>
            <w:shd w:val="clear" w:color="auto" w:fill="C6EFCE"/>
            <w:noWrap/>
          </w:tcPr>
          <w:p w14:paraId="2205871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Tegevuskava</w:t>
            </w:r>
          </w:p>
        </w:tc>
        <w:tc>
          <w:tcPr>
            <w:tcW w:w="977" w:type="dxa"/>
            <w:tcBorders>
              <w:top w:val="single" w:sz="4" w:space="0" w:color="auto"/>
              <w:left w:val="nil"/>
              <w:bottom w:val="single" w:sz="4" w:space="0" w:color="auto"/>
              <w:right w:val="single" w:sz="4" w:space="0" w:color="auto"/>
            </w:tcBorders>
            <w:shd w:val="clear" w:color="auto" w:fill="C6EFCE"/>
            <w:noWrap/>
          </w:tcPr>
          <w:p w14:paraId="491BD66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4BFCA926"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36F1E31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78A1730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946" w:type="dxa"/>
            <w:tcBorders>
              <w:top w:val="single" w:sz="4" w:space="0" w:color="auto"/>
              <w:left w:val="nil"/>
              <w:bottom w:val="single" w:sz="4" w:space="0" w:color="auto"/>
              <w:right w:val="single" w:sz="4" w:space="0" w:color="auto"/>
            </w:tcBorders>
            <w:shd w:val="clear" w:color="auto" w:fill="C6EFCE"/>
            <w:noWrap/>
          </w:tcPr>
          <w:p w14:paraId="64C6713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2021</w:t>
            </w:r>
          </w:p>
        </w:tc>
        <w:tc>
          <w:tcPr>
            <w:tcW w:w="2617" w:type="dxa"/>
            <w:tcBorders>
              <w:top w:val="single" w:sz="4" w:space="0" w:color="auto"/>
              <w:left w:val="nil"/>
              <w:bottom w:val="single" w:sz="4" w:space="0" w:color="auto"/>
              <w:right w:val="single" w:sz="4" w:space="0" w:color="auto"/>
            </w:tcBorders>
            <w:shd w:val="clear" w:color="auto" w:fill="C6EFCE"/>
            <w:noWrap/>
          </w:tcPr>
          <w:p w14:paraId="2BF2222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Teine alarühm: Tegevuskava koostamine ettevõtete OSE ja ERGOSE täieliku ümberkorraldamise etappide kohta.</w:t>
            </w:r>
          </w:p>
        </w:tc>
      </w:tr>
      <w:tr w:rsidR="007B4D63" w:rsidRPr="003B132A" w14:paraId="70A09876" w14:textId="77777777" w:rsidTr="005D5392">
        <w:trPr>
          <w:trHeight w:val="313"/>
          <w:jc w:val="center"/>
        </w:trPr>
        <w:tc>
          <w:tcPr>
            <w:tcW w:w="850" w:type="dxa"/>
            <w:tcBorders>
              <w:top w:val="nil"/>
              <w:left w:val="single" w:sz="4" w:space="0" w:color="auto"/>
              <w:bottom w:val="single" w:sz="4" w:space="0" w:color="auto"/>
              <w:right w:val="single" w:sz="4" w:space="0" w:color="auto"/>
            </w:tcBorders>
            <w:shd w:val="clear" w:color="auto" w:fill="C6EFCE"/>
            <w:noWrap/>
          </w:tcPr>
          <w:p w14:paraId="2CE99BB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264</w:t>
            </w:r>
          </w:p>
        </w:tc>
        <w:tc>
          <w:tcPr>
            <w:tcW w:w="2239" w:type="dxa"/>
            <w:tcBorders>
              <w:top w:val="nil"/>
              <w:left w:val="nil"/>
              <w:bottom w:val="single" w:sz="4" w:space="0" w:color="auto"/>
              <w:right w:val="single" w:sz="4" w:space="0" w:color="auto"/>
            </w:tcBorders>
            <w:shd w:val="clear" w:color="auto" w:fill="C6EFCE"/>
            <w:noWrap/>
          </w:tcPr>
          <w:p w14:paraId="1906BC6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16982_Raudteesektori organisatsioonireform</w:t>
            </w:r>
          </w:p>
        </w:tc>
        <w:tc>
          <w:tcPr>
            <w:tcW w:w="1063" w:type="dxa"/>
            <w:tcBorders>
              <w:top w:val="nil"/>
              <w:left w:val="nil"/>
              <w:bottom w:val="single" w:sz="4" w:space="0" w:color="auto"/>
              <w:right w:val="single" w:sz="4" w:space="0" w:color="auto"/>
            </w:tcBorders>
            <w:shd w:val="clear" w:color="auto" w:fill="C6EFCE"/>
            <w:noWrap/>
          </w:tcPr>
          <w:p w14:paraId="3276A9D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nil"/>
              <w:left w:val="nil"/>
              <w:bottom w:val="single" w:sz="4" w:space="0" w:color="auto"/>
              <w:right w:val="single" w:sz="4" w:space="0" w:color="auto"/>
            </w:tcBorders>
            <w:shd w:val="clear" w:color="auto" w:fill="C6EFCE"/>
            <w:noWrap/>
          </w:tcPr>
          <w:p w14:paraId="0D5F531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Raudteereformi seadus</w:t>
            </w:r>
          </w:p>
        </w:tc>
        <w:tc>
          <w:tcPr>
            <w:tcW w:w="2298" w:type="dxa"/>
            <w:tcBorders>
              <w:top w:val="nil"/>
              <w:left w:val="nil"/>
              <w:bottom w:val="single" w:sz="4" w:space="0" w:color="auto"/>
              <w:right w:val="single" w:sz="4" w:space="0" w:color="auto"/>
            </w:tcBorders>
            <w:shd w:val="clear" w:color="auto" w:fill="C6EFCE"/>
            <w:noWrap/>
          </w:tcPr>
          <w:p w14:paraId="1D0337A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Esmaste ja teiseste õigusaktide jõustumine </w:t>
            </w:r>
          </w:p>
        </w:tc>
        <w:tc>
          <w:tcPr>
            <w:tcW w:w="977" w:type="dxa"/>
            <w:tcBorders>
              <w:top w:val="nil"/>
              <w:left w:val="nil"/>
              <w:bottom w:val="single" w:sz="4" w:space="0" w:color="auto"/>
              <w:right w:val="single" w:sz="4" w:space="0" w:color="auto"/>
            </w:tcBorders>
            <w:shd w:val="clear" w:color="auto" w:fill="C6EFCE"/>
            <w:noWrap/>
          </w:tcPr>
          <w:p w14:paraId="1F79DDA7"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nil"/>
              <w:left w:val="nil"/>
              <w:bottom w:val="single" w:sz="4" w:space="0" w:color="auto"/>
              <w:right w:val="single" w:sz="4" w:space="0" w:color="auto"/>
            </w:tcBorders>
            <w:shd w:val="clear" w:color="auto" w:fill="C6EFCE"/>
            <w:noWrap/>
          </w:tcPr>
          <w:p w14:paraId="2139120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25767A61"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nil"/>
              <w:left w:val="nil"/>
              <w:bottom w:val="single" w:sz="4" w:space="0" w:color="auto"/>
              <w:right w:val="single" w:sz="4" w:space="0" w:color="auto"/>
            </w:tcBorders>
            <w:shd w:val="clear" w:color="auto" w:fill="C6EFCE"/>
            <w:noWrap/>
          </w:tcPr>
          <w:p w14:paraId="4D41A62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946" w:type="dxa"/>
            <w:tcBorders>
              <w:top w:val="nil"/>
              <w:left w:val="nil"/>
              <w:bottom w:val="single" w:sz="4" w:space="0" w:color="auto"/>
              <w:right w:val="single" w:sz="4" w:space="0" w:color="auto"/>
            </w:tcBorders>
            <w:shd w:val="clear" w:color="auto" w:fill="C6EFCE"/>
            <w:noWrap/>
          </w:tcPr>
          <w:p w14:paraId="6A908BA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2617" w:type="dxa"/>
            <w:tcBorders>
              <w:top w:val="nil"/>
              <w:left w:val="nil"/>
              <w:bottom w:val="single" w:sz="4" w:space="0" w:color="auto"/>
              <w:right w:val="single" w:sz="4" w:space="0" w:color="auto"/>
            </w:tcBorders>
            <w:shd w:val="clear" w:color="auto" w:fill="C6EFCE"/>
            <w:noWrap/>
          </w:tcPr>
          <w:p w14:paraId="464B2D5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Teine alarühm: Raudteesektori organisatsioonireform;</w:t>
            </w:r>
          </w:p>
          <w:p w14:paraId="4D170CA4" w14:textId="77777777" w:rsidR="00356CBA" w:rsidRPr="00AD4052" w:rsidRDefault="00356CBA">
            <w:pPr>
              <w:spacing w:after="0" w:line="240" w:lineRule="auto"/>
              <w:rPr>
                <w:rFonts w:eastAsia="Times New Roman" w:cs="Calibri"/>
                <w:noProof/>
                <w:color w:val="006100"/>
                <w:sz w:val="18"/>
                <w:szCs w:val="18"/>
                <w:lang w:eastAsia="en-GB"/>
              </w:rPr>
            </w:pPr>
          </w:p>
          <w:p w14:paraId="084CC599" w14:textId="77777777" w:rsidR="00356CBA" w:rsidRPr="00AD4052" w:rsidRDefault="00356CBA">
            <w:pPr>
              <w:spacing w:after="0" w:line="240" w:lineRule="auto"/>
              <w:rPr>
                <w:rFonts w:eastAsia="Times New Roman" w:cs="Calibri"/>
                <w:noProof/>
                <w:color w:val="006100"/>
                <w:sz w:val="18"/>
                <w:szCs w:val="18"/>
                <w:lang w:eastAsia="en-GB"/>
              </w:rPr>
            </w:pPr>
          </w:p>
          <w:p w14:paraId="0445462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Nende kahe ettevõtte reformimist käsitlevate esmaste ja teiseste õigusaktide jõustumine, mis võimaldavad neil arendada, käitada ja hooldada kaasaegset raudteevõrgustikku.</w:t>
            </w:r>
          </w:p>
        </w:tc>
      </w:tr>
      <w:tr w:rsidR="007B4D63" w:rsidRPr="003B132A" w14:paraId="1AA76937" w14:textId="77777777" w:rsidTr="005D5392">
        <w:trPr>
          <w:trHeight w:val="313"/>
          <w:jc w:val="center"/>
        </w:trPr>
        <w:tc>
          <w:tcPr>
            <w:tcW w:w="850" w:type="dxa"/>
            <w:tcBorders>
              <w:top w:val="nil"/>
              <w:left w:val="single" w:sz="4" w:space="0" w:color="auto"/>
              <w:bottom w:val="single" w:sz="4" w:space="0" w:color="auto"/>
              <w:right w:val="single" w:sz="4" w:space="0" w:color="auto"/>
            </w:tcBorders>
            <w:shd w:val="clear" w:color="auto" w:fill="C6EFCE"/>
            <w:noWrap/>
          </w:tcPr>
          <w:p w14:paraId="5C05C85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347</w:t>
            </w:r>
          </w:p>
          <w:p w14:paraId="64E3E44F"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15BA8CB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2239" w:type="dxa"/>
            <w:tcBorders>
              <w:top w:val="nil"/>
              <w:left w:val="nil"/>
              <w:bottom w:val="single" w:sz="4" w:space="0" w:color="auto"/>
              <w:right w:val="single" w:sz="4" w:space="0" w:color="auto"/>
            </w:tcBorders>
            <w:shd w:val="clear" w:color="auto" w:fill="C6EFCE"/>
            <w:noWrap/>
          </w:tcPr>
          <w:p w14:paraId="30B4C5B6"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   - 4,6. Peamiste majandussektorite ajakohastamine ja vastupanuvõime parandamine – 16999_Juurdepääsetavuse taastamine pärast tormi „DANIEL“ laastavat mõju  </w:t>
            </w:r>
          </w:p>
          <w:p w14:paraId="2211954F"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1799C866"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063" w:type="dxa"/>
            <w:tcBorders>
              <w:top w:val="nil"/>
              <w:left w:val="nil"/>
              <w:bottom w:val="single" w:sz="4" w:space="0" w:color="auto"/>
              <w:right w:val="single" w:sz="4" w:space="0" w:color="auto"/>
            </w:tcBorders>
            <w:shd w:val="clear" w:color="auto" w:fill="C6EFCE"/>
            <w:noWrap/>
          </w:tcPr>
          <w:p w14:paraId="01A9BC9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nil"/>
              <w:left w:val="nil"/>
              <w:bottom w:val="single" w:sz="4" w:space="0" w:color="auto"/>
              <w:right w:val="single" w:sz="4" w:space="0" w:color="auto"/>
            </w:tcBorders>
            <w:shd w:val="clear" w:color="auto" w:fill="C6EFCE"/>
            <w:noWrap/>
          </w:tcPr>
          <w:p w14:paraId="67B47D9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Allkirjastatud teede taastamise projektide lepingud</w:t>
            </w:r>
          </w:p>
          <w:p w14:paraId="1241EA90"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05D04ED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2298" w:type="dxa"/>
            <w:tcBorders>
              <w:top w:val="nil"/>
              <w:left w:val="nil"/>
              <w:bottom w:val="single" w:sz="4" w:space="0" w:color="auto"/>
              <w:right w:val="single" w:sz="4" w:space="0" w:color="auto"/>
            </w:tcBorders>
            <w:shd w:val="clear" w:color="auto" w:fill="C6EFCE"/>
            <w:noWrap/>
          </w:tcPr>
          <w:p w14:paraId="236C336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Lepingute allakirjutamine</w:t>
            </w:r>
          </w:p>
          <w:p w14:paraId="08FC5527"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535B7A21"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7" w:type="dxa"/>
            <w:tcBorders>
              <w:top w:val="nil"/>
              <w:left w:val="nil"/>
              <w:bottom w:val="single" w:sz="4" w:space="0" w:color="auto"/>
              <w:right w:val="single" w:sz="4" w:space="0" w:color="auto"/>
            </w:tcBorders>
            <w:shd w:val="clear" w:color="auto" w:fill="C6EFCE"/>
            <w:noWrap/>
          </w:tcPr>
          <w:p w14:paraId="7769305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nil"/>
              <w:left w:val="nil"/>
              <w:bottom w:val="single" w:sz="4" w:space="0" w:color="auto"/>
              <w:right w:val="single" w:sz="4" w:space="0" w:color="auto"/>
            </w:tcBorders>
            <w:shd w:val="clear" w:color="auto" w:fill="C6EFCE"/>
            <w:noWrap/>
          </w:tcPr>
          <w:p w14:paraId="19701FB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7D7EA76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nil"/>
              <w:left w:val="nil"/>
              <w:bottom w:val="single" w:sz="4" w:space="0" w:color="auto"/>
              <w:right w:val="single" w:sz="4" w:space="0" w:color="auto"/>
            </w:tcBorders>
            <w:shd w:val="clear" w:color="auto" w:fill="C6EFCE"/>
            <w:noWrap/>
          </w:tcPr>
          <w:p w14:paraId="7EE8B2B1"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kv</w:t>
            </w:r>
          </w:p>
          <w:p w14:paraId="401C2ACF"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13A32071"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46" w:type="dxa"/>
            <w:tcBorders>
              <w:top w:val="nil"/>
              <w:left w:val="nil"/>
              <w:bottom w:val="single" w:sz="4" w:space="0" w:color="auto"/>
              <w:right w:val="single" w:sz="4" w:space="0" w:color="auto"/>
            </w:tcBorders>
            <w:shd w:val="clear" w:color="auto" w:fill="C6EFCE"/>
            <w:noWrap/>
          </w:tcPr>
          <w:p w14:paraId="74204F56"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2024</w:t>
            </w:r>
          </w:p>
          <w:p w14:paraId="1690909A"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43082F4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2617" w:type="dxa"/>
            <w:tcBorders>
              <w:top w:val="nil"/>
              <w:left w:val="nil"/>
              <w:bottom w:val="single" w:sz="4" w:space="0" w:color="auto"/>
              <w:right w:val="single" w:sz="4" w:space="0" w:color="auto"/>
            </w:tcBorders>
            <w:shd w:val="clear" w:color="auto" w:fill="C6EFCE"/>
            <w:noWrap/>
          </w:tcPr>
          <w:p w14:paraId="2C0972C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Kõigi selliste asjade, teenuste (sealhulgas uuringute) ja ehitustööde lepingute allkirjastamine, mis on vajalikud teedevõrgu taastamiseks ja vastupidavuse suurendamiseks tormi „DANIEL“ piirkondades.</w:t>
            </w:r>
          </w:p>
          <w:p w14:paraId="018535E8"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6E71B130" w14:textId="77777777" w:rsidR="00356CBA" w:rsidRPr="00E02B5D" w:rsidRDefault="00356CBA">
            <w:pPr>
              <w:spacing w:after="0" w:line="240" w:lineRule="auto"/>
              <w:rPr>
                <w:rFonts w:eastAsia="Times New Roman" w:cs="Calibri"/>
                <w:noProof/>
                <w:color w:val="006100"/>
                <w:sz w:val="18"/>
                <w:szCs w:val="18"/>
                <w:lang w:val="en-GB" w:eastAsia="en-GB"/>
              </w:rPr>
            </w:pPr>
          </w:p>
        </w:tc>
      </w:tr>
      <w:tr w:rsidR="007B4D63" w:rsidRPr="003B132A" w14:paraId="2B36ECF2"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237C1BD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348</w:t>
            </w:r>
          </w:p>
        </w:tc>
        <w:tc>
          <w:tcPr>
            <w:tcW w:w="2239" w:type="dxa"/>
            <w:tcBorders>
              <w:top w:val="single" w:sz="4" w:space="0" w:color="auto"/>
              <w:left w:val="nil"/>
              <w:bottom w:val="single" w:sz="4" w:space="0" w:color="auto"/>
              <w:right w:val="single" w:sz="4" w:space="0" w:color="auto"/>
            </w:tcBorders>
            <w:shd w:val="clear" w:color="auto" w:fill="C6EFCE"/>
            <w:noWrap/>
          </w:tcPr>
          <w:p w14:paraId="6B454EDD"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   - 4,6. Peamiste majandussektorite ajakohastamine ja vastupanuvõime parandamine – 16999_Juurdepääsetavuse taastamine pärast tormi „DANIEL“ laastavat mõju </w:t>
            </w:r>
          </w:p>
          <w:p w14:paraId="5CEF57DD" w14:textId="77777777" w:rsidR="00356CBA" w:rsidRPr="00AD4052" w:rsidRDefault="00356CBA" w:rsidP="00D16F13">
            <w:pPr>
              <w:spacing w:after="0" w:line="240" w:lineRule="auto"/>
              <w:rPr>
                <w:rFonts w:eastAsia="Times New Roman" w:cs="Calibri"/>
                <w:noProof/>
                <w:color w:val="006100"/>
                <w:sz w:val="18"/>
                <w:szCs w:val="18"/>
                <w:lang w:eastAsia="en-GB"/>
              </w:rPr>
            </w:pPr>
          </w:p>
          <w:p w14:paraId="650AA28F" w14:textId="77777777" w:rsidR="00356CBA" w:rsidRPr="00AD4052" w:rsidRDefault="00356CBA" w:rsidP="00D16F13">
            <w:pPr>
              <w:spacing w:after="0" w:line="240" w:lineRule="auto"/>
              <w:rPr>
                <w:rFonts w:eastAsia="Times New Roman" w:cs="Calibri"/>
                <w:noProof/>
                <w:color w:val="006100"/>
                <w:sz w:val="18"/>
                <w:szCs w:val="18"/>
                <w:lang w:eastAsia="en-GB"/>
              </w:rPr>
            </w:pPr>
          </w:p>
        </w:tc>
        <w:tc>
          <w:tcPr>
            <w:tcW w:w="1063" w:type="dxa"/>
            <w:tcBorders>
              <w:top w:val="single" w:sz="4" w:space="0" w:color="auto"/>
              <w:left w:val="nil"/>
              <w:bottom w:val="single" w:sz="4" w:space="0" w:color="auto"/>
              <w:right w:val="single" w:sz="4" w:space="0" w:color="auto"/>
            </w:tcBorders>
            <w:shd w:val="clear" w:color="auto" w:fill="C6EFCE"/>
            <w:noWrap/>
          </w:tcPr>
          <w:p w14:paraId="640B29A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1B49E67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Raudtee taastamise projektide allkirjastatud lepingud ja hankekava</w:t>
            </w:r>
          </w:p>
          <w:p w14:paraId="7D1BA4FE" w14:textId="77777777" w:rsidR="00356CBA" w:rsidRPr="00AD4052" w:rsidRDefault="00356CBA" w:rsidP="00D16F13">
            <w:pPr>
              <w:spacing w:after="0" w:line="240" w:lineRule="auto"/>
              <w:rPr>
                <w:rFonts w:eastAsia="Times New Roman" w:cs="Calibri"/>
                <w:noProof/>
                <w:color w:val="006100"/>
                <w:sz w:val="18"/>
                <w:szCs w:val="18"/>
                <w:lang w:eastAsia="en-GB"/>
              </w:rPr>
            </w:pPr>
          </w:p>
          <w:p w14:paraId="289599D6" w14:textId="77777777" w:rsidR="00356CBA" w:rsidRPr="00AD4052" w:rsidRDefault="00356CBA">
            <w:pPr>
              <w:spacing w:after="0" w:line="240" w:lineRule="auto"/>
              <w:rPr>
                <w:rFonts w:eastAsia="Times New Roman" w:cs="Calibri"/>
                <w:noProof/>
                <w:color w:val="006100"/>
                <w:sz w:val="18"/>
                <w:szCs w:val="18"/>
                <w:lang w:eastAsia="en-GB"/>
              </w:rPr>
            </w:pPr>
          </w:p>
        </w:tc>
        <w:tc>
          <w:tcPr>
            <w:tcW w:w="2298" w:type="dxa"/>
            <w:tcBorders>
              <w:top w:val="single" w:sz="4" w:space="0" w:color="auto"/>
              <w:left w:val="nil"/>
              <w:bottom w:val="single" w:sz="4" w:space="0" w:color="auto"/>
              <w:right w:val="single" w:sz="4" w:space="0" w:color="auto"/>
            </w:tcBorders>
            <w:shd w:val="clear" w:color="auto" w:fill="C6EFCE"/>
            <w:noWrap/>
          </w:tcPr>
          <w:p w14:paraId="0E3B806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Lepingute allkirjastamine ja hankekava koostamine </w:t>
            </w:r>
          </w:p>
          <w:p w14:paraId="1BBAE610"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6C18AF1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7" w:type="dxa"/>
            <w:tcBorders>
              <w:top w:val="single" w:sz="4" w:space="0" w:color="auto"/>
              <w:left w:val="nil"/>
              <w:bottom w:val="single" w:sz="4" w:space="0" w:color="auto"/>
              <w:right w:val="single" w:sz="4" w:space="0" w:color="auto"/>
            </w:tcBorders>
            <w:shd w:val="clear" w:color="auto" w:fill="C6EFCE"/>
            <w:noWrap/>
          </w:tcPr>
          <w:p w14:paraId="0A01861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77828CC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665EA4D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57E7FA6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kv</w:t>
            </w:r>
          </w:p>
          <w:p w14:paraId="797EBAED"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0DD6110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46" w:type="dxa"/>
            <w:tcBorders>
              <w:top w:val="single" w:sz="4" w:space="0" w:color="auto"/>
              <w:left w:val="nil"/>
              <w:bottom w:val="single" w:sz="4" w:space="0" w:color="auto"/>
              <w:right w:val="single" w:sz="4" w:space="0" w:color="auto"/>
            </w:tcBorders>
            <w:shd w:val="clear" w:color="auto" w:fill="C6EFCE"/>
            <w:noWrap/>
          </w:tcPr>
          <w:p w14:paraId="685922C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2024</w:t>
            </w:r>
          </w:p>
          <w:p w14:paraId="3E97D3DB"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61A74ECD"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2617" w:type="dxa"/>
            <w:tcBorders>
              <w:top w:val="single" w:sz="4" w:space="0" w:color="auto"/>
              <w:left w:val="nil"/>
              <w:bottom w:val="single" w:sz="4" w:space="0" w:color="auto"/>
              <w:right w:val="single" w:sz="4" w:space="0" w:color="auto"/>
            </w:tcBorders>
            <w:shd w:val="clear" w:color="auto" w:fill="C6EFCE"/>
            <w:noWrap/>
          </w:tcPr>
          <w:p w14:paraId="6A86EAE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Kõigi selliste asjade, teenuste (sealhulgas uuringute) ja ehitustööde lepingute allkirjastamine, mis on vajalikud raudteevõrgu taastamiseks ja vastupidavuse suurendamiseks tormi „DANIEL“ piirkondades.</w:t>
            </w:r>
          </w:p>
          <w:p w14:paraId="0A947DDD" w14:textId="5D746A5A" w:rsidR="00356CBA" w:rsidRPr="00E02B5D" w:rsidRDefault="00356CBA" w:rsidP="00D16F13">
            <w:pPr>
              <w:spacing w:after="0" w:line="240" w:lineRule="auto"/>
              <w:rPr>
                <w:rFonts w:eastAsia="Times New Roman" w:cs="Calibri"/>
                <w:noProof/>
                <w:color w:val="006100"/>
                <w:sz w:val="18"/>
                <w:szCs w:val="18"/>
              </w:rPr>
            </w:pPr>
            <w:r>
              <w:rPr>
                <w:noProof/>
                <w:color w:val="006100"/>
                <w:sz w:val="18"/>
              </w:rPr>
              <w:t>Hankekava koostamine kõigi kaasnevate raudteeohutusinvesteeringute ja korraliste hooldustööde jaoks. Taaste- ja vastupidavusrahastust ei toetata neid kaasnevaid investeeringuid, mis on vajalikud raudteevõrgu ohutuks käitamiseks. Neid investeeringuid toetatakse riiklikest või muudest ELi fondidest.</w:t>
            </w:r>
          </w:p>
          <w:p w14:paraId="79ED99EC" w14:textId="77777777" w:rsidR="00356CBA" w:rsidRPr="00E02B5D" w:rsidRDefault="00356CBA">
            <w:pPr>
              <w:spacing w:after="0" w:line="240" w:lineRule="auto"/>
              <w:rPr>
                <w:rFonts w:eastAsia="Times New Roman" w:cs="Calibri"/>
                <w:noProof/>
                <w:color w:val="006100"/>
                <w:sz w:val="18"/>
                <w:szCs w:val="18"/>
                <w:lang w:val="en-GB" w:eastAsia="en-GB"/>
              </w:rPr>
            </w:pPr>
          </w:p>
        </w:tc>
      </w:tr>
      <w:tr w:rsidR="007B4D63" w:rsidRPr="003B132A" w14:paraId="48A8CD7B"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752CBD4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267</w:t>
            </w:r>
          </w:p>
        </w:tc>
        <w:tc>
          <w:tcPr>
            <w:tcW w:w="2239" w:type="dxa"/>
            <w:tcBorders>
              <w:top w:val="single" w:sz="4" w:space="0" w:color="auto"/>
              <w:left w:val="nil"/>
              <w:bottom w:val="single" w:sz="4" w:space="0" w:color="auto"/>
              <w:right w:val="single" w:sz="4" w:space="0" w:color="auto"/>
            </w:tcBorders>
            <w:shd w:val="clear" w:color="auto" w:fill="C6EFCE"/>
            <w:noWrap/>
          </w:tcPr>
          <w:p w14:paraId="506643E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16833_EASA nõuetele vastavuse parandamise tööde rakendamine</w:t>
            </w:r>
          </w:p>
        </w:tc>
        <w:tc>
          <w:tcPr>
            <w:tcW w:w="1063" w:type="dxa"/>
            <w:tcBorders>
              <w:top w:val="single" w:sz="4" w:space="0" w:color="auto"/>
              <w:left w:val="nil"/>
              <w:bottom w:val="single" w:sz="4" w:space="0" w:color="auto"/>
              <w:right w:val="single" w:sz="4" w:space="0" w:color="auto"/>
            </w:tcBorders>
            <w:shd w:val="clear" w:color="auto" w:fill="C6EFCE"/>
            <w:noWrap/>
          </w:tcPr>
          <w:p w14:paraId="7E48D41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4AFDF70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Teade Euroopa Liidu Lennundusohutusameti (EASA) tegevuse kohta piirkondlikes lennujaamades</w:t>
            </w:r>
          </w:p>
        </w:tc>
        <w:tc>
          <w:tcPr>
            <w:tcW w:w="2298" w:type="dxa"/>
            <w:tcBorders>
              <w:top w:val="single" w:sz="4" w:space="0" w:color="auto"/>
              <w:left w:val="nil"/>
              <w:bottom w:val="single" w:sz="4" w:space="0" w:color="auto"/>
              <w:right w:val="single" w:sz="4" w:space="0" w:color="auto"/>
            </w:tcBorders>
            <w:shd w:val="clear" w:color="auto" w:fill="C6EFCE"/>
            <w:noWrap/>
          </w:tcPr>
          <w:p w14:paraId="0BFBDFF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Lepingute sõlmimisest teatamine</w:t>
            </w:r>
          </w:p>
        </w:tc>
        <w:tc>
          <w:tcPr>
            <w:tcW w:w="977" w:type="dxa"/>
            <w:tcBorders>
              <w:top w:val="single" w:sz="4" w:space="0" w:color="auto"/>
              <w:left w:val="nil"/>
              <w:bottom w:val="single" w:sz="4" w:space="0" w:color="auto"/>
              <w:right w:val="single" w:sz="4" w:space="0" w:color="auto"/>
            </w:tcBorders>
            <w:shd w:val="clear" w:color="auto" w:fill="C6EFCE"/>
            <w:noWrap/>
          </w:tcPr>
          <w:p w14:paraId="58CC5861"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326763E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437110AD"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6399A2A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946" w:type="dxa"/>
            <w:tcBorders>
              <w:top w:val="single" w:sz="4" w:space="0" w:color="auto"/>
              <w:left w:val="nil"/>
              <w:bottom w:val="single" w:sz="4" w:space="0" w:color="auto"/>
              <w:right w:val="single" w:sz="4" w:space="0" w:color="auto"/>
            </w:tcBorders>
            <w:shd w:val="clear" w:color="auto" w:fill="C6EFCE"/>
            <w:noWrap/>
          </w:tcPr>
          <w:p w14:paraId="18029AE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2023</w:t>
            </w:r>
          </w:p>
        </w:tc>
        <w:tc>
          <w:tcPr>
            <w:tcW w:w="2617" w:type="dxa"/>
            <w:tcBorders>
              <w:top w:val="single" w:sz="4" w:space="0" w:color="auto"/>
              <w:left w:val="nil"/>
              <w:bottom w:val="single" w:sz="4" w:space="0" w:color="auto"/>
              <w:right w:val="single" w:sz="4" w:space="0" w:color="auto"/>
            </w:tcBorders>
            <w:shd w:val="clear" w:color="auto" w:fill="C6EFCE"/>
            <w:noWrap/>
          </w:tcPr>
          <w:p w14:paraId="36FDFB91" w14:textId="77777777" w:rsidR="00356CBA" w:rsidRPr="00E02B5D" w:rsidRDefault="00356CBA" w:rsidP="03C1FE49">
            <w:pPr>
              <w:spacing w:after="0" w:line="240" w:lineRule="auto"/>
              <w:rPr>
                <w:rFonts w:eastAsia="Times New Roman" w:cs="Calibri"/>
                <w:noProof/>
                <w:color w:val="006100"/>
                <w:sz w:val="18"/>
                <w:szCs w:val="18"/>
              </w:rPr>
            </w:pPr>
            <w:r>
              <w:rPr>
                <w:noProof/>
                <w:color w:val="006100"/>
                <w:sz w:val="18"/>
              </w:rPr>
              <w:t>Teine alarühm: Euroopa Liidu Lennundusohutusameti (EASA) nõuetele vastavuse programm: Kõik 13 piirkondliku lennujaama remonditööde lepingud, mis on sõlmitud uue määruse (EL) 2018/1139 täitmiseks.</w:t>
            </w:r>
          </w:p>
        </w:tc>
      </w:tr>
      <w:tr w:rsidR="007B4D63" w:rsidRPr="003B132A" w14:paraId="518131E6"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0EDFBF6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268</w:t>
            </w:r>
          </w:p>
        </w:tc>
        <w:tc>
          <w:tcPr>
            <w:tcW w:w="2239" w:type="dxa"/>
            <w:tcBorders>
              <w:top w:val="single" w:sz="4" w:space="0" w:color="auto"/>
              <w:left w:val="nil"/>
              <w:bottom w:val="single" w:sz="4" w:space="0" w:color="auto"/>
              <w:right w:val="single" w:sz="4" w:space="0" w:color="auto"/>
            </w:tcBorders>
            <w:shd w:val="clear" w:color="auto" w:fill="C6EFCE"/>
            <w:noWrap/>
          </w:tcPr>
          <w:p w14:paraId="38BF86F9"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16982_Raudteesektori organisatsioonireform</w:t>
            </w:r>
          </w:p>
        </w:tc>
        <w:tc>
          <w:tcPr>
            <w:tcW w:w="1063" w:type="dxa"/>
            <w:tcBorders>
              <w:top w:val="single" w:sz="4" w:space="0" w:color="auto"/>
              <w:left w:val="nil"/>
              <w:bottom w:val="single" w:sz="4" w:space="0" w:color="auto"/>
              <w:right w:val="single" w:sz="4" w:space="0" w:color="auto"/>
            </w:tcBorders>
            <w:shd w:val="clear" w:color="auto" w:fill="C6EFCE"/>
            <w:noWrap/>
          </w:tcPr>
          <w:p w14:paraId="26A9D82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5CD5ED8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Uus OSE rakenduskava</w:t>
            </w:r>
          </w:p>
        </w:tc>
        <w:tc>
          <w:tcPr>
            <w:tcW w:w="2298" w:type="dxa"/>
            <w:tcBorders>
              <w:top w:val="single" w:sz="4" w:space="0" w:color="auto"/>
              <w:left w:val="nil"/>
              <w:bottom w:val="single" w:sz="4" w:space="0" w:color="auto"/>
              <w:right w:val="single" w:sz="4" w:space="0" w:color="auto"/>
            </w:tcBorders>
            <w:shd w:val="clear" w:color="auto" w:fill="C6EFCE"/>
            <w:noWrap/>
          </w:tcPr>
          <w:p w14:paraId="1606A8C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UueOSE vastu võetud rakenduskava koopia</w:t>
            </w:r>
          </w:p>
          <w:p w14:paraId="188534AF"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4942CA02" w14:textId="77777777" w:rsidR="00356CBA" w:rsidRPr="00E02B5D" w:rsidRDefault="00356CBA">
            <w:pPr>
              <w:spacing w:after="0" w:line="240" w:lineRule="auto"/>
              <w:rPr>
                <w:rFonts w:eastAsia="Times New Roman" w:cs="Calibri"/>
                <w:noProof/>
                <w:color w:val="006100"/>
                <w:sz w:val="18"/>
                <w:szCs w:val="18"/>
                <w:lang w:val="en-GB" w:eastAsia="en-GB"/>
              </w:rPr>
            </w:pPr>
          </w:p>
          <w:p w14:paraId="224C7D8E"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977" w:type="dxa"/>
            <w:tcBorders>
              <w:top w:val="single" w:sz="4" w:space="0" w:color="auto"/>
              <w:left w:val="nil"/>
              <w:bottom w:val="single" w:sz="4" w:space="0" w:color="auto"/>
              <w:right w:val="single" w:sz="4" w:space="0" w:color="auto"/>
            </w:tcBorders>
            <w:shd w:val="clear" w:color="auto" w:fill="C6EFCE"/>
            <w:noWrap/>
          </w:tcPr>
          <w:p w14:paraId="6B79675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2B7F05C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430E20C7"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100C389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p w14:paraId="3FE347C7"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46" w:type="dxa"/>
            <w:tcBorders>
              <w:top w:val="single" w:sz="4" w:space="0" w:color="auto"/>
              <w:left w:val="nil"/>
              <w:bottom w:val="single" w:sz="4" w:space="0" w:color="auto"/>
              <w:right w:val="single" w:sz="4" w:space="0" w:color="auto"/>
            </w:tcBorders>
            <w:shd w:val="clear" w:color="auto" w:fill="C6EFCE"/>
            <w:noWrap/>
          </w:tcPr>
          <w:p w14:paraId="0D45781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2617" w:type="dxa"/>
            <w:tcBorders>
              <w:top w:val="single" w:sz="4" w:space="0" w:color="auto"/>
              <w:left w:val="nil"/>
              <w:bottom w:val="single" w:sz="4" w:space="0" w:color="auto"/>
              <w:right w:val="single" w:sz="4" w:space="0" w:color="auto"/>
            </w:tcBorders>
            <w:shd w:val="clear" w:color="auto" w:fill="C6EFCE"/>
            <w:noWrap/>
          </w:tcPr>
          <w:p w14:paraId="3D1D835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Uue ühtse raudteeinfrastruktuuri-ettevõtja (NewOSE) rakenduskava vastuvõtmine.</w:t>
            </w:r>
          </w:p>
          <w:p w14:paraId="30449126" w14:textId="77777777" w:rsidR="00356CBA" w:rsidRPr="00AD4052" w:rsidRDefault="00356CBA" w:rsidP="00D16F13">
            <w:pPr>
              <w:spacing w:after="0" w:line="240" w:lineRule="auto"/>
              <w:rPr>
                <w:rFonts w:eastAsia="Times New Roman" w:cs="Calibri"/>
                <w:noProof/>
                <w:color w:val="006100"/>
                <w:sz w:val="18"/>
                <w:szCs w:val="18"/>
                <w:lang w:eastAsia="en-GB"/>
              </w:rPr>
            </w:pPr>
          </w:p>
        </w:tc>
      </w:tr>
      <w:tr w:rsidR="007B4D63" w:rsidRPr="003B132A" w14:paraId="44C22EF2"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64642F40" w14:textId="77777777" w:rsidR="00356CBA" w:rsidRPr="00E02B5D" w:rsidRDefault="00356CBA" w:rsidP="0092204B">
            <w:pPr>
              <w:spacing w:line="240" w:lineRule="auto"/>
              <w:rPr>
                <w:rFonts w:eastAsia="Times New Roman" w:cs="Calibri"/>
                <w:noProof/>
                <w:color w:val="006100"/>
                <w:sz w:val="18"/>
                <w:szCs w:val="18"/>
              </w:rPr>
            </w:pPr>
            <w:r>
              <w:rPr>
                <w:noProof/>
                <w:color w:val="006100"/>
                <w:sz w:val="18"/>
              </w:rPr>
              <w:t>268a</w:t>
            </w:r>
          </w:p>
        </w:tc>
        <w:tc>
          <w:tcPr>
            <w:tcW w:w="2239" w:type="dxa"/>
            <w:tcBorders>
              <w:top w:val="single" w:sz="4" w:space="0" w:color="auto"/>
              <w:left w:val="nil"/>
              <w:bottom w:val="single" w:sz="4" w:space="0" w:color="auto"/>
              <w:right w:val="single" w:sz="4" w:space="0" w:color="auto"/>
            </w:tcBorders>
            <w:shd w:val="clear" w:color="auto" w:fill="C6EFCE"/>
            <w:noWrap/>
          </w:tcPr>
          <w:p w14:paraId="72759D4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16982_Raudteesektori organisatsioonireform</w:t>
            </w:r>
          </w:p>
          <w:p w14:paraId="251F0C93" w14:textId="77777777" w:rsidR="00356CBA" w:rsidRPr="00AD4052" w:rsidRDefault="00356CBA" w:rsidP="0092204B">
            <w:pPr>
              <w:spacing w:line="240" w:lineRule="auto"/>
              <w:rPr>
                <w:rFonts w:eastAsia="Times New Roman" w:cs="Calibri"/>
                <w:noProof/>
                <w:color w:val="006100"/>
                <w:sz w:val="18"/>
                <w:szCs w:val="18"/>
                <w:lang w:eastAsia="en-GB"/>
              </w:rPr>
            </w:pPr>
          </w:p>
        </w:tc>
        <w:tc>
          <w:tcPr>
            <w:tcW w:w="1063" w:type="dxa"/>
            <w:tcBorders>
              <w:top w:val="single" w:sz="4" w:space="0" w:color="auto"/>
              <w:left w:val="nil"/>
              <w:bottom w:val="single" w:sz="4" w:space="0" w:color="auto"/>
              <w:right w:val="single" w:sz="4" w:space="0" w:color="auto"/>
            </w:tcBorders>
            <w:shd w:val="clear" w:color="auto" w:fill="C6EFCE"/>
            <w:noWrap/>
          </w:tcPr>
          <w:p w14:paraId="33323959" w14:textId="77777777" w:rsidR="00356CBA" w:rsidRPr="00E02B5D" w:rsidRDefault="00356CBA" w:rsidP="0092204B">
            <w:pPr>
              <w:spacing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28CECBEC" w14:textId="77777777" w:rsidR="00356CBA" w:rsidRPr="00E02B5D" w:rsidRDefault="00356CBA" w:rsidP="0092204B">
            <w:pPr>
              <w:spacing w:line="240" w:lineRule="auto"/>
              <w:rPr>
                <w:rFonts w:eastAsia="Times New Roman" w:cs="Calibri"/>
                <w:noProof/>
                <w:color w:val="006100"/>
                <w:sz w:val="18"/>
                <w:szCs w:val="18"/>
              </w:rPr>
            </w:pPr>
            <w:r>
              <w:rPr>
                <w:noProof/>
                <w:color w:val="006100"/>
                <w:sz w:val="18"/>
              </w:rPr>
              <w:t>Õigusaktid uute OSEde ja rahvusvaheliste hangete kohta</w:t>
            </w:r>
          </w:p>
        </w:tc>
        <w:tc>
          <w:tcPr>
            <w:tcW w:w="2298" w:type="dxa"/>
            <w:tcBorders>
              <w:top w:val="single" w:sz="4" w:space="0" w:color="auto"/>
              <w:left w:val="nil"/>
              <w:bottom w:val="single" w:sz="4" w:space="0" w:color="auto"/>
              <w:right w:val="single" w:sz="4" w:space="0" w:color="auto"/>
            </w:tcBorders>
            <w:shd w:val="clear" w:color="auto" w:fill="C6EFCE"/>
            <w:noWrap/>
          </w:tcPr>
          <w:p w14:paraId="2071E63E" w14:textId="77777777" w:rsidR="00356CBA" w:rsidRPr="00E02B5D" w:rsidRDefault="00356CBA" w:rsidP="0092204B">
            <w:pPr>
              <w:spacing w:line="240" w:lineRule="auto"/>
              <w:rPr>
                <w:noProof/>
                <w:color w:val="006100"/>
                <w:sz w:val="18"/>
              </w:rPr>
            </w:pPr>
            <w:r>
              <w:rPr>
                <w:noProof/>
                <w:color w:val="006100"/>
                <w:sz w:val="18"/>
              </w:rPr>
              <w:t>NewOSE õigusaktide koopia ja avaldatud rahvusvahelisest pakkumusest teatamine</w:t>
            </w:r>
          </w:p>
        </w:tc>
        <w:tc>
          <w:tcPr>
            <w:tcW w:w="977" w:type="dxa"/>
            <w:tcBorders>
              <w:top w:val="single" w:sz="4" w:space="0" w:color="auto"/>
              <w:left w:val="nil"/>
              <w:bottom w:val="single" w:sz="4" w:space="0" w:color="auto"/>
              <w:right w:val="single" w:sz="4" w:space="0" w:color="auto"/>
            </w:tcBorders>
            <w:shd w:val="clear" w:color="auto" w:fill="C6EFCE"/>
            <w:noWrap/>
          </w:tcPr>
          <w:p w14:paraId="4C9A9344" w14:textId="77777777" w:rsidR="00356CBA" w:rsidRPr="00AD4052" w:rsidRDefault="00356CBA" w:rsidP="0092204B">
            <w:pPr>
              <w:spacing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61108120" w14:textId="77777777" w:rsidR="00356CBA" w:rsidRPr="00AD4052" w:rsidRDefault="00356CBA" w:rsidP="0092204B">
            <w:pPr>
              <w:spacing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51369844" w14:textId="77777777" w:rsidR="00356CBA" w:rsidRPr="00AD4052" w:rsidRDefault="00356CBA" w:rsidP="0092204B">
            <w:pPr>
              <w:spacing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367C5B45" w14:textId="77777777" w:rsidR="00356CBA" w:rsidRPr="00E02B5D" w:rsidRDefault="00356CBA" w:rsidP="0092204B">
            <w:pPr>
              <w:spacing w:line="240" w:lineRule="auto"/>
              <w:rPr>
                <w:rFonts w:eastAsia="Times New Roman" w:cs="Calibri"/>
                <w:noProof/>
                <w:color w:val="006100"/>
                <w:sz w:val="18"/>
                <w:szCs w:val="18"/>
              </w:rPr>
            </w:pPr>
            <w:r>
              <w:rPr>
                <w:noProof/>
                <w:color w:val="006100"/>
                <w:sz w:val="18"/>
              </w:rPr>
              <w:t>4. kv</w:t>
            </w:r>
          </w:p>
        </w:tc>
        <w:tc>
          <w:tcPr>
            <w:tcW w:w="946" w:type="dxa"/>
            <w:tcBorders>
              <w:top w:val="single" w:sz="4" w:space="0" w:color="auto"/>
              <w:left w:val="nil"/>
              <w:bottom w:val="single" w:sz="4" w:space="0" w:color="auto"/>
              <w:right w:val="single" w:sz="4" w:space="0" w:color="auto"/>
            </w:tcBorders>
            <w:shd w:val="clear" w:color="auto" w:fill="C6EFCE"/>
            <w:noWrap/>
          </w:tcPr>
          <w:p w14:paraId="5BC6357D" w14:textId="77777777" w:rsidR="00356CBA" w:rsidRPr="00E02B5D" w:rsidRDefault="00356CBA" w:rsidP="0092204B">
            <w:pPr>
              <w:spacing w:line="240" w:lineRule="auto"/>
              <w:rPr>
                <w:rFonts w:eastAsia="Times New Roman" w:cs="Calibri"/>
                <w:noProof/>
                <w:color w:val="006100"/>
                <w:sz w:val="18"/>
                <w:szCs w:val="18"/>
              </w:rPr>
            </w:pPr>
            <w:r>
              <w:rPr>
                <w:noProof/>
                <w:color w:val="006100"/>
                <w:sz w:val="18"/>
              </w:rPr>
              <w:t>2024</w:t>
            </w:r>
          </w:p>
        </w:tc>
        <w:tc>
          <w:tcPr>
            <w:tcW w:w="2617" w:type="dxa"/>
            <w:tcBorders>
              <w:top w:val="single" w:sz="4" w:space="0" w:color="auto"/>
              <w:left w:val="nil"/>
              <w:bottom w:val="single" w:sz="4" w:space="0" w:color="auto"/>
              <w:right w:val="single" w:sz="4" w:space="0" w:color="auto"/>
            </w:tcBorders>
            <w:shd w:val="clear" w:color="auto" w:fill="C6EFCE"/>
            <w:noWrap/>
          </w:tcPr>
          <w:p w14:paraId="5DFEEAEE" w14:textId="77777777" w:rsidR="00E2773E" w:rsidRDefault="00356CBA" w:rsidP="00E2773E">
            <w:pPr>
              <w:spacing w:after="0"/>
              <w:rPr>
                <w:noProof/>
                <w:color w:val="006100"/>
                <w:sz w:val="18"/>
              </w:rPr>
            </w:pPr>
            <w:r>
              <w:rPr>
                <w:noProof/>
                <w:color w:val="006100"/>
                <w:sz w:val="18"/>
              </w:rPr>
              <w:t>Seaduse nr 4974/2022 muudatuste ja teiseste õigusaktide jõustumine uue ühtse reaalturuväärtusega raudteetaristuettevõtja kohta, mille tuumaks on OSE (edaspidi „New OSE“), mis hõlmab ERGOSEt. Uus ettevõtja kannab üldist vastutust raudteeinfrastruktuuri ohutuse küsimuste eest ja teeb riskikontrollimeetmete rakendamisel raudteeveo-ettevõtjatega täielikku koostööd.</w:t>
            </w:r>
          </w:p>
          <w:p w14:paraId="1787833B" w14:textId="77777777" w:rsidR="00356CBA" w:rsidRPr="00E02B5D" w:rsidRDefault="00356CBA" w:rsidP="00E2773E">
            <w:pPr>
              <w:spacing w:after="0"/>
              <w:rPr>
                <w:rFonts w:eastAsia="Times New Roman" w:cs="Calibri"/>
                <w:noProof/>
                <w:color w:val="006100"/>
                <w:sz w:val="18"/>
                <w:szCs w:val="18"/>
              </w:rPr>
            </w:pPr>
            <w:r>
              <w:rPr>
                <w:noProof/>
                <w:color w:val="006100"/>
                <w:sz w:val="18"/>
              </w:rPr>
              <w:t xml:space="preserve">Rahvusvahelise pakkumuse avaldamine, et sõlmida leping OSE operatiivtegevuse juhtimise eest vastutava tehnilise konsultandiga.  </w:t>
            </w:r>
          </w:p>
        </w:tc>
      </w:tr>
      <w:tr w:rsidR="007B4D63" w:rsidRPr="003B132A" w14:paraId="1D3A1CF1"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688FE2D0" w14:textId="77777777" w:rsidR="00356CBA" w:rsidRPr="00E02B5D" w:rsidRDefault="00356CBA" w:rsidP="0092204B">
            <w:pPr>
              <w:spacing w:line="240" w:lineRule="auto"/>
              <w:rPr>
                <w:rFonts w:eastAsia="Times New Roman" w:cs="Calibri"/>
                <w:noProof/>
                <w:color w:val="006100"/>
                <w:sz w:val="18"/>
                <w:szCs w:val="18"/>
              </w:rPr>
            </w:pPr>
            <w:r>
              <w:rPr>
                <w:noProof/>
                <w:color w:val="006100"/>
                <w:sz w:val="18"/>
              </w:rPr>
              <w:t>268b</w:t>
            </w:r>
          </w:p>
        </w:tc>
        <w:tc>
          <w:tcPr>
            <w:tcW w:w="2239" w:type="dxa"/>
            <w:tcBorders>
              <w:top w:val="single" w:sz="4" w:space="0" w:color="auto"/>
              <w:left w:val="nil"/>
              <w:bottom w:val="single" w:sz="4" w:space="0" w:color="auto"/>
              <w:right w:val="single" w:sz="4" w:space="0" w:color="auto"/>
            </w:tcBorders>
            <w:shd w:val="clear" w:color="auto" w:fill="C6EFCE"/>
            <w:noWrap/>
          </w:tcPr>
          <w:p w14:paraId="72FD2AC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16982_Raudteesektori organisatsioonireform</w:t>
            </w:r>
          </w:p>
          <w:p w14:paraId="755F706E" w14:textId="77777777" w:rsidR="00356CBA" w:rsidRPr="00AD4052" w:rsidRDefault="00356CBA" w:rsidP="0092204B">
            <w:pPr>
              <w:spacing w:line="240" w:lineRule="auto"/>
              <w:rPr>
                <w:rFonts w:eastAsia="Times New Roman" w:cs="Calibri"/>
                <w:noProof/>
                <w:color w:val="006100"/>
                <w:sz w:val="18"/>
                <w:szCs w:val="18"/>
                <w:lang w:eastAsia="en-GB"/>
              </w:rPr>
            </w:pPr>
          </w:p>
        </w:tc>
        <w:tc>
          <w:tcPr>
            <w:tcW w:w="1063" w:type="dxa"/>
            <w:tcBorders>
              <w:top w:val="single" w:sz="4" w:space="0" w:color="auto"/>
              <w:left w:val="nil"/>
              <w:bottom w:val="single" w:sz="4" w:space="0" w:color="auto"/>
              <w:right w:val="single" w:sz="4" w:space="0" w:color="auto"/>
            </w:tcBorders>
            <w:shd w:val="clear" w:color="auto" w:fill="C6EFCE"/>
            <w:noWrap/>
          </w:tcPr>
          <w:p w14:paraId="69691F46" w14:textId="77777777" w:rsidR="00356CBA" w:rsidRPr="00E02B5D" w:rsidRDefault="00356CBA" w:rsidP="0092204B">
            <w:pPr>
              <w:spacing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00E1AF41"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Mitmeaastase investeerimisprogrammi vastuvõtmine, uue täitmislepingu allkirjastamine</w:t>
            </w:r>
          </w:p>
          <w:p w14:paraId="6D0CF686" w14:textId="77777777" w:rsidR="00356CBA" w:rsidRPr="00AD4052" w:rsidRDefault="00356CBA" w:rsidP="0092204B">
            <w:pPr>
              <w:spacing w:line="240" w:lineRule="auto"/>
              <w:rPr>
                <w:rFonts w:eastAsia="Times New Roman" w:cs="Calibri"/>
                <w:noProof/>
                <w:color w:val="006100"/>
                <w:sz w:val="18"/>
                <w:szCs w:val="18"/>
                <w:lang w:val="it-IT" w:eastAsia="en-GB"/>
              </w:rPr>
            </w:pPr>
          </w:p>
        </w:tc>
        <w:tc>
          <w:tcPr>
            <w:tcW w:w="2298" w:type="dxa"/>
            <w:tcBorders>
              <w:top w:val="single" w:sz="4" w:space="0" w:color="auto"/>
              <w:left w:val="nil"/>
              <w:bottom w:val="single" w:sz="4" w:space="0" w:color="auto"/>
              <w:right w:val="single" w:sz="4" w:space="0" w:color="auto"/>
            </w:tcBorders>
            <w:shd w:val="clear" w:color="auto" w:fill="C6EFCE"/>
            <w:noWrap/>
          </w:tcPr>
          <w:p w14:paraId="255A6F70"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Mitmeaastase investeerimisprogrammi kinnitatud koopia ja allkirjastatud uue täitmislepingu koopia</w:t>
            </w:r>
          </w:p>
          <w:p w14:paraId="1971EB57" w14:textId="77777777" w:rsidR="00356CBA" w:rsidRPr="00AD4052" w:rsidRDefault="00356CBA" w:rsidP="0092204B">
            <w:pPr>
              <w:spacing w:line="240" w:lineRule="auto"/>
              <w:rPr>
                <w:rFonts w:eastAsia="Times New Roman" w:cs="Calibri"/>
                <w:noProof/>
                <w:color w:val="006100"/>
                <w:sz w:val="18"/>
                <w:szCs w:val="18"/>
                <w:lang w:val="it-IT" w:eastAsia="en-GB"/>
              </w:rPr>
            </w:pPr>
          </w:p>
        </w:tc>
        <w:tc>
          <w:tcPr>
            <w:tcW w:w="977" w:type="dxa"/>
            <w:tcBorders>
              <w:top w:val="single" w:sz="4" w:space="0" w:color="auto"/>
              <w:left w:val="nil"/>
              <w:bottom w:val="single" w:sz="4" w:space="0" w:color="auto"/>
              <w:right w:val="single" w:sz="4" w:space="0" w:color="auto"/>
            </w:tcBorders>
            <w:shd w:val="clear" w:color="auto" w:fill="C6EFCE"/>
            <w:noWrap/>
          </w:tcPr>
          <w:p w14:paraId="425E1F4E" w14:textId="77777777" w:rsidR="00356CBA" w:rsidRPr="00AD4052" w:rsidRDefault="00356CBA" w:rsidP="0092204B">
            <w:pPr>
              <w:spacing w:line="240" w:lineRule="auto"/>
              <w:rPr>
                <w:rFonts w:eastAsia="Times New Roman" w:cs="Calibri"/>
                <w:noProof/>
                <w:color w:val="006100"/>
                <w:sz w:val="18"/>
                <w:szCs w:val="18"/>
                <w:lang w:val="it-IT"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2FE3BDBE" w14:textId="77777777" w:rsidR="00356CBA" w:rsidRPr="00AD4052" w:rsidRDefault="00356CBA" w:rsidP="0092204B">
            <w:pPr>
              <w:spacing w:line="240" w:lineRule="auto"/>
              <w:rPr>
                <w:rFonts w:eastAsia="Times New Roman" w:cs="Calibri"/>
                <w:noProof/>
                <w:color w:val="006100"/>
                <w:sz w:val="18"/>
                <w:szCs w:val="18"/>
                <w:lang w:val="it-IT"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4EF2E3A9" w14:textId="77777777" w:rsidR="00356CBA" w:rsidRPr="00AD4052" w:rsidRDefault="00356CBA" w:rsidP="0092204B">
            <w:pPr>
              <w:spacing w:line="240" w:lineRule="auto"/>
              <w:rPr>
                <w:rFonts w:eastAsia="Times New Roman" w:cs="Calibri"/>
                <w:noProof/>
                <w:color w:val="006100"/>
                <w:sz w:val="18"/>
                <w:szCs w:val="18"/>
                <w:lang w:val="it-IT"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5714A8BA" w14:textId="77777777" w:rsidR="00356CBA" w:rsidRPr="00E02B5D" w:rsidRDefault="00356CBA" w:rsidP="0092204B">
            <w:pPr>
              <w:spacing w:line="240" w:lineRule="auto"/>
              <w:rPr>
                <w:rFonts w:eastAsia="Times New Roman" w:cs="Calibri"/>
                <w:noProof/>
                <w:color w:val="006100"/>
                <w:sz w:val="18"/>
                <w:szCs w:val="18"/>
              </w:rPr>
            </w:pPr>
            <w:r>
              <w:rPr>
                <w:noProof/>
                <w:color w:val="006100"/>
                <w:sz w:val="18"/>
              </w:rPr>
              <w:t>2. kv</w:t>
            </w:r>
          </w:p>
        </w:tc>
        <w:tc>
          <w:tcPr>
            <w:tcW w:w="946" w:type="dxa"/>
            <w:tcBorders>
              <w:top w:val="single" w:sz="4" w:space="0" w:color="auto"/>
              <w:left w:val="nil"/>
              <w:bottom w:val="single" w:sz="4" w:space="0" w:color="auto"/>
              <w:right w:val="single" w:sz="4" w:space="0" w:color="auto"/>
            </w:tcBorders>
            <w:shd w:val="clear" w:color="auto" w:fill="C6EFCE"/>
            <w:noWrap/>
          </w:tcPr>
          <w:p w14:paraId="4E99DBB5" w14:textId="77777777" w:rsidR="00356CBA" w:rsidRPr="00E02B5D" w:rsidRDefault="00356CBA" w:rsidP="0092204B">
            <w:pPr>
              <w:spacing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nil"/>
              <w:bottom w:val="single" w:sz="4" w:space="0" w:color="auto"/>
              <w:right w:val="single" w:sz="4" w:space="0" w:color="auto"/>
            </w:tcBorders>
            <w:shd w:val="clear" w:color="auto" w:fill="C6EFCE"/>
            <w:noWrap/>
          </w:tcPr>
          <w:p w14:paraId="7F8E9D6B" w14:textId="77777777" w:rsidR="00356CBA" w:rsidRPr="00E02B5D" w:rsidRDefault="00356CBA" w:rsidP="00E2773E">
            <w:pPr>
              <w:spacing w:line="240" w:lineRule="auto"/>
              <w:rPr>
                <w:rFonts w:eastAsia="Times New Roman" w:cs="Calibri"/>
                <w:noProof/>
                <w:color w:val="006100"/>
                <w:sz w:val="18"/>
                <w:szCs w:val="18"/>
              </w:rPr>
            </w:pPr>
            <w:r>
              <w:rPr>
                <w:noProof/>
                <w:color w:val="006100"/>
                <w:sz w:val="18"/>
              </w:rPr>
              <w:t>Mitmeaastase programmi vastuvõtmine koos eeldatavate strateegiliste investeeringute ja hooldustöödega; uue tulemuslepingu allkirjastamine koos konkreetsete eesmärkide ja peamiste tulemusnäitajatega, sealhulgas investeeringute lõpuleviimiseks peamistesse ohutussüsteemidesse ja taristutesse, korrapäraseks hoolduseks, klientide rahuloluks, värbamise kvaliteedi ja äriühingu üldjuhtimise parandamiseks.</w:t>
            </w:r>
          </w:p>
        </w:tc>
      </w:tr>
      <w:tr w:rsidR="00356CBA" w:rsidRPr="003B132A" w14:paraId="05CF0E40"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597501D2"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268c</w:t>
            </w:r>
          </w:p>
        </w:tc>
        <w:tc>
          <w:tcPr>
            <w:tcW w:w="2239" w:type="dxa"/>
            <w:tcBorders>
              <w:top w:val="single" w:sz="4" w:space="0" w:color="auto"/>
              <w:left w:val="nil"/>
              <w:bottom w:val="single" w:sz="4" w:space="0" w:color="auto"/>
              <w:right w:val="single" w:sz="4" w:space="0" w:color="auto"/>
            </w:tcBorders>
            <w:shd w:val="clear" w:color="auto" w:fill="C6EFCE"/>
            <w:noWrap/>
          </w:tcPr>
          <w:p w14:paraId="78D3BEE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16982_Raudteesektori organisatsioonireform</w:t>
            </w:r>
          </w:p>
          <w:p w14:paraId="6E50DB5F" w14:textId="77777777" w:rsidR="00356CBA" w:rsidRPr="00AD4052" w:rsidRDefault="00356CBA" w:rsidP="00D16F13">
            <w:pPr>
              <w:spacing w:line="240" w:lineRule="auto"/>
              <w:rPr>
                <w:rFonts w:eastAsia="Times New Roman" w:cs="Calibri"/>
                <w:noProof/>
                <w:color w:val="006100"/>
                <w:sz w:val="18"/>
                <w:szCs w:val="18"/>
                <w:lang w:eastAsia="en-GB"/>
              </w:rPr>
            </w:pPr>
          </w:p>
        </w:tc>
        <w:tc>
          <w:tcPr>
            <w:tcW w:w="1063" w:type="dxa"/>
            <w:tcBorders>
              <w:top w:val="single" w:sz="4" w:space="0" w:color="auto"/>
              <w:left w:val="nil"/>
              <w:bottom w:val="single" w:sz="4" w:space="0" w:color="auto"/>
              <w:right w:val="single" w:sz="4" w:space="0" w:color="auto"/>
            </w:tcBorders>
            <w:shd w:val="clear" w:color="auto" w:fill="C6EFCE"/>
            <w:noWrap/>
          </w:tcPr>
          <w:p w14:paraId="2EFCB1CA"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2F3D69FA"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Raudteekorralduse reformi lõpuleviimine</w:t>
            </w:r>
          </w:p>
          <w:p w14:paraId="62175C42" w14:textId="77777777" w:rsidR="00356CBA" w:rsidRPr="00E02B5D" w:rsidRDefault="00356CBA" w:rsidP="00D16F13">
            <w:pPr>
              <w:spacing w:line="240" w:lineRule="auto"/>
              <w:rPr>
                <w:rFonts w:eastAsia="Times New Roman" w:cs="Calibri"/>
                <w:noProof/>
                <w:color w:val="006100"/>
                <w:sz w:val="18"/>
                <w:szCs w:val="18"/>
                <w:lang w:val="en-GB" w:eastAsia="en-GB"/>
              </w:rPr>
            </w:pPr>
          </w:p>
        </w:tc>
        <w:tc>
          <w:tcPr>
            <w:tcW w:w="2298" w:type="dxa"/>
            <w:tcBorders>
              <w:top w:val="single" w:sz="4" w:space="0" w:color="auto"/>
              <w:left w:val="nil"/>
              <w:bottom w:val="single" w:sz="4" w:space="0" w:color="auto"/>
              <w:right w:val="single" w:sz="4" w:space="0" w:color="auto"/>
            </w:tcBorders>
            <w:shd w:val="clear" w:color="auto" w:fill="C6EFCE"/>
            <w:noWrap/>
          </w:tcPr>
          <w:p w14:paraId="353B31E9"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Aruanne, mis kinnitab NewOSE täielikku kasutuselevõttu</w:t>
            </w:r>
          </w:p>
        </w:tc>
        <w:tc>
          <w:tcPr>
            <w:tcW w:w="977" w:type="dxa"/>
            <w:tcBorders>
              <w:top w:val="single" w:sz="4" w:space="0" w:color="auto"/>
              <w:left w:val="nil"/>
              <w:bottom w:val="single" w:sz="4" w:space="0" w:color="auto"/>
              <w:right w:val="single" w:sz="4" w:space="0" w:color="auto"/>
            </w:tcBorders>
            <w:shd w:val="clear" w:color="auto" w:fill="C6EFCE"/>
            <w:noWrap/>
          </w:tcPr>
          <w:p w14:paraId="3AF67AA2" w14:textId="77777777" w:rsidR="00356CBA" w:rsidRPr="00E02B5D" w:rsidRDefault="00356CBA" w:rsidP="00D16F13">
            <w:pPr>
              <w:spacing w:line="240" w:lineRule="auto"/>
              <w:rPr>
                <w:rFonts w:eastAsia="Times New Roman" w:cs="Calibri"/>
                <w:noProof/>
                <w:color w:val="006100"/>
                <w:sz w:val="18"/>
                <w:szCs w:val="18"/>
                <w:lang w:val="en-GB"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1CCB5B2A" w14:textId="77777777" w:rsidR="00356CBA" w:rsidRPr="00E02B5D" w:rsidRDefault="00356CBA" w:rsidP="00D16F13">
            <w:pPr>
              <w:spacing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40752A95" w14:textId="77777777" w:rsidR="00356CBA" w:rsidRPr="00E02B5D" w:rsidRDefault="00356CBA" w:rsidP="00D16F13">
            <w:pPr>
              <w:spacing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69EF652D"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4. kv</w:t>
            </w:r>
          </w:p>
        </w:tc>
        <w:tc>
          <w:tcPr>
            <w:tcW w:w="946" w:type="dxa"/>
            <w:tcBorders>
              <w:top w:val="single" w:sz="4" w:space="0" w:color="auto"/>
              <w:left w:val="nil"/>
              <w:bottom w:val="single" w:sz="4" w:space="0" w:color="auto"/>
              <w:right w:val="single" w:sz="4" w:space="0" w:color="auto"/>
            </w:tcBorders>
            <w:shd w:val="clear" w:color="auto" w:fill="C6EFCE"/>
            <w:noWrap/>
          </w:tcPr>
          <w:p w14:paraId="20096164"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nil"/>
              <w:bottom w:val="single" w:sz="4" w:space="0" w:color="auto"/>
              <w:right w:val="single" w:sz="4" w:space="0" w:color="auto"/>
            </w:tcBorders>
            <w:shd w:val="clear" w:color="auto" w:fill="C6EFCE"/>
            <w:noWrap/>
          </w:tcPr>
          <w:p w14:paraId="22E9FE57" w14:textId="77777777" w:rsidR="00356CBA" w:rsidRPr="00E02B5D" w:rsidRDefault="00356CBA" w:rsidP="00D16F13">
            <w:pPr>
              <w:spacing w:line="240" w:lineRule="auto"/>
              <w:rPr>
                <w:rFonts w:eastAsia="Times New Roman" w:cs="Calibri"/>
                <w:noProof/>
                <w:color w:val="006100"/>
                <w:sz w:val="18"/>
                <w:szCs w:val="18"/>
              </w:rPr>
            </w:pPr>
            <w:r>
              <w:rPr>
                <w:noProof/>
                <w:color w:val="006100"/>
                <w:sz w:val="18"/>
              </w:rPr>
              <w:t>Raudteesektori organisatsioonilise reformi rakendamine. Uus ühinenud raudteeinfrastruktuuri-ettevõtja peab olema täielikult toimiv.</w:t>
            </w:r>
          </w:p>
        </w:tc>
      </w:tr>
      <w:tr w:rsidR="00356CBA" w:rsidRPr="003B132A" w14:paraId="1E79EC06"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73625B0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269</w:t>
            </w:r>
          </w:p>
        </w:tc>
        <w:tc>
          <w:tcPr>
            <w:tcW w:w="2239" w:type="dxa"/>
            <w:tcBorders>
              <w:top w:val="single" w:sz="4" w:space="0" w:color="auto"/>
              <w:left w:val="nil"/>
              <w:bottom w:val="single" w:sz="4" w:space="0" w:color="auto"/>
              <w:right w:val="single" w:sz="4" w:space="0" w:color="auto"/>
            </w:tcBorders>
            <w:shd w:val="clear" w:color="auto" w:fill="C6EFCE"/>
            <w:noWrap/>
          </w:tcPr>
          <w:p w14:paraId="1F4B1B1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17-4.6. Ajakohastada ja parandada peamiste majandussektorite vastupanuvõimet – </w:t>
            </w:r>
          </w:p>
          <w:p w14:paraId="1F5A616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16833_EASA nõuetele vastavuse parandamise tööde rakendamine</w:t>
            </w:r>
          </w:p>
        </w:tc>
        <w:tc>
          <w:tcPr>
            <w:tcW w:w="1063" w:type="dxa"/>
            <w:tcBorders>
              <w:top w:val="single" w:sz="4" w:space="0" w:color="auto"/>
              <w:left w:val="nil"/>
              <w:bottom w:val="single" w:sz="4" w:space="0" w:color="auto"/>
              <w:right w:val="single" w:sz="4" w:space="0" w:color="auto"/>
            </w:tcBorders>
            <w:shd w:val="clear" w:color="auto" w:fill="C6EFCE"/>
            <w:noWrap/>
          </w:tcPr>
          <w:p w14:paraId="69565F9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319D004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EASA tööde lõpuleviimine </w:t>
            </w:r>
          </w:p>
        </w:tc>
        <w:tc>
          <w:tcPr>
            <w:tcW w:w="2298" w:type="dxa"/>
            <w:tcBorders>
              <w:top w:val="single" w:sz="4" w:space="0" w:color="auto"/>
              <w:left w:val="nil"/>
              <w:bottom w:val="single" w:sz="4" w:space="0" w:color="auto"/>
              <w:right w:val="single" w:sz="4" w:space="0" w:color="auto"/>
            </w:tcBorders>
            <w:shd w:val="clear" w:color="auto" w:fill="C6EFCE"/>
            <w:noWrap/>
          </w:tcPr>
          <w:p w14:paraId="6F20DCB7" w14:textId="77777777" w:rsidR="00356CBA" w:rsidRPr="00E02B5D" w:rsidRDefault="00356CBA">
            <w:pPr>
              <w:spacing w:after="0" w:line="240" w:lineRule="auto"/>
              <w:rPr>
                <w:rFonts w:eastAsia="Times New Roman" w:cs="Calibri"/>
                <w:noProof/>
                <w:color w:val="006100"/>
                <w:sz w:val="18"/>
                <w:szCs w:val="18"/>
                <w:highlight w:val="cyan"/>
              </w:rPr>
            </w:pPr>
            <w:r>
              <w:rPr>
                <w:noProof/>
                <w:color w:val="006100"/>
                <w:sz w:val="18"/>
              </w:rPr>
              <w:t>EASA sertifitseerimine</w:t>
            </w:r>
          </w:p>
        </w:tc>
        <w:tc>
          <w:tcPr>
            <w:tcW w:w="977" w:type="dxa"/>
            <w:tcBorders>
              <w:top w:val="single" w:sz="4" w:space="0" w:color="auto"/>
              <w:left w:val="nil"/>
              <w:bottom w:val="single" w:sz="4" w:space="0" w:color="auto"/>
              <w:right w:val="single" w:sz="4" w:space="0" w:color="auto"/>
            </w:tcBorders>
            <w:shd w:val="clear" w:color="auto" w:fill="C6EFCE"/>
            <w:noWrap/>
          </w:tcPr>
          <w:p w14:paraId="5AC03D68"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1C00B266"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61C8B0F2"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6B390F1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946" w:type="dxa"/>
            <w:tcBorders>
              <w:top w:val="single" w:sz="4" w:space="0" w:color="auto"/>
              <w:left w:val="nil"/>
              <w:bottom w:val="single" w:sz="4" w:space="0" w:color="auto"/>
              <w:right w:val="single" w:sz="4" w:space="0" w:color="auto"/>
            </w:tcBorders>
            <w:shd w:val="clear" w:color="auto" w:fill="C6EFCE"/>
            <w:noWrap/>
          </w:tcPr>
          <w:p w14:paraId="0705347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nil"/>
              <w:bottom w:val="single" w:sz="4" w:space="0" w:color="auto"/>
              <w:right w:val="single" w:sz="4" w:space="0" w:color="auto"/>
            </w:tcBorders>
            <w:shd w:val="clear" w:color="auto" w:fill="C6EFCE"/>
            <w:noWrap/>
          </w:tcPr>
          <w:p w14:paraId="6DBA487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Teine alarühm: Kõik parandustööd 13 lennujaamas peab lõpule viima ja sertifitseerima EASA.</w:t>
            </w:r>
          </w:p>
        </w:tc>
      </w:tr>
      <w:tr w:rsidR="007B4D63" w:rsidRPr="003B132A" w14:paraId="47B834D1"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4660550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271</w:t>
            </w:r>
          </w:p>
        </w:tc>
        <w:tc>
          <w:tcPr>
            <w:tcW w:w="2239" w:type="dxa"/>
            <w:tcBorders>
              <w:top w:val="single" w:sz="4" w:space="0" w:color="auto"/>
              <w:left w:val="nil"/>
              <w:bottom w:val="single" w:sz="4" w:space="0" w:color="auto"/>
              <w:right w:val="single" w:sz="4" w:space="0" w:color="auto"/>
            </w:tcBorders>
            <w:shd w:val="clear" w:color="auto" w:fill="C6EFCE"/>
            <w:noWrap/>
          </w:tcPr>
          <w:p w14:paraId="78ABE0BC" w14:textId="77777777" w:rsidR="00356CBA" w:rsidRPr="00E02B5D" w:rsidRDefault="00356CBA">
            <w:pPr>
              <w:spacing w:after="0" w:line="240" w:lineRule="auto"/>
              <w:rPr>
                <w:rFonts w:eastAsia="Times New Roman"/>
                <w:noProof/>
                <w:color w:val="006100"/>
                <w:sz w:val="18"/>
                <w:szCs w:val="18"/>
                <w:highlight w:val="yellow"/>
              </w:rPr>
            </w:pPr>
            <w:r>
              <w:rPr>
                <w:noProof/>
                <w:color w:val="006100"/>
                <w:sz w:val="18"/>
              </w:rPr>
              <w:t>17-4.6. Peamiste majandussektorite ajakohastamine ja vastupanuvõime parandamine – 16892_Lääne-Atika linnalähiraudtee uuendamine</w:t>
            </w:r>
          </w:p>
        </w:tc>
        <w:tc>
          <w:tcPr>
            <w:tcW w:w="1063" w:type="dxa"/>
            <w:tcBorders>
              <w:top w:val="single" w:sz="4" w:space="0" w:color="auto"/>
              <w:left w:val="nil"/>
              <w:bottom w:val="single" w:sz="4" w:space="0" w:color="auto"/>
              <w:right w:val="single" w:sz="4" w:space="0" w:color="auto"/>
            </w:tcBorders>
            <w:shd w:val="clear" w:color="auto" w:fill="C6EFCE"/>
            <w:noWrap/>
          </w:tcPr>
          <w:p w14:paraId="74D986A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580FA65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Lääne-Atika raudtee väljaehitamine</w:t>
            </w:r>
          </w:p>
        </w:tc>
        <w:tc>
          <w:tcPr>
            <w:tcW w:w="2298" w:type="dxa"/>
            <w:tcBorders>
              <w:top w:val="single" w:sz="4" w:space="0" w:color="auto"/>
              <w:left w:val="nil"/>
              <w:bottom w:val="single" w:sz="4" w:space="0" w:color="auto"/>
              <w:right w:val="single" w:sz="4" w:space="0" w:color="auto"/>
            </w:tcBorders>
            <w:shd w:val="clear" w:color="auto" w:fill="C6EFCE"/>
            <w:noWrap/>
          </w:tcPr>
          <w:p w14:paraId="6B6CF9D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OSE sertifitseerimisaruanne selle kohta, et projekt on lõpetatud ja OSE on selle kätte saanud</w:t>
            </w:r>
          </w:p>
        </w:tc>
        <w:tc>
          <w:tcPr>
            <w:tcW w:w="977" w:type="dxa"/>
            <w:tcBorders>
              <w:top w:val="single" w:sz="4" w:space="0" w:color="auto"/>
              <w:left w:val="nil"/>
              <w:bottom w:val="single" w:sz="4" w:space="0" w:color="auto"/>
              <w:right w:val="single" w:sz="4" w:space="0" w:color="auto"/>
            </w:tcBorders>
            <w:shd w:val="clear" w:color="auto" w:fill="C6EFCE"/>
            <w:noWrap/>
          </w:tcPr>
          <w:p w14:paraId="4EB9D40C" w14:textId="77777777" w:rsidR="00356CBA" w:rsidRPr="00AD4052" w:rsidRDefault="00356CBA">
            <w:pPr>
              <w:spacing w:after="0" w:line="240" w:lineRule="auto"/>
              <w:rPr>
                <w:rFonts w:eastAsia="Times New Roman" w:cs="Calibri"/>
                <w:noProof/>
                <w:color w:val="006100"/>
                <w:sz w:val="18"/>
                <w:szCs w:val="18"/>
                <w:lang w:val="fr-BE"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4A089E82" w14:textId="77777777" w:rsidR="00356CBA" w:rsidRPr="00AD4052" w:rsidRDefault="00356CBA">
            <w:pPr>
              <w:spacing w:after="0" w:line="240" w:lineRule="auto"/>
              <w:rPr>
                <w:rFonts w:eastAsia="Times New Roman" w:cs="Calibri"/>
                <w:noProof/>
                <w:color w:val="006100"/>
                <w:sz w:val="18"/>
                <w:szCs w:val="18"/>
                <w:lang w:val="fr-BE"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47B5CC60" w14:textId="77777777" w:rsidR="00356CBA" w:rsidRPr="00AD4052" w:rsidRDefault="00356CBA">
            <w:pPr>
              <w:spacing w:after="0" w:line="240" w:lineRule="auto"/>
              <w:rPr>
                <w:rFonts w:eastAsia="Times New Roman" w:cs="Calibri"/>
                <w:noProof/>
                <w:color w:val="006100"/>
                <w:sz w:val="18"/>
                <w:szCs w:val="18"/>
                <w:lang w:val="fr-BE"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246E4EF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946" w:type="dxa"/>
            <w:tcBorders>
              <w:top w:val="single" w:sz="4" w:space="0" w:color="auto"/>
              <w:left w:val="nil"/>
              <w:bottom w:val="single" w:sz="4" w:space="0" w:color="auto"/>
              <w:right w:val="single" w:sz="4" w:space="0" w:color="auto"/>
            </w:tcBorders>
            <w:shd w:val="clear" w:color="auto" w:fill="C6EFCE"/>
            <w:noWrap/>
          </w:tcPr>
          <w:p w14:paraId="36D886F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nil"/>
              <w:bottom w:val="single" w:sz="4" w:space="0" w:color="auto"/>
              <w:right w:val="single" w:sz="4" w:space="0" w:color="auto"/>
            </w:tcBorders>
            <w:shd w:val="clear" w:color="auto" w:fill="C6EFCE"/>
            <w:noWrap/>
          </w:tcPr>
          <w:p w14:paraId="2BBE89C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Teine alarühm: Lääne-Atika linnalähiraudtee väljaehitamine Ano Liossiast Megarasse. </w:t>
            </w:r>
          </w:p>
        </w:tc>
      </w:tr>
      <w:tr w:rsidR="007B4D63" w:rsidRPr="003B132A" w14:paraId="7DF54C7F"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00CEFF2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272</w:t>
            </w:r>
          </w:p>
        </w:tc>
        <w:tc>
          <w:tcPr>
            <w:tcW w:w="2239" w:type="dxa"/>
            <w:tcBorders>
              <w:top w:val="single" w:sz="4" w:space="0" w:color="auto"/>
              <w:left w:val="nil"/>
              <w:bottom w:val="single" w:sz="4" w:space="0" w:color="auto"/>
              <w:right w:val="single" w:sz="4" w:space="0" w:color="auto"/>
            </w:tcBorders>
            <w:shd w:val="clear" w:color="auto" w:fill="C6EFCE"/>
            <w:noWrap/>
          </w:tcPr>
          <w:p w14:paraId="201E8096" w14:textId="77777777" w:rsidR="00356CBA" w:rsidRPr="00E02B5D" w:rsidRDefault="00356CBA">
            <w:pPr>
              <w:spacing w:after="0" w:line="240" w:lineRule="auto"/>
              <w:rPr>
                <w:rFonts w:eastAsia="Times New Roman"/>
                <w:noProof/>
                <w:color w:val="006100"/>
                <w:sz w:val="18"/>
                <w:szCs w:val="18"/>
              </w:rPr>
            </w:pPr>
            <w:r>
              <w:rPr>
                <w:noProof/>
                <w:color w:val="006100"/>
                <w:sz w:val="18"/>
              </w:rPr>
              <w:t>17-4.6. Peamiste majandussektorite ajakohastamine ja vastupanuvõime parandamine – 16949_Arukad sillad</w:t>
            </w:r>
          </w:p>
          <w:p w14:paraId="4D37CE0A" w14:textId="77777777" w:rsidR="00356CBA" w:rsidRPr="00AD4052" w:rsidRDefault="00356CBA">
            <w:pPr>
              <w:spacing w:after="0" w:line="240" w:lineRule="auto"/>
              <w:rPr>
                <w:rFonts w:eastAsia="Times New Roman" w:cs="Calibri"/>
                <w:noProof/>
                <w:color w:val="006100"/>
                <w:sz w:val="18"/>
                <w:szCs w:val="18"/>
                <w:highlight w:val="yellow"/>
                <w:lang w:val="fr-BE" w:eastAsia="en-GB"/>
              </w:rPr>
            </w:pPr>
          </w:p>
          <w:p w14:paraId="70E828EA" w14:textId="77777777" w:rsidR="00356CBA" w:rsidRPr="00AD4052" w:rsidRDefault="00356CBA">
            <w:pPr>
              <w:spacing w:after="0" w:line="240" w:lineRule="auto"/>
              <w:rPr>
                <w:rFonts w:eastAsia="Times New Roman" w:cs="Calibri"/>
                <w:noProof/>
                <w:color w:val="006100"/>
                <w:sz w:val="18"/>
                <w:szCs w:val="18"/>
                <w:lang w:val="fr-BE" w:eastAsia="en-GB"/>
              </w:rPr>
            </w:pPr>
          </w:p>
        </w:tc>
        <w:tc>
          <w:tcPr>
            <w:tcW w:w="1063" w:type="dxa"/>
            <w:tcBorders>
              <w:top w:val="single" w:sz="4" w:space="0" w:color="auto"/>
              <w:left w:val="nil"/>
              <w:bottom w:val="single" w:sz="4" w:space="0" w:color="auto"/>
              <w:right w:val="single" w:sz="4" w:space="0" w:color="auto"/>
            </w:tcBorders>
            <w:shd w:val="clear" w:color="auto" w:fill="C6EFCE"/>
            <w:noWrap/>
          </w:tcPr>
          <w:p w14:paraId="157681E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7E62868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Arukate sildade projekti I etapi lõpuleviimine</w:t>
            </w:r>
          </w:p>
        </w:tc>
        <w:tc>
          <w:tcPr>
            <w:tcW w:w="2298" w:type="dxa"/>
            <w:tcBorders>
              <w:top w:val="single" w:sz="4" w:space="0" w:color="auto"/>
              <w:left w:val="nil"/>
              <w:bottom w:val="single" w:sz="4" w:space="0" w:color="auto"/>
              <w:right w:val="single" w:sz="4" w:space="0" w:color="auto"/>
            </w:tcBorders>
            <w:shd w:val="clear" w:color="auto" w:fill="C6EFCE"/>
            <w:noWrap/>
          </w:tcPr>
          <w:p w14:paraId="24CF124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Infrastruktuuriministeeriumi poolt ratifitseeritud sõltumatu inseneri valmimisaruanne</w:t>
            </w:r>
          </w:p>
        </w:tc>
        <w:tc>
          <w:tcPr>
            <w:tcW w:w="977" w:type="dxa"/>
            <w:tcBorders>
              <w:top w:val="single" w:sz="4" w:space="0" w:color="auto"/>
              <w:left w:val="nil"/>
              <w:bottom w:val="single" w:sz="4" w:space="0" w:color="auto"/>
              <w:right w:val="single" w:sz="4" w:space="0" w:color="auto"/>
            </w:tcBorders>
            <w:shd w:val="clear" w:color="auto" w:fill="C6EFCE"/>
            <w:noWrap/>
          </w:tcPr>
          <w:p w14:paraId="36FCFABF" w14:textId="77777777" w:rsidR="00356CBA" w:rsidRPr="00AD4052" w:rsidRDefault="00356CBA">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222C39C5"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15B0FFE1"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42550EE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946" w:type="dxa"/>
            <w:tcBorders>
              <w:top w:val="single" w:sz="4" w:space="0" w:color="auto"/>
              <w:left w:val="nil"/>
              <w:bottom w:val="single" w:sz="4" w:space="0" w:color="auto"/>
              <w:right w:val="single" w:sz="4" w:space="0" w:color="auto"/>
            </w:tcBorders>
            <w:shd w:val="clear" w:color="auto" w:fill="C6EFCE"/>
            <w:noWrap/>
          </w:tcPr>
          <w:p w14:paraId="5429047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nil"/>
              <w:bottom w:val="single" w:sz="4" w:space="0" w:color="auto"/>
              <w:right w:val="single" w:sz="4" w:space="0" w:color="auto"/>
            </w:tcBorders>
            <w:shd w:val="clear" w:color="auto" w:fill="C6EFCE"/>
            <w:noWrap/>
          </w:tcPr>
          <w:p w14:paraId="449E0A1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Allrühm 1: Arukate sildade projekti I etapp, millega pakutakse riigi mitmes piirkonnas asuvate sildade arukat ennetavat hooldusteenust.</w:t>
            </w:r>
          </w:p>
        </w:tc>
      </w:tr>
      <w:tr w:rsidR="007B4D63" w:rsidRPr="003B132A" w14:paraId="37A4843D"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46849CE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272a</w:t>
            </w:r>
          </w:p>
        </w:tc>
        <w:tc>
          <w:tcPr>
            <w:tcW w:w="2239" w:type="dxa"/>
            <w:tcBorders>
              <w:top w:val="single" w:sz="4" w:space="0" w:color="auto"/>
              <w:left w:val="nil"/>
              <w:bottom w:val="single" w:sz="4" w:space="0" w:color="auto"/>
              <w:right w:val="single" w:sz="4" w:space="0" w:color="auto"/>
            </w:tcBorders>
            <w:shd w:val="clear" w:color="auto" w:fill="C6EFCE"/>
            <w:noWrap/>
          </w:tcPr>
          <w:p w14:paraId="6884DC14" w14:textId="77777777" w:rsidR="00356CBA" w:rsidRPr="00E02B5D" w:rsidRDefault="00356CBA" w:rsidP="00D16F13">
            <w:pPr>
              <w:spacing w:after="0" w:line="240" w:lineRule="auto"/>
              <w:rPr>
                <w:rFonts w:eastAsia="Times New Roman"/>
                <w:noProof/>
                <w:color w:val="006100"/>
                <w:sz w:val="18"/>
                <w:szCs w:val="18"/>
              </w:rPr>
            </w:pPr>
            <w:r>
              <w:rPr>
                <w:noProof/>
                <w:color w:val="006100"/>
                <w:sz w:val="18"/>
              </w:rPr>
              <w:t>17-4.6. Peamiste majandussektorite ajakohastamine ja vastupanuvõime parandamine – 16949_Arukad sillad</w:t>
            </w:r>
          </w:p>
          <w:p w14:paraId="4BFBDD02" w14:textId="77777777" w:rsidR="00356CBA" w:rsidRPr="00AD4052" w:rsidRDefault="00356CBA">
            <w:pPr>
              <w:spacing w:after="0" w:line="240" w:lineRule="auto"/>
              <w:rPr>
                <w:rFonts w:eastAsia="Times New Roman" w:cs="Calibri"/>
                <w:noProof/>
                <w:color w:val="006100"/>
                <w:sz w:val="18"/>
                <w:szCs w:val="18"/>
                <w:lang w:val="fr-BE" w:eastAsia="en-GB"/>
              </w:rPr>
            </w:pPr>
          </w:p>
        </w:tc>
        <w:tc>
          <w:tcPr>
            <w:tcW w:w="1063" w:type="dxa"/>
            <w:tcBorders>
              <w:top w:val="single" w:sz="4" w:space="0" w:color="auto"/>
              <w:left w:val="nil"/>
              <w:bottom w:val="single" w:sz="4" w:space="0" w:color="auto"/>
              <w:right w:val="single" w:sz="4" w:space="0" w:color="auto"/>
            </w:tcBorders>
            <w:shd w:val="clear" w:color="auto" w:fill="C6EFCE"/>
            <w:noWrap/>
          </w:tcPr>
          <w:p w14:paraId="185A653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5EEA313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Arukate sildade projekti II etapp</w:t>
            </w:r>
          </w:p>
        </w:tc>
        <w:tc>
          <w:tcPr>
            <w:tcW w:w="2298" w:type="dxa"/>
            <w:tcBorders>
              <w:top w:val="single" w:sz="4" w:space="0" w:color="auto"/>
              <w:left w:val="nil"/>
              <w:bottom w:val="single" w:sz="4" w:space="0" w:color="auto"/>
              <w:right w:val="single" w:sz="4" w:space="0" w:color="auto"/>
            </w:tcBorders>
            <w:shd w:val="clear" w:color="auto" w:fill="C6EFCE"/>
            <w:noWrap/>
          </w:tcPr>
          <w:p w14:paraId="596E1DC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Infrastruktuuriministeeriumi poolt ratifitseeritud sõltumatu inseneri valmimisaruanne </w:t>
            </w:r>
          </w:p>
        </w:tc>
        <w:tc>
          <w:tcPr>
            <w:tcW w:w="977" w:type="dxa"/>
            <w:tcBorders>
              <w:top w:val="single" w:sz="4" w:space="0" w:color="auto"/>
              <w:left w:val="nil"/>
              <w:bottom w:val="single" w:sz="4" w:space="0" w:color="auto"/>
              <w:right w:val="single" w:sz="4" w:space="0" w:color="auto"/>
            </w:tcBorders>
            <w:shd w:val="clear" w:color="auto" w:fill="C6EFCE"/>
            <w:noWrap/>
          </w:tcPr>
          <w:p w14:paraId="707A7573" w14:textId="77777777" w:rsidR="00356CBA" w:rsidRPr="00AD4052" w:rsidRDefault="00356CBA">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24F8A228"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7171A93A"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307607F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946" w:type="dxa"/>
            <w:tcBorders>
              <w:top w:val="single" w:sz="4" w:space="0" w:color="auto"/>
              <w:left w:val="nil"/>
              <w:bottom w:val="single" w:sz="4" w:space="0" w:color="auto"/>
              <w:right w:val="single" w:sz="4" w:space="0" w:color="auto"/>
            </w:tcBorders>
            <w:shd w:val="clear" w:color="auto" w:fill="C6EFCE"/>
            <w:noWrap/>
          </w:tcPr>
          <w:p w14:paraId="3B1C45C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nil"/>
              <w:bottom w:val="single" w:sz="4" w:space="0" w:color="auto"/>
              <w:right w:val="single" w:sz="4" w:space="0" w:color="auto"/>
            </w:tcBorders>
            <w:shd w:val="clear" w:color="auto" w:fill="C6EFCE"/>
            <w:noWrap/>
          </w:tcPr>
          <w:p w14:paraId="46AEB6B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Arukate sildade projekti II etapp, millega luuakse sillad päikesepaneelide toitega traadita anduritega. </w:t>
            </w:r>
          </w:p>
        </w:tc>
      </w:tr>
      <w:tr w:rsidR="007B4D63" w:rsidRPr="00E02B5D" w14:paraId="25FCFD1F"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3D71F85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274</w:t>
            </w:r>
          </w:p>
        </w:tc>
        <w:tc>
          <w:tcPr>
            <w:tcW w:w="2239" w:type="dxa"/>
            <w:tcBorders>
              <w:top w:val="single" w:sz="4" w:space="0" w:color="auto"/>
              <w:left w:val="nil"/>
              <w:bottom w:val="single" w:sz="4" w:space="0" w:color="auto"/>
              <w:right w:val="single" w:sz="4" w:space="0" w:color="auto"/>
            </w:tcBorders>
            <w:shd w:val="clear" w:color="auto" w:fill="C6EFCE"/>
            <w:noWrap/>
          </w:tcPr>
          <w:p w14:paraId="585210A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16959_Kreeka Raudteeorganisatsiooni digitaalne ümberkujundamine</w:t>
            </w:r>
          </w:p>
        </w:tc>
        <w:tc>
          <w:tcPr>
            <w:tcW w:w="1063" w:type="dxa"/>
            <w:tcBorders>
              <w:top w:val="single" w:sz="4" w:space="0" w:color="auto"/>
              <w:left w:val="nil"/>
              <w:bottom w:val="single" w:sz="4" w:space="0" w:color="auto"/>
              <w:right w:val="single" w:sz="4" w:space="0" w:color="auto"/>
            </w:tcBorders>
            <w:shd w:val="clear" w:color="auto" w:fill="C6EFCE"/>
            <w:noWrap/>
          </w:tcPr>
          <w:p w14:paraId="5F56B79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1CCD96D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Algatuse „OSE“ digiülemineku lõpuleviimine</w:t>
            </w:r>
          </w:p>
        </w:tc>
        <w:tc>
          <w:tcPr>
            <w:tcW w:w="2298" w:type="dxa"/>
            <w:tcBorders>
              <w:top w:val="single" w:sz="4" w:space="0" w:color="auto"/>
              <w:left w:val="nil"/>
              <w:bottom w:val="single" w:sz="4" w:space="0" w:color="auto"/>
              <w:right w:val="single" w:sz="4" w:space="0" w:color="auto"/>
            </w:tcBorders>
            <w:shd w:val="clear" w:color="auto" w:fill="C6EFCE"/>
            <w:noWrap/>
          </w:tcPr>
          <w:p w14:paraId="1620631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OSE valmimisaruanne.</w:t>
            </w:r>
          </w:p>
          <w:p w14:paraId="7385360D" w14:textId="77777777" w:rsidR="00356CBA" w:rsidRPr="00E02B5D" w:rsidRDefault="00356CBA">
            <w:pPr>
              <w:spacing w:after="0" w:line="240" w:lineRule="auto"/>
              <w:rPr>
                <w:rFonts w:eastAsia="Times New Roman" w:cs="Calibri"/>
                <w:noProof/>
                <w:color w:val="006100"/>
                <w:sz w:val="18"/>
                <w:szCs w:val="18"/>
                <w:lang w:val="en-GB" w:eastAsia="en-GB"/>
              </w:rPr>
            </w:pPr>
          </w:p>
          <w:p w14:paraId="5877776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7" w:type="dxa"/>
            <w:tcBorders>
              <w:top w:val="single" w:sz="4" w:space="0" w:color="auto"/>
              <w:left w:val="nil"/>
              <w:bottom w:val="single" w:sz="4" w:space="0" w:color="auto"/>
              <w:right w:val="single" w:sz="4" w:space="0" w:color="auto"/>
            </w:tcBorders>
            <w:shd w:val="clear" w:color="auto" w:fill="C6EFCE"/>
            <w:noWrap/>
          </w:tcPr>
          <w:p w14:paraId="7A2B720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6FC202FA"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00F9370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73C07A9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946" w:type="dxa"/>
            <w:tcBorders>
              <w:top w:val="single" w:sz="4" w:space="0" w:color="auto"/>
              <w:left w:val="nil"/>
              <w:bottom w:val="single" w:sz="4" w:space="0" w:color="auto"/>
              <w:right w:val="single" w:sz="4" w:space="0" w:color="auto"/>
            </w:tcBorders>
            <w:shd w:val="clear" w:color="auto" w:fill="C6EFCE"/>
            <w:noWrap/>
          </w:tcPr>
          <w:p w14:paraId="3A2B6FB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nil"/>
              <w:bottom w:val="single" w:sz="4" w:space="0" w:color="auto"/>
              <w:right w:val="single" w:sz="4" w:space="0" w:color="auto"/>
            </w:tcBorders>
            <w:shd w:val="clear" w:color="auto" w:fill="C6EFCE"/>
            <w:noWrap/>
          </w:tcPr>
          <w:p w14:paraId="2F69665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Avatud teaduse ja innovatsiooni digiülemineku projekti lõpuleviimine: </w:t>
            </w:r>
          </w:p>
          <w:p w14:paraId="7989086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Piletite haldamise ja telemaatika süsteem, kus vähemalt 60 % reisijatest kasutab elektroonilisi pileteid;</w:t>
            </w:r>
          </w:p>
          <w:p w14:paraId="1914329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2. Arukate jaamade taristu;</w:t>
            </w:r>
          </w:p>
          <w:p w14:paraId="36E6406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3. Kliendikogemuse teenused;</w:t>
            </w:r>
          </w:p>
          <w:p w14:paraId="3A41459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4. Rongides ja jaamades kiire internetiühenduse telekommunikatsioonivõrgu rakendamine ja käitamine;</w:t>
            </w:r>
          </w:p>
          <w:p w14:paraId="7517CF6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5. OSE sõidukite telemaatikasüsteem</w:t>
            </w:r>
          </w:p>
          <w:p w14:paraId="2D7D886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Paigaldusteenused; ning</w:t>
            </w:r>
          </w:p>
          <w:p w14:paraId="43E792F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6. Koolitusteenused.</w:t>
            </w:r>
          </w:p>
        </w:tc>
      </w:tr>
      <w:tr w:rsidR="007B4D63" w:rsidRPr="003B132A" w14:paraId="7F9D61AE"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7587525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275</w:t>
            </w:r>
          </w:p>
        </w:tc>
        <w:tc>
          <w:tcPr>
            <w:tcW w:w="2239" w:type="dxa"/>
            <w:tcBorders>
              <w:top w:val="single" w:sz="4" w:space="0" w:color="auto"/>
              <w:left w:val="nil"/>
              <w:bottom w:val="single" w:sz="4" w:space="0" w:color="auto"/>
              <w:right w:val="single" w:sz="4" w:space="0" w:color="auto"/>
            </w:tcBorders>
            <w:shd w:val="clear" w:color="auto" w:fill="C6EFCE"/>
            <w:noWrap/>
          </w:tcPr>
          <w:p w14:paraId="636FE49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16960_Keskkonna- ja kultuurikeskne arukas taristu</w:t>
            </w:r>
          </w:p>
        </w:tc>
        <w:tc>
          <w:tcPr>
            <w:tcW w:w="1063" w:type="dxa"/>
            <w:tcBorders>
              <w:top w:val="single" w:sz="4" w:space="0" w:color="auto"/>
              <w:left w:val="nil"/>
              <w:bottom w:val="single" w:sz="4" w:space="0" w:color="auto"/>
              <w:right w:val="single" w:sz="4" w:space="0" w:color="auto"/>
            </w:tcBorders>
            <w:shd w:val="clear" w:color="auto" w:fill="C6EFCE"/>
            <w:noWrap/>
          </w:tcPr>
          <w:p w14:paraId="56A286F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3421B94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Aruka taristu projekti lõpuleviimine</w:t>
            </w:r>
          </w:p>
        </w:tc>
        <w:tc>
          <w:tcPr>
            <w:tcW w:w="2298" w:type="dxa"/>
            <w:tcBorders>
              <w:top w:val="single" w:sz="4" w:space="0" w:color="auto"/>
              <w:left w:val="nil"/>
              <w:bottom w:val="single" w:sz="4" w:space="0" w:color="auto"/>
              <w:right w:val="single" w:sz="4" w:space="0" w:color="auto"/>
            </w:tcBorders>
            <w:shd w:val="clear" w:color="auto" w:fill="C6EFCE"/>
            <w:noWrap/>
          </w:tcPr>
          <w:p w14:paraId="0CCEC8E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Lõpetatud projektid, mida toetab sõltumatu inseneri aruanne, mille on ratifitseerinud infrastruktuuriministeerium</w:t>
            </w:r>
          </w:p>
        </w:tc>
        <w:tc>
          <w:tcPr>
            <w:tcW w:w="977" w:type="dxa"/>
            <w:tcBorders>
              <w:top w:val="single" w:sz="4" w:space="0" w:color="auto"/>
              <w:left w:val="nil"/>
              <w:bottom w:val="single" w:sz="4" w:space="0" w:color="auto"/>
              <w:right w:val="single" w:sz="4" w:space="0" w:color="auto"/>
            </w:tcBorders>
            <w:shd w:val="clear" w:color="auto" w:fill="C6EFCE"/>
            <w:noWrap/>
          </w:tcPr>
          <w:p w14:paraId="73FEA23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0AA1A5F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7669D9E9"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55D9BB4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946" w:type="dxa"/>
            <w:tcBorders>
              <w:top w:val="single" w:sz="4" w:space="0" w:color="auto"/>
              <w:left w:val="nil"/>
              <w:bottom w:val="single" w:sz="4" w:space="0" w:color="auto"/>
              <w:right w:val="single" w:sz="4" w:space="0" w:color="auto"/>
            </w:tcBorders>
            <w:shd w:val="clear" w:color="auto" w:fill="C6EFCE"/>
            <w:noWrap/>
          </w:tcPr>
          <w:p w14:paraId="1CF2618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nil"/>
              <w:bottom w:val="single" w:sz="4" w:space="0" w:color="auto"/>
              <w:right w:val="single" w:sz="4" w:space="0" w:color="auto"/>
            </w:tcBorders>
            <w:shd w:val="clear" w:color="auto" w:fill="C6EFCE"/>
            <w:noWrap/>
          </w:tcPr>
          <w:p w14:paraId="1994E7A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Kõik lõpetatud allprojektid:</w:t>
            </w:r>
          </w:p>
          <w:p w14:paraId="00883A4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Teabesüsteem vooluveekogude piiritlemiseks, et aidata kaasa looduse ja bioloogilise mitmekesisuse kaitsele;</w:t>
            </w:r>
          </w:p>
          <w:p w14:paraId="052F8CC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„Digitaalne kinnisvarapank“ (Digital Bank for Building Plot Ration) tehinguteks;</w:t>
            </w:r>
          </w:p>
          <w:p w14:paraId="0C37AA5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Ühtne digitaalne kaart;</w:t>
            </w:r>
          </w:p>
          <w:p w14:paraId="4E8EDC5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Digitaalsete meetmete võtmine õhusaaste ja merereostuse mõõtmiseks ja seireks, et optimeerida keskkonnajalajälge ja digitaalset keskkonnajärelevalvet, et aidata parandada õhukvaliteeti; ning</w:t>
            </w:r>
          </w:p>
          <w:p w14:paraId="59A73B5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5. Arukas taristu ning interaktiivsete digitaalteenuste ja digitaalse infosisu tootmise arendamine, et edendada täiendatud ja virtuaalse tegelikkusega kultuuriüritusi muuseumide jaoks.</w:t>
            </w:r>
          </w:p>
        </w:tc>
      </w:tr>
      <w:tr w:rsidR="007B4D63" w:rsidRPr="003B132A" w14:paraId="20812AC3"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53B95CE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276</w:t>
            </w:r>
          </w:p>
        </w:tc>
        <w:tc>
          <w:tcPr>
            <w:tcW w:w="2239" w:type="dxa"/>
            <w:tcBorders>
              <w:top w:val="single" w:sz="4" w:space="0" w:color="auto"/>
              <w:left w:val="nil"/>
              <w:bottom w:val="single" w:sz="4" w:space="0" w:color="auto"/>
              <w:right w:val="single" w:sz="4" w:space="0" w:color="auto"/>
            </w:tcBorders>
            <w:shd w:val="clear" w:color="auto" w:fill="C6EFCE"/>
            <w:noWrap/>
          </w:tcPr>
          <w:p w14:paraId="092ECEB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vastupanuvõime ajakohastamine ja parandamine – 16937_Integreeritud programmijuhtimissüsteem infrastruktuuri- ja transpordiministeeriumi tehniliste tööde ja struktuurivahendite haldamiseks</w:t>
            </w:r>
          </w:p>
        </w:tc>
        <w:tc>
          <w:tcPr>
            <w:tcW w:w="1063" w:type="dxa"/>
            <w:tcBorders>
              <w:top w:val="single" w:sz="4" w:space="0" w:color="auto"/>
              <w:left w:val="nil"/>
              <w:bottom w:val="single" w:sz="4" w:space="0" w:color="auto"/>
              <w:right w:val="single" w:sz="4" w:space="0" w:color="auto"/>
            </w:tcBorders>
            <w:shd w:val="clear" w:color="auto" w:fill="C6EFCE"/>
            <w:noWrap/>
          </w:tcPr>
          <w:p w14:paraId="63BDC59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0251C35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Infrastruktuuriministeeriumi projektijuhtimise süsteemi (PMIS) lõpuleviimine</w:t>
            </w:r>
          </w:p>
        </w:tc>
        <w:tc>
          <w:tcPr>
            <w:tcW w:w="2298" w:type="dxa"/>
            <w:tcBorders>
              <w:top w:val="single" w:sz="4" w:space="0" w:color="auto"/>
              <w:left w:val="nil"/>
              <w:bottom w:val="single" w:sz="4" w:space="0" w:color="auto"/>
              <w:right w:val="single" w:sz="4" w:space="0" w:color="auto"/>
            </w:tcBorders>
            <w:shd w:val="clear" w:color="auto" w:fill="C6EFCE"/>
            <w:noWrap/>
          </w:tcPr>
          <w:p w14:paraId="15BEBA4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Infrastruktuuriministeeriumi lõpparuanne</w:t>
            </w:r>
          </w:p>
        </w:tc>
        <w:tc>
          <w:tcPr>
            <w:tcW w:w="977" w:type="dxa"/>
            <w:tcBorders>
              <w:top w:val="single" w:sz="4" w:space="0" w:color="auto"/>
              <w:left w:val="nil"/>
              <w:bottom w:val="single" w:sz="4" w:space="0" w:color="auto"/>
              <w:right w:val="single" w:sz="4" w:space="0" w:color="auto"/>
            </w:tcBorders>
            <w:shd w:val="clear" w:color="auto" w:fill="C6EFCE"/>
            <w:noWrap/>
          </w:tcPr>
          <w:p w14:paraId="50FC9341"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04A9F936"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07CA42DE"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7574059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946" w:type="dxa"/>
            <w:tcBorders>
              <w:top w:val="single" w:sz="4" w:space="0" w:color="auto"/>
              <w:left w:val="nil"/>
              <w:bottom w:val="single" w:sz="4" w:space="0" w:color="auto"/>
              <w:right w:val="single" w:sz="4" w:space="0" w:color="auto"/>
            </w:tcBorders>
            <w:shd w:val="clear" w:color="auto" w:fill="C6EFCE"/>
            <w:noWrap/>
          </w:tcPr>
          <w:p w14:paraId="7F07E5A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nil"/>
              <w:bottom w:val="single" w:sz="4" w:space="0" w:color="auto"/>
              <w:right w:val="single" w:sz="4" w:space="0" w:color="auto"/>
            </w:tcBorders>
            <w:shd w:val="clear" w:color="auto" w:fill="C6EFCE"/>
            <w:noWrap/>
          </w:tcPr>
          <w:p w14:paraId="6D02D3B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Infrastruktuuriministeeriumi jaoks moodsa PMIS-süsteemi (Portfolio Management Information System) pakkumine.</w:t>
            </w:r>
          </w:p>
        </w:tc>
      </w:tr>
      <w:tr w:rsidR="007B4D63" w:rsidRPr="003B132A" w14:paraId="2802CD26"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16524A7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277</w:t>
            </w:r>
          </w:p>
        </w:tc>
        <w:tc>
          <w:tcPr>
            <w:tcW w:w="2239" w:type="dxa"/>
            <w:tcBorders>
              <w:top w:val="single" w:sz="4" w:space="0" w:color="auto"/>
              <w:left w:val="single" w:sz="4" w:space="0" w:color="auto"/>
              <w:bottom w:val="single" w:sz="4" w:space="0" w:color="auto"/>
              <w:right w:val="single" w:sz="4" w:space="0" w:color="auto"/>
            </w:tcBorders>
            <w:shd w:val="clear" w:color="auto" w:fill="C6EFCE"/>
            <w:noWrap/>
          </w:tcPr>
          <w:p w14:paraId="6E007A7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16786_Infrastruktuuri- ja transpordiministeeriumi menetluste lihtsustamine;</w:t>
            </w:r>
          </w:p>
        </w:tc>
        <w:tc>
          <w:tcPr>
            <w:tcW w:w="1063" w:type="dxa"/>
            <w:tcBorders>
              <w:top w:val="single" w:sz="4" w:space="0" w:color="auto"/>
              <w:left w:val="single" w:sz="4" w:space="0" w:color="auto"/>
              <w:bottom w:val="single" w:sz="4" w:space="0" w:color="auto"/>
              <w:right w:val="single" w:sz="4" w:space="0" w:color="auto"/>
            </w:tcBorders>
            <w:shd w:val="clear" w:color="auto" w:fill="C6EFCE"/>
            <w:noWrap/>
          </w:tcPr>
          <w:p w14:paraId="23673E5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single" w:sz="4" w:space="0" w:color="auto"/>
              <w:bottom w:val="single" w:sz="4" w:space="0" w:color="auto"/>
              <w:right w:val="single" w:sz="4" w:space="0" w:color="auto"/>
            </w:tcBorders>
            <w:shd w:val="clear" w:color="auto" w:fill="C6EFCE"/>
            <w:noWrap/>
          </w:tcPr>
          <w:p w14:paraId="4AD0377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Menetluste lihtsustamine transpordiministeeriumi jaoks</w:t>
            </w:r>
          </w:p>
        </w:tc>
        <w:tc>
          <w:tcPr>
            <w:tcW w:w="2298" w:type="dxa"/>
            <w:tcBorders>
              <w:top w:val="single" w:sz="4" w:space="0" w:color="auto"/>
              <w:left w:val="single" w:sz="4" w:space="0" w:color="auto"/>
              <w:bottom w:val="single" w:sz="4" w:space="0" w:color="auto"/>
              <w:right w:val="single" w:sz="4" w:space="0" w:color="auto"/>
            </w:tcBorders>
            <w:shd w:val="clear" w:color="auto" w:fill="C6EFCE"/>
            <w:noWrap/>
          </w:tcPr>
          <w:p w14:paraId="30EDE87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Infrastruktuuriministeeriumi lõpparuanne</w:t>
            </w:r>
          </w:p>
        </w:tc>
        <w:tc>
          <w:tcPr>
            <w:tcW w:w="977" w:type="dxa"/>
            <w:tcBorders>
              <w:top w:val="single" w:sz="4" w:space="0" w:color="auto"/>
              <w:left w:val="single" w:sz="4" w:space="0" w:color="auto"/>
              <w:bottom w:val="single" w:sz="4" w:space="0" w:color="auto"/>
              <w:right w:val="single" w:sz="4" w:space="0" w:color="auto"/>
            </w:tcBorders>
            <w:shd w:val="clear" w:color="auto" w:fill="C6EFCE"/>
            <w:noWrap/>
          </w:tcPr>
          <w:p w14:paraId="31FB00B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single" w:sz="4" w:space="0" w:color="auto"/>
              <w:left w:val="single" w:sz="4" w:space="0" w:color="auto"/>
              <w:bottom w:val="single" w:sz="4" w:space="0" w:color="auto"/>
              <w:right w:val="single" w:sz="4" w:space="0" w:color="auto"/>
            </w:tcBorders>
            <w:shd w:val="clear" w:color="auto" w:fill="C6EFCE"/>
            <w:noWrap/>
          </w:tcPr>
          <w:p w14:paraId="0556E87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single" w:sz="4" w:space="0" w:color="auto"/>
              <w:bottom w:val="single" w:sz="4" w:space="0" w:color="auto"/>
              <w:right w:val="single" w:sz="4" w:space="0" w:color="auto"/>
            </w:tcBorders>
            <w:shd w:val="clear" w:color="auto" w:fill="C6EFCE"/>
            <w:noWrap/>
          </w:tcPr>
          <w:p w14:paraId="721FCB81"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48CF044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946" w:type="dxa"/>
            <w:tcBorders>
              <w:top w:val="single" w:sz="4" w:space="0" w:color="auto"/>
              <w:left w:val="single" w:sz="4" w:space="0" w:color="auto"/>
              <w:bottom w:val="single" w:sz="4" w:space="0" w:color="auto"/>
              <w:right w:val="single" w:sz="4" w:space="0" w:color="auto"/>
            </w:tcBorders>
            <w:shd w:val="clear" w:color="auto" w:fill="C6EFCE"/>
            <w:noWrap/>
          </w:tcPr>
          <w:p w14:paraId="48E31D2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single" w:sz="4" w:space="0" w:color="auto"/>
              <w:bottom w:val="single" w:sz="4" w:space="0" w:color="auto"/>
              <w:right w:val="single" w:sz="4" w:space="0" w:color="auto"/>
            </w:tcBorders>
            <w:shd w:val="clear" w:color="auto" w:fill="C6EFCE"/>
            <w:noWrap/>
          </w:tcPr>
          <w:p w14:paraId="4BE1944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Digiüleminekut ja menetluste lihtsustamist rakendava uue tegevusmudeli jõustumine.</w:t>
            </w:r>
          </w:p>
        </w:tc>
      </w:tr>
      <w:tr w:rsidR="00356CBA" w:rsidRPr="003B132A" w14:paraId="6AF6CE6B"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0E8504B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349</w:t>
            </w:r>
          </w:p>
          <w:p w14:paraId="2012DF7C" w14:textId="77777777" w:rsidR="00356CBA" w:rsidRPr="00E02B5D" w:rsidRDefault="00356CBA">
            <w:pPr>
              <w:spacing w:after="0" w:line="240" w:lineRule="auto"/>
              <w:rPr>
                <w:rFonts w:eastAsia="Times New Roman" w:cs="Calibri"/>
                <w:noProof/>
                <w:color w:val="006100"/>
                <w:sz w:val="18"/>
                <w:szCs w:val="18"/>
                <w:lang w:val="en-GB" w:eastAsia="en-GB"/>
              </w:rPr>
            </w:pPr>
          </w:p>
          <w:p w14:paraId="0F146D52"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2239" w:type="dxa"/>
            <w:tcBorders>
              <w:top w:val="single" w:sz="4" w:space="0" w:color="auto"/>
              <w:left w:val="nil"/>
              <w:bottom w:val="single" w:sz="4" w:space="0" w:color="auto"/>
              <w:right w:val="single" w:sz="4" w:space="0" w:color="auto"/>
            </w:tcBorders>
            <w:shd w:val="clear" w:color="auto" w:fill="C6EFCE"/>
            <w:noWrap/>
          </w:tcPr>
          <w:p w14:paraId="1DB28B0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4.6. Peamiste majandussektorite ajakohastamine ja vastupanuvõime parandamine – 16999_Juurdepääsetavuse taastamine pärast tormi „DANIEL“ laastavat mõju  </w:t>
            </w:r>
          </w:p>
          <w:p w14:paraId="658C53C6" w14:textId="77777777" w:rsidR="00356CBA" w:rsidRPr="00E02B5D" w:rsidRDefault="00356CBA">
            <w:pPr>
              <w:spacing w:after="0" w:line="240" w:lineRule="auto"/>
              <w:rPr>
                <w:rFonts w:eastAsia="Times New Roman" w:cs="Calibri"/>
                <w:noProof/>
                <w:color w:val="006100"/>
                <w:sz w:val="18"/>
                <w:szCs w:val="18"/>
                <w:lang w:val="en-GB" w:eastAsia="en-GB"/>
              </w:rPr>
            </w:pPr>
          </w:p>
          <w:p w14:paraId="5376B0AA"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063" w:type="dxa"/>
            <w:tcBorders>
              <w:top w:val="single" w:sz="4" w:space="0" w:color="auto"/>
              <w:left w:val="nil"/>
              <w:bottom w:val="single" w:sz="4" w:space="0" w:color="auto"/>
              <w:right w:val="single" w:sz="4" w:space="0" w:color="auto"/>
            </w:tcBorders>
            <w:shd w:val="clear" w:color="auto" w:fill="C6EFCE"/>
            <w:noWrap/>
          </w:tcPr>
          <w:p w14:paraId="0B644C8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noWrap/>
          </w:tcPr>
          <w:p w14:paraId="21D826D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Lõpule viidud teede taastamise projektid</w:t>
            </w:r>
          </w:p>
          <w:p w14:paraId="7C57CDFD" w14:textId="77777777" w:rsidR="00356CBA" w:rsidRPr="00E02B5D" w:rsidRDefault="00356CBA">
            <w:pPr>
              <w:spacing w:after="0" w:line="240" w:lineRule="auto"/>
              <w:rPr>
                <w:rFonts w:eastAsia="Times New Roman" w:cs="Calibri"/>
                <w:noProof/>
                <w:color w:val="006100"/>
                <w:sz w:val="18"/>
                <w:szCs w:val="18"/>
                <w:lang w:val="en-GB" w:eastAsia="en-GB"/>
              </w:rPr>
            </w:pPr>
          </w:p>
          <w:p w14:paraId="4F865DB8"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2298" w:type="dxa"/>
            <w:tcBorders>
              <w:top w:val="single" w:sz="4" w:space="0" w:color="auto"/>
              <w:left w:val="nil"/>
              <w:bottom w:val="single" w:sz="4" w:space="0" w:color="auto"/>
              <w:right w:val="single" w:sz="4" w:space="0" w:color="auto"/>
            </w:tcBorders>
            <w:shd w:val="clear" w:color="auto" w:fill="C6EFCE"/>
            <w:noWrap/>
          </w:tcPr>
          <w:p w14:paraId="70C62A9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Infrastruktuuri- ja transpordiministeeriumi poolt ratifitseeritud sõltumatu inseneri koostatud lõpparuanne. </w:t>
            </w:r>
          </w:p>
          <w:p w14:paraId="7D5CDF62" w14:textId="77777777" w:rsidR="00356CBA" w:rsidRPr="00E02B5D" w:rsidRDefault="00356CBA">
            <w:pPr>
              <w:spacing w:after="0" w:line="240" w:lineRule="auto"/>
              <w:rPr>
                <w:rFonts w:eastAsia="Times New Roman" w:cs="Calibri"/>
                <w:noProof/>
                <w:color w:val="006100"/>
                <w:sz w:val="18"/>
                <w:szCs w:val="18"/>
                <w:lang w:val="en-GB" w:eastAsia="en-GB"/>
              </w:rPr>
            </w:pPr>
          </w:p>
          <w:p w14:paraId="6EF2AE9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7" w:type="dxa"/>
            <w:tcBorders>
              <w:top w:val="single" w:sz="4" w:space="0" w:color="auto"/>
              <w:left w:val="nil"/>
              <w:bottom w:val="single" w:sz="4" w:space="0" w:color="auto"/>
              <w:right w:val="single" w:sz="4" w:space="0" w:color="auto"/>
            </w:tcBorders>
            <w:shd w:val="clear" w:color="auto" w:fill="C6EFCE"/>
            <w:noWrap/>
          </w:tcPr>
          <w:p w14:paraId="6F2161D3"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3" w:type="dxa"/>
            <w:tcBorders>
              <w:top w:val="single" w:sz="4" w:space="0" w:color="auto"/>
              <w:left w:val="nil"/>
              <w:bottom w:val="single" w:sz="4" w:space="0" w:color="auto"/>
              <w:right w:val="single" w:sz="4" w:space="0" w:color="auto"/>
            </w:tcBorders>
            <w:shd w:val="clear" w:color="auto" w:fill="C6EFCE"/>
            <w:noWrap/>
          </w:tcPr>
          <w:p w14:paraId="6EB2BCA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59FD681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698FA84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946" w:type="dxa"/>
            <w:tcBorders>
              <w:top w:val="single" w:sz="4" w:space="0" w:color="auto"/>
              <w:left w:val="nil"/>
              <w:bottom w:val="single" w:sz="4" w:space="0" w:color="auto"/>
              <w:right w:val="single" w:sz="4" w:space="0" w:color="auto"/>
            </w:tcBorders>
            <w:shd w:val="clear" w:color="auto" w:fill="C6EFCE"/>
            <w:noWrap/>
          </w:tcPr>
          <w:p w14:paraId="4736944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nil"/>
              <w:bottom w:val="single" w:sz="4" w:space="0" w:color="auto"/>
              <w:right w:val="single" w:sz="4" w:space="0" w:color="auto"/>
            </w:tcBorders>
            <w:shd w:val="clear" w:color="auto" w:fill="C6EFCE"/>
            <w:noWrap/>
          </w:tcPr>
          <w:p w14:paraId="13E3AA1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Kõigi teedevõrgu taastamise ja vastupidavuse projektide lõpuleviimine tormist „DANIEL“ mõjutatud piirkondades. </w:t>
            </w:r>
          </w:p>
          <w:p w14:paraId="2000C13F" w14:textId="77777777" w:rsidR="00356CBA" w:rsidRPr="00AD4052" w:rsidRDefault="00356CBA">
            <w:pPr>
              <w:spacing w:after="0" w:line="240" w:lineRule="auto"/>
              <w:rPr>
                <w:rFonts w:eastAsia="Times New Roman" w:cs="Calibri"/>
                <w:noProof/>
                <w:color w:val="006100"/>
                <w:sz w:val="18"/>
                <w:szCs w:val="18"/>
                <w:lang w:eastAsia="en-GB"/>
              </w:rPr>
            </w:pPr>
          </w:p>
          <w:p w14:paraId="58024AA7" w14:textId="77777777" w:rsidR="00356CBA" w:rsidRPr="00AD4052" w:rsidRDefault="00356CBA">
            <w:pPr>
              <w:spacing w:after="0" w:line="240" w:lineRule="auto"/>
              <w:rPr>
                <w:rFonts w:eastAsia="Times New Roman" w:cs="Calibri"/>
                <w:noProof/>
                <w:color w:val="006100"/>
                <w:sz w:val="18"/>
                <w:szCs w:val="18"/>
                <w:lang w:eastAsia="en-GB"/>
              </w:rPr>
            </w:pPr>
          </w:p>
        </w:tc>
      </w:tr>
      <w:tr w:rsidR="00356CBA" w:rsidRPr="003B132A" w14:paraId="22B9A193" w14:textId="77777777" w:rsidTr="005D5392">
        <w:trPr>
          <w:trHeight w:val="313"/>
          <w:jc w:val="center"/>
        </w:trPr>
        <w:tc>
          <w:tcPr>
            <w:tcW w:w="850" w:type="dxa"/>
            <w:tcBorders>
              <w:top w:val="single" w:sz="4" w:space="0" w:color="auto"/>
              <w:left w:val="single" w:sz="4" w:space="0" w:color="auto"/>
              <w:bottom w:val="single" w:sz="4" w:space="0" w:color="auto"/>
              <w:right w:val="single" w:sz="4" w:space="0" w:color="auto"/>
            </w:tcBorders>
            <w:shd w:val="clear" w:color="auto" w:fill="C6EFCE"/>
          </w:tcPr>
          <w:p w14:paraId="1959D257"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350</w:t>
            </w:r>
          </w:p>
          <w:p w14:paraId="25E703A3"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2239" w:type="dxa"/>
            <w:tcBorders>
              <w:top w:val="single" w:sz="4" w:space="0" w:color="auto"/>
              <w:left w:val="nil"/>
              <w:bottom w:val="single" w:sz="4" w:space="0" w:color="auto"/>
              <w:right w:val="single" w:sz="4" w:space="0" w:color="auto"/>
            </w:tcBorders>
            <w:shd w:val="clear" w:color="auto" w:fill="C6EFCE"/>
          </w:tcPr>
          <w:p w14:paraId="2A83484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 - 4,6. Peamiste majandussektorite ajakohastamine ja vastupanuvõime parandamine – 16999_Juurdepääsetavuse taastamine pärast tormi „DANIEL“ laastavat mõju  </w:t>
            </w:r>
          </w:p>
          <w:p w14:paraId="09779665"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1063" w:type="dxa"/>
            <w:tcBorders>
              <w:top w:val="single" w:sz="4" w:space="0" w:color="auto"/>
              <w:left w:val="nil"/>
              <w:bottom w:val="single" w:sz="4" w:space="0" w:color="auto"/>
              <w:right w:val="single" w:sz="4" w:space="0" w:color="auto"/>
            </w:tcBorders>
            <w:shd w:val="clear" w:color="auto" w:fill="C6EFCE"/>
          </w:tcPr>
          <w:p w14:paraId="4BD15DA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Eesmärk</w:t>
            </w:r>
          </w:p>
        </w:tc>
        <w:tc>
          <w:tcPr>
            <w:tcW w:w="2298" w:type="dxa"/>
            <w:tcBorders>
              <w:top w:val="single" w:sz="4" w:space="0" w:color="auto"/>
              <w:left w:val="nil"/>
              <w:bottom w:val="single" w:sz="4" w:space="0" w:color="auto"/>
              <w:right w:val="single" w:sz="4" w:space="0" w:color="auto"/>
            </w:tcBorders>
            <w:shd w:val="clear" w:color="auto" w:fill="C6EFCE"/>
          </w:tcPr>
          <w:p w14:paraId="3A03D6D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Lõpule viidud raudtee taastamise projektid</w:t>
            </w:r>
          </w:p>
          <w:p w14:paraId="4056E9C0"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2298" w:type="dxa"/>
            <w:tcBorders>
              <w:top w:val="single" w:sz="4" w:space="0" w:color="auto"/>
              <w:left w:val="nil"/>
              <w:bottom w:val="single" w:sz="4" w:space="0" w:color="auto"/>
              <w:right w:val="single" w:sz="4" w:space="0" w:color="auto"/>
            </w:tcBorders>
            <w:shd w:val="clear" w:color="auto" w:fill="C6EFCE"/>
          </w:tcPr>
          <w:p w14:paraId="61524231"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Infrastruktuuri- ja transpordiministeeriumi poolt ratifitseeritud sõltumatu inseneri koostatud lõpparuanne. </w:t>
            </w:r>
          </w:p>
          <w:p w14:paraId="2BC22AAB" w14:textId="77777777" w:rsidR="00356CBA" w:rsidRPr="00E02B5D" w:rsidRDefault="00356CBA" w:rsidP="00D16F13">
            <w:pPr>
              <w:spacing w:after="0" w:line="240" w:lineRule="auto"/>
              <w:rPr>
                <w:rFonts w:eastAsia="Times New Roman" w:cs="Calibri"/>
                <w:noProof/>
                <w:color w:val="006100"/>
                <w:sz w:val="18"/>
                <w:szCs w:val="18"/>
                <w:lang w:val="en-GB" w:eastAsia="en-GB"/>
              </w:rPr>
            </w:pPr>
          </w:p>
          <w:p w14:paraId="52EBA5EE"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977" w:type="dxa"/>
            <w:tcBorders>
              <w:top w:val="single" w:sz="4" w:space="0" w:color="auto"/>
              <w:left w:val="nil"/>
              <w:bottom w:val="single" w:sz="4" w:space="0" w:color="auto"/>
              <w:right w:val="single" w:sz="4" w:space="0" w:color="auto"/>
            </w:tcBorders>
            <w:shd w:val="clear" w:color="auto" w:fill="C6EFCE"/>
          </w:tcPr>
          <w:p w14:paraId="35498410"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973" w:type="dxa"/>
            <w:tcBorders>
              <w:top w:val="single" w:sz="4" w:space="0" w:color="auto"/>
              <w:left w:val="nil"/>
              <w:bottom w:val="single" w:sz="4" w:space="0" w:color="auto"/>
              <w:right w:val="single" w:sz="4" w:space="0" w:color="auto"/>
            </w:tcBorders>
            <w:shd w:val="clear" w:color="auto" w:fill="C6EFCE"/>
          </w:tcPr>
          <w:p w14:paraId="605C232A"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tcPr>
          <w:p w14:paraId="49BDFBCB"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tcPr>
          <w:p w14:paraId="1871660D"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946" w:type="dxa"/>
            <w:tcBorders>
              <w:top w:val="single" w:sz="4" w:space="0" w:color="auto"/>
              <w:left w:val="nil"/>
              <w:bottom w:val="single" w:sz="4" w:space="0" w:color="auto"/>
              <w:right w:val="single" w:sz="4" w:space="0" w:color="auto"/>
            </w:tcBorders>
            <w:shd w:val="clear" w:color="auto" w:fill="C6EFCE"/>
          </w:tcPr>
          <w:p w14:paraId="5164C941"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2025</w:t>
            </w:r>
          </w:p>
        </w:tc>
        <w:tc>
          <w:tcPr>
            <w:tcW w:w="2617" w:type="dxa"/>
            <w:tcBorders>
              <w:top w:val="single" w:sz="4" w:space="0" w:color="auto"/>
              <w:left w:val="nil"/>
              <w:bottom w:val="single" w:sz="4" w:space="0" w:color="auto"/>
              <w:right w:val="single" w:sz="4" w:space="0" w:color="auto"/>
            </w:tcBorders>
            <w:shd w:val="clear" w:color="auto" w:fill="C6EFCE"/>
          </w:tcPr>
          <w:p w14:paraId="228995DC"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 xml:space="preserve">Kõigi raudteevõrgu taastamise ja vastupidavuse projektide lõpuleviimine tormist „DANIEL“ mõjutatud piirkondades. </w:t>
            </w:r>
          </w:p>
          <w:p w14:paraId="1346EB32" w14:textId="77777777" w:rsidR="00356CBA" w:rsidRPr="00AD4052" w:rsidRDefault="00356CBA" w:rsidP="00D16F13">
            <w:pPr>
              <w:spacing w:after="0" w:line="240" w:lineRule="auto"/>
              <w:rPr>
                <w:rFonts w:eastAsia="Times New Roman" w:cs="Calibri"/>
                <w:noProof/>
                <w:color w:val="006100"/>
                <w:sz w:val="18"/>
                <w:szCs w:val="18"/>
                <w:lang w:eastAsia="en-GB"/>
              </w:rPr>
            </w:pPr>
          </w:p>
        </w:tc>
      </w:tr>
    </w:tbl>
    <w:p w14:paraId="46785806" w14:textId="77777777" w:rsidR="00356CBA" w:rsidRPr="00AD4052" w:rsidRDefault="00356CBA" w:rsidP="00D16F13">
      <w:pPr>
        <w:spacing w:before="120" w:after="0" w:line="240" w:lineRule="auto"/>
        <w:jc w:val="both"/>
        <w:rPr>
          <w:rFonts w:ascii="Times New Roman" w:hAnsi="Times New Roman" w:cs="Times New Roman"/>
          <w:noProof/>
          <w:sz w:val="24"/>
          <w:szCs w:val="24"/>
        </w:rPr>
      </w:pPr>
    </w:p>
    <w:p w14:paraId="11D5ACEF"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25: Kultuur</w:t>
      </w:r>
    </w:p>
    <w:p w14:paraId="4D57FCA1"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Tööreform kultuurisektoris (ID: 16715)</w:t>
      </w:r>
    </w:p>
    <w:p w14:paraId="438381FB"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Kultuur kui majanduskasvu liikumapanev jõud (ID: 16293)</w:t>
      </w:r>
    </w:p>
    <w:p w14:paraId="271E5DB1"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Veealuste antiikesemete muuseum (ID: 16486)</w:t>
      </w:r>
    </w:p>
    <w:p w14:paraId="52FD0B2B"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Retseptide väljakirjutamise kunstide kasutamine, sotsiaalse ühtekuuluvuse edendamine ja hõbedase majanduse ärakasutamine (ID: 16735)</w:t>
      </w:r>
    </w:p>
    <w:p w14:paraId="50A24F7B"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Infrastruktuuri ajakohastamine, seadmete uuendamine ja HOCREDi pakutavate teenuste kvaliteedi parandamine (ID: 16536)</w:t>
      </w:r>
    </w:p>
    <w:p w14:paraId="7DCFF9DF"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Kultuurimälestiste ja arheoloogiliste mälestiste kaitsmine kliimamuutuste eest (2. rühm) (ID: 16433)</w:t>
      </w:r>
    </w:p>
    <w:p w14:paraId="2EB1D833"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Kõrghariduse täiustamine (ID: 16725)</w:t>
      </w:r>
    </w:p>
    <w:p w14:paraId="77BFDD7D"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Kultuurirajad sümboolsetes arheoloogilistes paikades ja mälestistes (ID: 16485)</w:t>
      </w:r>
    </w:p>
    <w:p w14:paraId="16A0F0C2"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Taastamine – Akropolise mälestiste kaitse – tõhustamine (ID: 16435)</w:t>
      </w:r>
    </w:p>
    <w:p w14:paraId="37410F21" w14:textId="77777777" w:rsidR="00356CBA" w:rsidRPr="00E02B5D" w:rsidRDefault="00356CBA" w:rsidP="00645BC7">
      <w:pPr>
        <w:spacing w:before="120" w:after="0" w:line="240" w:lineRule="auto"/>
        <w:jc w:val="both"/>
        <w:rPr>
          <w:rFonts w:ascii="Times New Roman" w:hAnsi="Times New Roman" w:cs="Times New Roman"/>
          <w:noProof/>
          <w:sz w:val="24"/>
          <w:lang w:val="en-GB"/>
        </w:rPr>
      </w:pPr>
    </w:p>
    <w:tbl>
      <w:tblPr>
        <w:tblW w:w="16297" w:type="dxa"/>
        <w:jc w:val="center"/>
        <w:tblLook w:val="04A0" w:firstRow="1" w:lastRow="0" w:firstColumn="1" w:lastColumn="0" w:noHBand="0" w:noVBand="1"/>
      </w:tblPr>
      <w:tblGrid>
        <w:gridCol w:w="1116"/>
        <w:gridCol w:w="2098"/>
        <w:gridCol w:w="1008"/>
        <w:gridCol w:w="1616"/>
        <w:gridCol w:w="2257"/>
        <w:gridCol w:w="1397"/>
        <w:gridCol w:w="1058"/>
        <w:gridCol w:w="992"/>
        <w:gridCol w:w="1134"/>
        <w:gridCol w:w="851"/>
        <w:gridCol w:w="2770"/>
      </w:tblGrid>
      <w:tr w:rsidR="006E0EA2" w:rsidRPr="003B132A" w14:paraId="27D7AC8F" w14:textId="77777777" w:rsidTr="005D5392">
        <w:trPr>
          <w:trHeight w:val="615"/>
          <w:tblHeade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EE37DC" w14:textId="240098D0"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Järjekorra</w:t>
            </w:r>
            <w:r w:rsidR="005D5392">
              <w:rPr>
                <w:rFonts w:ascii="Times New Roman" w:hAnsi="Times New Roman"/>
                <w:b/>
                <w:noProof/>
                <w:sz w:val="18"/>
              </w:rPr>
              <w:t>-</w:t>
            </w:r>
            <w:r>
              <w:rPr>
                <w:rFonts w:ascii="Times New Roman" w:hAnsi="Times New Roman"/>
                <w:b/>
                <w:noProof/>
                <w:sz w:val="18"/>
              </w:rPr>
              <w:t>number</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E1C8B7"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Seotud meede (reform või investeering)</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DDED7F"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 / siht</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ECF2E3"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Nimi</w:t>
            </w:r>
          </w:p>
        </w:tc>
        <w:tc>
          <w:tcPr>
            <w:tcW w:w="225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F2EA875"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Kvalitatiivsed näitajad (eesmärkide puhul)</w:t>
            </w:r>
          </w:p>
        </w:tc>
        <w:tc>
          <w:tcPr>
            <w:tcW w:w="344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C0180F9"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Kvantitatiivsed näitajad (sihtide puhul)</w:t>
            </w:r>
          </w:p>
        </w:tc>
        <w:tc>
          <w:tcPr>
            <w:tcW w:w="1985" w:type="dxa"/>
            <w:gridSpan w:val="2"/>
            <w:tcBorders>
              <w:top w:val="single" w:sz="4" w:space="0" w:color="auto"/>
              <w:left w:val="nil"/>
              <w:bottom w:val="single" w:sz="4" w:space="0" w:color="auto"/>
              <w:right w:val="single" w:sz="4" w:space="0" w:color="auto"/>
            </w:tcBorders>
            <w:shd w:val="clear" w:color="auto" w:fill="BDD7EE"/>
            <w:vAlign w:val="center"/>
            <w:hideMark/>
          </w:tcPr>
          <w:p w14:paraId="00BD9C97"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Lõpuleviimise soovituslik ajakava </w:t>
            </w:r>
          </w:p>
        </w:tc>
        <w:tc>
          <w:tcPr>
            <w:tcW w:w="277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2CEEF4"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Iga eesmärgi ja sihi kirjeldus</w:t>
            </w:r>
          </w:p>
        </w:tc>
      </w:tr>
      <w:tr w:rsidR="006E0EA2" w:rsidRPr="00E02B5D" w14:paraId="2CB459D7" w14:textId="77777777" w:rsidTr="005D5392">
        <w:trPr>
          <w:trHeight w:val="516"/>
          <w:tblHeader/>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1803A57A"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EF0045C"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8E4271C"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14:paraId="23BD2BB3"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2B42334B"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39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5B67FBE"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105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54F580A"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Lähtetase </w:t>
            </w: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FF1646E"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Eesmärk </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AA69FE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5518037"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2770" w:type="dxa"/>
            <w:vMerge/>
            <w:tcBorders>
              <w:top w:val="single" w:sz="4" w:space="0" w:color="auto"/>
              <w:left w:val="single" w:sz="4" w:space="0" w:color="auto"/>
              <w:bottom w:val="single" w:sz="4" w:space="0" w:color="auto"/>
              <w:right w:val="single" w:sz="4" w:space="0" w:color="auto"/>
            </w:tcBorders>
            <w:vAlign w:val="center"/>
            <w:hideMark/>
          </w:tcPr>
          <w:p w14:paraId="62B09E43"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6E0EA2" w:rsidRPr="003B132A" w14:paraId="199CE1B8"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DE75D5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278</w:t>
            </w:r>
          </w:p>
        </w:tc>
        <w:tc>
          <w:tcPr>
            <w:tcW w:w="2098" w:type="dxa"/>
            <w:tcBorders>
              <w:top w:val="single" w:sz="4" w:space="0" w:color="auto"/>
              <w:left w:val="nil"/>
              <w:bottom w:val="single" w:sz="4" w:space="0" w:color="auto"/>
              <w:right w:val="single" w:sz="4" w:space="0" w:color="auto"/>
            </w:tcBorders>
            <w:shd w:val="clear" w:color="auto" w:fill="C6EFCE"/>
            <w:noWrap/>
          </w:tcPr>
          <w:p w14:paraId="4FF5342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16715_Tööreform kultuurisektoris</w:t>
            </w:r>
          </w:p>
        </w:tc>
        <w:tc>
          <w:tcPr>
            <w:tcW w:w="1008" w:type="dxa"/>
            <w:tcBorders>
              <w:top w:val="single" w:sz="4" w:space="0" w:color="auto"/>
              <w:left w:val="nil"/>
              <w:bottom w:val="single" w:sz="4" w:space="0" w:color="auto"/>
              <w:right w:val="single" w:sz="4" w:space="0" w:color="auto"/>
            </w:tcBorders>
            <w:shd w:val="clear" w:color="auto" w:fill="C6EFCE"/>
            <w:noWrap/>
          </w:tcPr>
          <w:p w14:paraId="0CDE18E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616" w:type="dxa"/>
            <w:tcBorders>
              <w:top w:val="single" w:sz="4" w:space="0" w:color="auto"/>
              <w:left w:val="nil"/>
              <w:bottom w:val="single" w:sz="4" w:space="0" w:color="auto"/>
              <w:right w:val="single" w:sz="4" w:space="0" w:color="auto"/>
            </w:tcBorders>
            <w:shd w:val="clear" w:color="auto" w:fill="C6EFCE"/>
            <w:noWrap/>
          </w:tcPr>
          <w:p w14:paraId="3F6D345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Kultuurisektori tööjõureformi käsitlevad õigusaktid</w:t>
            </w:r>
          </w:p>
        </w:tc>
        <w:tc>
          <w:tcPr>
            <w:tcW w:w="2257" w:type="dxa"/>
            <w:tcBorders>
              <w:top w:val="single" w:sz="4" w:space="0" w:color="auto"/>
              <w:left w:val="nil"/>
              <w:bottom w:val="single" w:sz="4" w:space="0" w:color="auto"/>
              <w:right w:val="single" w:sz="4" w:space="0" w:color="auto"/>
            </w:tcBorders>
            <w:shd w:val="clear" w:color="auto" w:fill="C6EFCE"/>
            <w:noWrap/>
          </w:tcPr>
          <w:p w14:paraId="5B7F090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Õigusaktide ja teiseste õigusaktide jõustumine ning „loome- või kultuuritöötaja“ olukorra usaldusväärse hindamise süsteemi loomine</w:t>
            </w:r>
          </w:p>
        </w:tc>
        <w:tc>
          <w:tcPr>
            <w:tcW w:w="1397" w:type="dxa"/>
            <w:tcBorders>
              <w:top w:val="single" w:sz="4" w:space="0" w:color="auto"/>
              <w:left w:val="nil"/>
              <w:bottom w:val="single" w:sz="4" w:space="0" w:color="auto"/>
              <w:right w:val="single" w:sz="4" w:space="0" w:color="auto"/>
            </w:tcBorders>
            <w:shd w:val="clear" w:color="auto" w:fill="C6EFCE"/>
            <w:noWrap/>
          </w:tcPr>
          <w:p w14:paraId="338A8705" w14:textId="77777777" w:rsidR="00356CBA" w:rsidRPr="00AD4052" w:rsidRDefault="00356CBA">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14:paraId="646AA21B"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69D9D719" w14:textId="77777777" w:rsidR="00356CBA" w:rsidRPr="00AD4052" w:rsidRDefault="00356CBA">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651DCC7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851" w:type="dxa"/>
            <w:tcBorders>
              <w:top w:val="single" w:sz="4" w:space="0" w:color="auto"/>
              <w:left w:val="nil"/>
              <w:bottom w:val="single" w:sz="4" w:space="0" w:color="auto"/>
              <w:right w:val="single" w:sz="4" w:space="0" w:color="auto"/>
            </w:tcBorders>
            <w:shd w:val="clear" w:color="auto" w:fill="C6EFCE"/>
            <w:noWrap/>
          </w:tcPr>
          <w:p w14:paraId="433B0BF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2770" w:type="dxa"/>
            <w:tcBorders>
              <w:top w:val="single" w:sz="4" w:space="0" w:color="auto"/>
              <w:left w:val="nil"/>
              <w:bottom w:val="single" w:sz="4" w:space="0" w:color="auto"/>
              <w:right w:val="single" w:sz="4" w:space="0" w:color="auto"/>
            </w:tcBorders>
            <w:shd w:val="clear" w:color="auto" w:fill="C6EFCE"/>
            <w:noWrap/>
          </w:tcPr>
          <w:p w14:paraId="4B47B94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Kultuurisektori tööreformi käsitlevate õigusaktide jõustumine, sealhulgas „loome- või kultuuritöötajate“ staatuse määratlemine ning proportsionaalsed maksu- ja sotsiaalkindlustusstiimulid.</w:t>
            </w:r>
          </w:p>
        </w:tc>
      </w:tr>
      <w:tr w:rsidR="006E0EA2" w:rsidRPr="003B132A" w14:paraId="3585EB1E" w14:textId="77777777" w:rsidTr="005D5392">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328C176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279</w:t>
            </w:r>
          </w:p>
        </w:tc>
        <w:tc>
          <w:tcPr>
            <w:tcW w:w="2098" w:type="dxa"/>
            <w:tcBorders>
              <w:top w:val="nil"/>
              <w:left w:val="nil"/>
              <w:bottom w:val="single" w:sz="4" w:space="0" w:color="auto"/>
              <w:right w:val="single" w:sz="4" w:space="0" w:color="auto"/>
            </w:tcBorders>
            <w:shd w:val="clear" w:color="auto" w:fill="C6EFCE"/>
            <w:noWrap/>
          </w:tcPr>
          <w:p w14:paraId="436A8FC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16486_Veealuste antiikesemete muuseum</w:t>
            </w:r>
          </w:p>
        </w:tc>
        <w:tc>
          <w:tcPr>
            <w:tcW w:w="1008" w:type="dxa"/>
            <w:tcBorders>
              <w:top w:val="nil"/>
              <w:left w:val="nil"/>
              <w:bottom w:val="single" w:sz="4" w:space="0" w:color="auto"/>
              <w:right w:val="single" w:sz="4" w:space="0" w:color="auto"/>
            </w:tcBorders>
            <w:shd w:val="clear" w:color="auto" w:fill="C6EFCE"/>
            <w:noWrap/>
          </w:tcPr>
          <w:p w14:paraId="6A1B8CF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616" w:type="dxa"/>
            <w:tcBorders>
              <w:top w:val="nil"/>
              <w:left w:val="nil"/>
              <w:bottom w:val="single" w:sz="4" w:space="0" w:color="auto"/>
              <w:right w:val="single" w:sz="4" w:space="0" w:color="auto"/>
            </w:tcBorders>
            <w:shd w:val="clear" w:color="auto" w:fill="C6EFCE"/>
            <w:noWrap/>
          </w:tcPr>
          <w:p w14:paraId="3DFB528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Veealuse antiikeseme muuseumi hankelepingu sõlmimine</w:t>
            </w:r>
          </w:p>
        </w:tc>
        <w:tc>
          <w:tcPr>
            <w:tcW w:w="2257" w:type="dxa"/>
            <w:tcBorders>
              <w:top w:val="nil"/>
              <w:left w:val="nil"/>
              <w:bottom w:val="single" w:sz="4" w:space="0" w:color="auto"/>
              <w:right w:val="single" w:sz="4" w:space="0" w:color="auto"/>
            </w:tcBorders>
            <w:shd w:val="clear" w:color="auto" w:fill="C6EFCE"/>
            <w:noWrap/>
          </w:tcPr>
          <w:p w14:paraId="6D9A7988" w14:textId="13459F19" w:rsidR="00356CBA" w:rsidRPr="00E02B5D" w:rsidRDefault="30A4CC0A">
            <w:pPr>
              <w:spacing w:after="0" w:line="240" w:lineRule="auto"/>
              <w:rPr>
                <w:rFonts w:eastAsia="Times New Roman" w:cs="Calibri"/>
                <w:noProof/>
                <w:color w:val="006100"/>
                <w:sz w:val="18"/>
                <w:szCs w:val="18"/>
              </w:rPr>
            </w:pPr>
            <w:r>
              <w:rPr>
                <w:noProof/>
                <w:color w:val="006100"/>
                <w:sz w:val="18"/>
              </w:rPr>
              <w:t>Teade veealuste antiikesemete muuseumi lepingu sõlmimise ja veealuste antiikesemete muuseumi tööde tehnilise kirjelduse kohta</w:t>
            </w:r>
          </w:p>
        </w:tc>
        <w:tc>
          <w:tcPr>
            <w:tcW w:w="1397" w:type="dxa"/>
            <w:tcBorders>
              <w:top w:val="nil"/>
              <w:left w:val="nil"/>
              <w:bottom w:val="single" w:sz="4" w:space="0" w:color="auto"/>
              <w:right w:val="single" w:sz="4" w:space="0" w:color="auto"/>
            </w:tcBorders>
            <w:shd w:val="clear" w:color="auto" w:fill="C6EFCE"/>
            <w:noWrap/>
          </w:tcPr>
          <w:p w14:paraId="5A354AD8" w14:textId="77777777" w:rsidR="00356CBA" w:rsidRPr="00AD4052" w:rsidRDefault="00356CBA">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14:paraId="498524CC"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13E18845" w14:textId="77777777" w:rsidR="00356CBA" w:rsidRPr="00AD4052" w:rsidRDefault="00356CBA">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14:paraId="4E35709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1" w:type="dxa"/>
            <w:tcBorders>
              <w:top w:val="nil"/>
              <w:left w:val="nil"/>
              <w:bottom w:val="single" w:sz="4" w:space="0" w:color="auto"/>
              <w:right w:val="single" w:sz="4" w:space="0" w:color="auto"/>
            </w:tcBorders>
            <w:shd w:val="clear" w:color="auto" w:fill="C6EFCE"/>
            <w:noWrap/>
          </w:tcPr>
          <w:p w14:paraId="732D538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2023</w:t>
            </w:r>
          </w:p>
        </w:tc>
        <w:tc>
          <w:tcPr>
            <w:tcW w:w="2770" w:type="dxa"/>
            <w:tcBorders>
              <w:top w:val="nil"/>
              <w:left w:val="nil"/>
              <w:bottom w:val="single" w:sz="4" w:space="0" w:color="auto"/>
              <w:right w:val="single" w:sz="4" w:space="0" w:color="auto"/>
            </w:tcBorders>
            <w:shd w:val="clear" w:color="auto" w:fill="C6EFCE"/>
            <w:noWrap/>
          </w:tcPr>
          <w:p w14:paraId="2CEA59D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Veealuste antiikesemete muuseumiga seotud lepingu sõlmimine. </w:t>
            </w:r>
          </w:p>
        </w:tc>
      </w:tr>
      <w:tr w:rsidR="006E0EA2" w:rsidRPr="003B132A" w14:paraId="3444DCE6" w14:textId="77777777" w:rsidTr="005D5392">
        <w:trPr>
          <w:trHeight w:val="313"/>
          <w:jc w:val="center"/>
        </w:trPr>
        <w:tc>
          <w:tcPr>
            <w:tcW w:w="1116" w:type="dxa"/>
            <w:tcBorders>
              <w:top w:val="nil"/>
              <w:left w:val="single" w:sz="4" w:space="0" w:color="auto"/>
              <w:bottom w:val="single" w:sz="4" w:space="0" w:color="auto"/>
              <w:right w:val="single" w:sz="4" w:space="0" w:color="auto"/>
            </w:tcBorders>
            <w:shd w:val="clear" w:color="auto" w:fill="C6EFCE"/>
            <w:noWrap/>
          </w:tcPr>
          <w:p w14:paraId="6D99BF7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280</w:t>
            </w:r>
          </w:p>
        </w:tc>
        <w:tc>
          <w:tcPr>
            <w:tcW w:w="2098" w:type="dxa"/>
            <w:tcBorders>
              <w:top w:val="nil"/>
              <w:left w:val="nil"/>
              <w:bottom w:val="single" w:sz="4" w:space="0" w:color="auto"/>
              <w:right w:val="single" w:sz="4" w:space="0" w:color="auto"/>
            </w:tcBorders>
            <w:shd w:val="clear" w:color="auto" w:fill="C6EFCE"/>
            <w:noWrap/>
          </w:tcPr>
          <w:p w14:paraId="3E52B20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16293_Kultuur kui majanduskasvu liikumapanev jõud</w:t>
            </w:r>
          </w:p>
        </w:tc>
        <w:tc>
          <w:tcPr>
            <w:tcW w:w="1008" w:type="dxa"/>
            <w:tcBorders>
              <w:top w:val="nil"/>
              <w:left w:val="nil"/>
              <w:bottom w:val="single" w:sz="4" w:space="0" w:color="auto"/>
              <w:right w:val="single" w:sz="4" w:space="0" w:color="auto"/>
            </w:tcBorders>
            <w:shd w:val="clear" w:color="auto" w:fill="C6EFCE"/>
            <w:noWrap/>
          </w:tcPr>
          <w:p w14:paraId="0583F41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616" w:type="dxa"/>
            <w:tcBorders>
              <w:top w:val="nil"/>
              <w:left w:val="nil"/>
              <w:bottom w:val="single" w:sz="4" w:space="0" w:color="auto"/>
              <w:right w:val="single" w:sz="4" w:space="0" w:color="auto"/>
            </w:tcBorders>
            <w:shd w:val="clear" w:color="auto" w:fill="C6EFCE"/>
            <w:noWrap/>
          </w:tcPr>
          <w:p w14:paraId="32379F0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Nüüdisaegne Kreeka kultuurimärk ja -platvorm</w:t>
            </w:r>
          </w:p>
        </w:tc>
        <w:tc>
          <w:tcPr>
            <w:tcW w:w="2257" w:type="dxa"/>
            <w:tcBorders>
              <w:top w:val="nil"/>
              <w:left w:val="nil"/>
              <w:bottom w:val="single" w:sz="4" w:space="0" w:color="auto"/>
              <w:right w:val="single" w:sz="4" w:space="0" w:color="auto"/>
            </w:tcBorders>
            <w:shd w:val="clear" w:color="auto" w:fill="C6EFCE"/>
            <w:noWrap/>
          </w:tcPr>
          <w:p w14:paraId="1ADD6BE6" w14:textId="77777777" w:rsidR="00356CBA" w:rsidRPr="00E02B5D" w:rsidRDefault="00356CBA">
            <w:pPr>
              <w:spacing w:after="0" w:line="240" w:lineRule="auto"/>
              <w:rPr>
                <w:rFonts w:eastAsia="Times New Roman" w:cs="Calibri"/>
                <w:noProof/>
                <w:sz w:val="18"/>
                <w:szCs w:val="18"/>
              </w:rPr>
            </w:pPr>
            <w:r>
              <w:rPr>
                <w:noProof/>
                <w:color w:val="006100"/>
                <w:sz w:val="18"/>
              </w:rPr>
              <w:t>Aruanne Kreeka kaasaegse kultuurikaubamärgistamise, rohelise disaini platvormi, Kreeka muusika andmebaasi ja Kreeka kirjanduse tõlkeprogrammi taaselustamise kohta.</w:t>
            </w:r>
          </w:p>
        </w:tc>
        <w:tc>
          <w:tcPr>
            <w:tcW w:w="1397" w:type="dxa"/>
            <w:tcBorders>
              <w:top w:val="nil"/>
              <w:left w:val="nil"/>
              <w:bottom w:val="single" w:sz="4" w:space="0" w:color="auto"/>
              <w:right w:val="single" w:sz="4" w:space="0" w:color="auto"/>
            </w:tcBorders>
            <w:shd w:val="clear" w:color="auto" w:fill="C6EFCE"/>
            <w:noWrap/>
          </w:tcPr>
          <w:p w14:paraId="3B81168B" w14:textId="77777777" w:rsidR="00356CBA" w:rsidRPr="00AD4052" w:rsidRDefault="00356CBA">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14:paraId="624AB0FB"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667468E5" w14:textId="77777777" w:rsidR="00356CBA" w:rsidRPr="00AD4052" w:rsidRDefault="00356CBA">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14:paraId="1AE8FF9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1" w:type="dxa"/>
            <w:tcBorders>
              <w:top w:val="nil"/>
              <w:left w:val="nil"/>
              <w:bottom w:val="single" w:sz="4" w:space="0" w:color="auto"/>
              <w:right w:val="single" w:sz="4" w:space="0" w:color="auto"/>
            </w:tcBorders>
            <w:shd w:val="clear" w:color="auto" w:fill="C6EFCE"/>
            <w:noWrap/>
          </w:tcPr>
          <w:p w14:paraId="77A335D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2770" w:type="dxa"/>
            <w:tcBorders>
              <w:top w:val="nil"/>
              <w:left w:val="nil"/>
              <w:bottom w:val="single" w:sz="4" w:space="0" w:color="auto"/>
              <w:right w:val="single" w:sz="4" w:space="0" w:color="auto"/>
            </w:tcBorders>
            <w:shd w:val="clear" w:color="auto" w:fill="C6EFCE"/>
            <w:noWrap/>
          </w:tcPr>
          <w:p w14:paraId="4B55C3C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Kultuur kui majanduskasvu liikumapanev jõud: Nüüdisaja Kreeka kultuurikaubamärgid on välja töötatud, loodud kreeka disaini platvorm, kreeka muusika andmebaas ja ajakohastatud kreeka kirjanduse tõlkeprogramm. </w:t>
            </w:r>
          </w:p>
        </w:tc>
      </w:tr>
      <w:tr w:rsidR="006E0EA2" w:rsidRPr="003B132A" w14:paraId="61BDB7AB"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50DB261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283</w:t>
            </w:r>
          </w:p>
        </w:tc>
        <w:tc>
          <w:tcPr>
            <w:tcW w:w="2098" w:type="dxa"/>
            <w:tcBorders>
              <w:top w:val="single" w:sz="4" w:space="0" w:color="auto"/>
              <w:left w:val="nil"/>
              <w:bottom w:val="single" w:sz="4" w:space="0" w:color="auto"/>
              <w:right w:val="single" w:sz="4" w:space="0" w:color="auto"/>
            </w:tcBorders>
            <w:shd w:val="clear" w:color="auto" w:fill="C6EFCE"/>
            <w:noWrap/>
          </w:tcPr>
          <w:p w14:paraId="0251259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16293_Kultuur kui majanduskasvu liikumapanev jõud</w:t>
            </w:r>
          </w:p>
        </w:tc>
        <w:tc>
          <w:tcPr>
            <w:tcW w:w="1008" w:type="dxa"/>
            <w:tcBorders>
              <w:top w:val="single" w:sz="4" w:space="0" w:color="auto"/>
              <w:left w:val="nil"/>
              <w:bottom w:val="single" w:sz="4" w:space="0" w:color="auto"/>
              <w:right w:val="single" w:sz="4" w:space="0" w:color="auto"/>
            </w:tcBorders>
            <w:shd w:val="clear" w:color="auto" w:fill="C6EFCE"/>
            <w:noWrap/>
          </w:tcPr>
          <w:p w14:paraId="7E1BAE2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616" w:type="dxa"/>
            <w:tcBorders>
              <w:top w:val="single" w:sz="4" w:space="0" w:color="auto"/>
              <w:left w:val="nil"/>
              <w:bottom w:val="single" w:sz="4" w:space="0" w:color="auto"/>
              <w:right w:val="single" w:sz="4" w:space="0" w:color="auto"/>
            </w:tcBorders>
            <w:shd w:val="clear" w:color="auto" w:fill="C6EFCE"/>
            <w:noWrap/>
          </w:tcPr>
          <w:p w14:paraId="06F5E78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Kultuur kui majanduskasvu liikumapanev jõud</w:t>
            </w:r>
          </w:p>
        </w:tc>
        <w:tc>
          <w:tcPr>
            <w:tcW w:w="2257" w:type="dxa"/>
            <w:tcBorders>
              <w:top w:val="single" w:sz="4" w:space="0" w:color="auto"/>
              <w:left w:val="nil"/>
              <w:bottom w:val="single" w:sz="4" w:space="0" w:color="auto"/>
              <w:right w:val="single" w:sz="4" w:space="0" w:color="auto"/>
            </w:tcBorders>
            <w:shd w:val="clear" w:color="auto" w:fill="C6EFCE"/>
            <w:noWrap/>
          </w:tcPr>
          <w:p w14:paraId="22BF846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Kõikide allprojektide lõpetamise aruanded, sealhulgas maksetõendid ja investeerimisauditite tulemused, toetusesaajate kinnitus investeeringute lõpuleviimise kohta</w:t>
            </w:r>
          </w:p>
        </w:tc>
        <w:tc>
          <w:tcPr>
            <w:tcW w:w="1397" w:type="dxa"/>
            <w:tcBorders>
              <w:top w:val="single" w:sz="4" w:space="0" w:color="auto"/>
              <w:left w:val="nil"/>
              <w:bottom w:val="single" w:sz="4" w:space="0" w:color="auto"/>
              <w:right w:val="single" w:sz="4" w:space="0" w:color="auto"/>
            </w:tcBorders>
            <w:shd w:val="clear" w:color="auto" w:fill="C6EFCE"/>
            <w:noWrap/>
          </w:tcPr>
          <w:p w14:paraId="284727E7" w14:textId="77777777" w:rsidR="00356CBA" w:rsidRPr="00AD4052" w:rsidRDefault="00356CBA">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14:paraId="4CD2A381"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47D77CDB" w14:textId="77777777" w:rsidR="00356CBA" w:rsidRPr="00AD4052" w:rsidRDefault="00356CBA">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30DDB41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1" w:type="dxa"/>
            <w:tcBorders>
              <w:top w:val="single" w:sz="4" w:space="0" w:color="auto"/>
              <w:left w:val="nil"/>
              <w:bottom w:val="single" w:sz="4" w:space="0" w:color="auto"/>
              <w:right w:val="single" w:sz="4" w:space="0" w:color="auto"/>
            </w:tcBorders>
            <w:shd w:val="clear" w:color="auto" w:fill="C6EFCE"/>
            <w:noWrap/>
          </w:tcPr>
          <w:p w14:paraId="44531B6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770" w:type="dxa"/>
            <w:tcBorders>
              <w:top w:val="single" w:sz="4" w:space="0" w:color="auto"/>
              <w:left w:val="nil"/>
              <w:bottom w:val="single" w:sz="4" w:space="0" w:color="auto"/>
              <w:right w:val="single" w:sz="4" w:space="0" w:color="auto"/>
            </w:tcBorders>
            <w:shd w:val="clear" w:color="auto" w:fill="C6EFCE"/>
            <w:noWrap/>
          </w:tcPr>
          <w:p w14:paraId="434FA6C5" w14:textId="77777777" w:rsidR="00356CBA" w:rsidRPr="00E02B5D" w:rsidRDefault="00356CBA" w:rsidP="00D16F13">
            <w:pPr>
              <w:spacing w:after="0" w:line="240" w:lineRule="auto"/>
              <w:rPr>
                <w:noProof/>
                <w:color w:val="006100"/>
                <w:sz w:val="18"/>
              </w:rPr>
            </w:pPr>
            <w:r>
              <w:rPr>
                <w:noProof/>
                <w:color w:val="006100"/>
                <w:sz w:val="18"/>
              </w:rPr>
              <w:t>Programmi „Kultuur kui kõigi asjakohaste</w:t>
            </w:r>
            <w:sdt>
              <w:sdtPr>
                <w:rPr>
                  <w:rFonts w:eastAsia="Times New Roman" w:cs="Calibri"/>
                  <w:noProof/>
                  <w:color w:val="006100"/>
                  <w:sz w:val="18"/>
                  <w:szCs w:val="18"/>
                  <w:shd w:val="clear" w:color="auto" w:fill="E6E6E6"/>
                </w:rPr>
                <w:tag w:val="goog_rdk_42"/>
                <w:id w:val="660356159"/>
              </w:sdtPr>
              <w:sdtEndPr/>
              <w:sdtContent>
                <w:r>
                  <w:rPr>
                    <w:noProof/>
                    <w:color w:val="006100"/>
                    <w:sz w:val="18"/>
                  </w:rPr>
                  <w:t xml:space="preserve"> allprojektide majanduskasvu lõpuleviimise liikumapanev jõud“ lõpuleviimine:</w:t>
                </w:r>
              </w:sdtContent>
            </w:sdt>
            <w:r>
              <w:rPr>
                <w:noProof/>
                <w:color w:val="006100"/>
                <w:sz w:val="18"/>
              </w:rPr>
              <w:t xml:space="preserve"> toetada valitud kultuuri- ja loomemajanduse piirkondlike strateegiate raames katseprojektide rakendamist, ajakohastada kultuuriobjektide taristut, korraldada kultuuri- ja loomemajanduse spetsialistidele seminare; toetada kohalikke käsitöö ökosüsteeme taristu parandamise, koolitusprogrammide pakkumise, integreeritud riikliku käsitööstrateegia kaardistamise ja arendamise kaudu piirkondade kaupa; arheoloogiliste mälestiste ja mälestiste kasutamise laiendamine toimumis- ja ürituste toimumispaikadena, ajakohastades valitud arheoloogilisi mälestisi ja mälestisi ning parandades nende digitaalset taristut; filmitööstuse edendamine, andes rahalist toetust valitud Kreeka filmide tootmiseks; Kreeka kultuurikaubamärgi ja ekspordi edendamine, sealhulgas digitaalse materjali väljatöötamise ning Kreeka kaasaegse kultuuri platvormi ja kõigi sellega seotud alamplatvormide edendamise kaudu, andes rahalist toetust Kreeka toodangus osalemiseks ja edendamiseks välismaal.</w:t>
            </w:r>
          </w:p>
        </w:tc>
      </w:tr>
      <w:tr w:rsidR="006E0EA2" w:rsidRPr="003B132A" w14:paraId="7ACB620B"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63C0EB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284</w:t>
            </w:r>
          </w:p>
        </w:tc>
        <w:tc>
          <w:tcPr>
            <w:tcW w:w="2098" w:type="dxa"/>
            <w:tcBorders>
              <w:top w:val="single" w:sz="4" w:space="0" w:color="auto"/>
              <w:left w:val="nil"/>
              <w:bottom w:val="single" w:sz="4" w:space="0" w:color="auto"/>
              <w:right w:val="single" w:sz="4" w:space="0" w:color="auto"/>
            </w:tcBorders>
            <w:shd w:val="clear" w:color="auto" w:fill="C6EFCE"/>
            <w:noWrap/>
          </w:tcPr>
          <w:p w14:paraId="090E268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16536_Infrastruktuuri uuendamine, seadmete uuendamine ja HOCRED Stores’i pakutavate teenuste kvaliteedi parandamine – endine ARF Stores (kohapealne ja elektrooniline)</w:t>
            </w:r>
          </w:p>
        </w:tc>
        <w:tc>
          <w:tcPr>
            <w:tcW w:w="1008" w:type="dxa"/>
            <w:tcBorders>
              <w:top w:val="single" w:sz="4" w:space="0" w:color="auto"/>
              <w:left w:val="nil"/>
              <w:bottom w:val="single" w:sz="4" w:space="0" w:color="auto"/>
              <w:right w:val="single" w:sz="4" w:space="0" w:color="auto"/>
            </w:tcBorders>
            <w:shd w:val="clear" w:color="auto" w:fill="C6EFCE"/>
            <w:noWrap/>
          </w:tcPr>
          <w:p w14:paraId="7EE9CA6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616" w:type="dxa"/>
            <w:tcBorders>
              <w:top w:val="single" w:sz="4" w:space="0" w:color="auto"/>
              <w:left w:val="nil"/>
              <w:bottom w:val="single" w:sz="4" w:space="0" w:color="auto"/>
              <w:right w:val="single" w:sz="4" w:space="0" w:color="auto"/>
            </w:tcBorders>
            <w:shd w:val="clear" w:color="auto" w:fill="C6EFCE"/>
            <w:noWrap/>
          </w:tcPr>
          <w:p w14:paraId="6A06FA2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Kreeka Kultuuriressursside Arendamise Organisatsiooni (HOCRED) ajakohastamine </w:t>
            </w:r>
          </w:p>
        </w:tc>
        <w:tc>
          <w:tcPr>
            <w:tcW w:w="2257" w:type="dxa"/>
            <w:tcBorders>
              <w:top w:val="single" w:sz="4" w:space="0" w:color="auto"/>
              <w:left w:val="nil"/>
              <w:bottom w:val="single" w:sz="4" w:space="0" w:color="auto"/>
              <w:right w:val="single" w:sz="4" w:space="0" w:color="auto"/>
            </w:tcBorders>
            <w:shd w:val="clear" w:color="auto" w:fill="C6EFCE"/>
            <w:noWrap/>
          </w:tcPr>
          <w:p w14:paraId="28B7AC7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Lõpuleviimise aruanded, sealhulgas maksetõendid ja investeerimisauditite tulemused, toetusesaajate kinnitus investeeringute lõpuleviimise kohta.</w:t>
            </w:r>
          </w:p>
        </w:tc>
        <w:tc>
          <w:tcPr>
            <w:tcW w:w="1397" w:type="dxa"/>
            <w:tcBorders>
              <w:top w:val="single" w:sz="4" w:space="0" w:color="auto"/>
              <w:left w:val="nil"/>
              <w:bottom w:val="single" w:sz="4" w:space="0" w:color="auto"/>
              <w:right w:val="single" w:sz="4" w:space="0" w:color="auto"/>
            </w:tcBorders>
            <w:shd w:val="clear" w:color="auto" w:fill="C6EFCE"/>
            <w:noWrap/>
          </w:tcPr>
          <w:p w14:paraId="29604C90" w14:textId="77777777" w:rsidR="00356CBA" w:rsidRPr="00AD4052" w:rsidRDefault="00356CBA">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14:paraId="6E660966"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5B838D22" w14:textId="77777777" w:rsidR="00356CBA" w:rsidRPr="00AD4052" w:rsidRDefault="00356CBA">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60CA2D9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1" w:type="dxa"/>
            <w:tcBorders>
              <w:top w:val="single" w:sz="4" w:space="0" w:color="auto"/>
              <w:left w:val="nil"/>
              <w:bottom w:val="single" w:sz="4" w:space="0" w:color="auto"/>
              <w:right w:val="single" w:sz="4" w:space="0" w:color="auto"/>
            </w:tcBorders>
            <w:shd w:val="clear" w:color="auto" w:fill="C6EFCE"/>
            <w:noWrap/>
          </w:tcPr>
          <w:p w14:paraId="4743C45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770" w:type="dxa"/>
            <w:tcBorders>
              <w:top w:val="single" w:sz="4" w:space="0" w:color="auto"/>
              <w:left w:val="nil"/>
              <w:bottom w:val="single" w:sz="4" w:space="0" w:color="auto"/>
              <w:right w:val="single" w:sz="4" w:space="0" w:color="auto"/>
            </w:tcBorders>
            <w:shd w:val="clear" w:color="auto" w:fill="C6EFCE"/>
            <w:noWrap/>
          </w:tcPr>
          <w:p w14:paraId="0DCFDFDA" w14:textId="77777777" w:rsidR="00356CBA" w:rsidRPr="00E02B5D" w:rsidRDefault="00356CBA">
            <w:pPr>
              <w:spacing w:after="0" w:line="240" w:lineRule="auto"/>
              <w:rPr>
                <w:rFonts w:asciiTheme="minorHAnsi" w:hAnsiTheme="minorHAnsi"/>
                <w:noProof/>
                <w:color w:val="006100"/>
                <w:sz w:val="18"/>
              </w:rPr>
            </w:pPr>
            <w:r>
              <w:rPr>
                <w:rFonts w:asciiTheme="minorHAnsi" w:hAnsiTheme="minorHAnsi"/>
                <w:noProof/>
                <w:color w:val="006100"/>
                <w:sz w:val="18"/>
              </w:rPr>
              <w:t>Kreeka Kultuuriressursside Arendamise Organisatsiooni (HOCRED) tegevuse parandamine, sealhulgas energiatõhususe suurendamine, taristu ehitamine ja ajakohastamine, seadmete tarnimine füüsilistele ja elektroonilistele kauplustele ning teenuste kvaliteedi parandamine.</w:t>
            </w:r>
            <w:r>
              <w:rPr>
                <w:rFonts w:asciiTheme="minorHAnsi" w:hAnsiTheme="minorHAnsi"/>
                <w:noProof/>
                <w:sz w:val="18"/>
              </w:rPr>
              <w:t xml:space="preserve"> </w:t>
            </w:r>
          </w:p>
        </w:tc>
      </w:tr>
      <w:tr w:rsidR="006E0EA2" w:rsidRPr="003B132A" w14:paraId="58F1908A"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677D348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285</w:t>
            </w:r>
          </w:p>
        </w:tc>
        <w:tc>
          <w:tcPr>
            <w:tcW w:w="2098" w:type="dxa"/>
            <w:tcBorders>
              <w:top w:val="single" w:sz="4" w:space="0" w:color="auto"/>
              <w:left w:val="nil"/>
              <w:bottom w:val="single" w:sz="4" w:space="0" w:color="auto"/>
              <w:right w:val="single" w:sz="4" w:space="0" w:color="auto"/>
            </w:tcBorders>
            <w:shd w:val="clear" w:color="auto" w:fill="C6EFCE"/>
            <w:noWrap/>
          </w:tcPr>
          <w:p w14:paraId="49544A7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Ajakohastada ja parandada peamiste majandussektorite vastupanuvõimet – 16725 – Kõrgema kunstihariduse ajakohastamine</w:t>
            </w:r>
          </w:p>
        </w:tc>
        <w:tc>
          <w:tcPr>
            <w:tcW w:w="1008" w:type="dxa"/>
            <w:tcBorders>
              <w:top w:val="single" w:sz="4" w:space="0" w:color="auto"/>
              <w:left w:val="nil"/>
              <w:bottom w:val="single" w:sz="4" w:space="0" w:color="auto"/>
              <w:right w:val="single" w:sz="4" w:space="0" w:color="auto"/>
            </w:tcBorders>
            <w:shd w:val="clear" w:color="auto" w:fill="C6EFCE"/>
            <w:noWrap/>
          </w:tcPr>
          <w:p w14:paraId="41B8F4D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616" w:type="dxa"/>
            <w:tcBorders>
              <w:top w:val="single" w:sz="4" w:space="0" w:color="auto"/>
              <w:left w:val="nil"/>
              <w:bottom w:val="single" w:sz="4" w:space="0" w:color="auto"/>
              <w:right w:val="single" w:sz="4" w:space="0" w:color="auto"/>
            </w:tcBorders>
            <w:shd w:val="clear" w:color="auto" w:fill="C6EFCE"/>
            <w:noWrap/>
          </w:tcPr>
          <w:p w14:paraId="6F95DED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Kõrgema kunstihariduse ajakohastamine</w:t>
            </w:r>
          </w:p>
        </w:tc>
        <w:tc>
          <w:tcPr>
            <w:tcW w:w="2257" w:type="dxa"/>
            <w:tcBorders>
              <w:top w:val="single" w:sz="4" w:space="0" w:color="auto"/>
              <w:left w:val="nil"/>
              <w:bottom w:val="single" w:sz="4" w:space="0" w:color="auto"/>
              <w:right w:val="single" w:sz="4" w:space="0" w:color="auto"/>
            </w:tcBorders>
            <w:shd w:val="clear" w:color="auto" w:fill="C6EFCE"/>
            <w:noWrap/>
          </w:tcPr>
          <w:p w14:paraId="63934FF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Lõpparuanne, sealhulgas </w:t>
            </w:r>
          </w:p>
          <w:p w14:paraId="256FEA3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 maksetõendid ja investeerimisauditite tulemused, toetusesaajate kinnitus investeeringute lõpuleviimise kohta; ning</w:t>
            </w:r>
          </w:p>
          <w:p w14:paraId="5177E80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b) õigusraamistiku dokumenteeritud muudatused koos viidetega Euroopa Liidu Teatajale.</w:t>
            </w:r>
          </w:p>
        </w:tc>
        <w:tc>
          <w:tcPr>
            <w:tcW w:w="1397" w:type="dxa"/>
            <w:tcBorders>
              <w:top w:val="single" w:sz="4" w:space="0" w:color="auto"/>
              <w:left w:val="nil"/>
              <w:bottom w:val="single" w:sz="4" w:space="0" w:color="auto"/>
              <w:right w:val="single" w:sz="4" w:space="0" w:color="auto"/>
            </w:tcBorders>
            <w:shd w:val="clear" w:color="auto" w:fill="C6EFCE"/>
            <w:noWrap/>
          </w:tcPr>
          <w:p w14:paraId="000D8EBE" w14:textId="77777777" w:rsidR="00356CBA" w:rsidRPr="00AD4052" w:rsidRDefault="00356CBA">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14:paraId="2329D0F6"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16424137" w14:textId="77777777" w:rsidR="00356CBA" w:rsidRPr="00AD4052" w:rsidRDefault="00356CBA">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06CCA5E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1" w:type="dxa"/>
            <w:tcBorders>
              <w:top w:val="single" w:sz="4" w:space="0" w:color="auto"/>
              <w:left w:val="nil"/>
              <w:bottom w:val="single" w:sz="4" w:space="0" w:color="auto"/>
              <w:right w:val="single" w:sz="4" w:space="0" w:color="auto"/>
            </w:tcBorders>
            <w:shd w:val="clear" w:color="auto" w:fill="C6EFCE"/>
            <w:noWrap/>
          </w:tcPr>
          <w:p w14:paraId="7405A7B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770" w:type="dxa"/>
            <w:tcBorders>
              <w:top w:val="single" w:sz="4" w:space="0" w:color="auto"/>
              <w:left w:val="nil"/>
              <w:bottom w:val="single" w:sz="4" w:space="0" w:color="auto"/>
              <w:right w:val="single" w:sz="4" w:space="0" w:color="auto"/>
            </w:tcBorders>
            <w:shd w:val="clear" w:color="auto" w:fill="C6EFCE"/>
            <w:noWrap/>
          </w:tcPr>
          <w:p w14:paraId="17FF3F84" w14:textId="77777777" w:rsidR="00356CBA" w:rsidRPr="00E02B5D" w:rsidRDefault="00356CBA" w:rsidP="00D16F13">
            <w:pPr>
              <w:spacing w:after="0" w:line="240" w:lineRule="auto"/>
              <w:rPr>
                <w:rFonts w:asciiTheme="minorHAnsi" w:eastAsiaTheme="minorEastAsia" w:hAnsiTheme="minorHAnsi" w:cstheme="minorBidi"/>
                <w:noProof/>
                <w:color w:val="006100"/>
                <w:sz w:val="18"/>
                <w:szCs w:val="18"/>
              </w:rPr>
            </w:pPr>
            <w:r>
              <w:rPr>
                <w:noProof/>
                <w:color w:val="006100"/>
                <w:sz w:val="18"/>
              </w:rPr>
              <w:t>Jõustunud on õigusaktid, mis käsitlevad a) riikliku kunstikooli loomist ja b) kõrghariduse õppekavade läbivaatamist ja ajakohastamist.</w:t>
            </w:r>
          </w:p>
          <w:p w14:paraId="36347B81" w14:textId="77777777" w:rsidR="00356CBA" w:rsidRPr="00AD4052" w:rsidRDefault="00356CBA" w:rsidP="00D16F13">
            <w:pPr>
              <w:spacing w:after="0" w:line="240" w:lineRule="auto"/>
              <w:rPr>
                <w:rFonts w:asciiTheme="minorHAnsi" w:eastAsiaTheme="minorEastAsia" w:hAnsiTheme="minorHAnsi" w:cstheme="minorBidi"/>
                <w:noProof/>
                <w:color w:val="006100"/>
                <w:sz w:val="18"/>
                <w:szCs w:val="18"/>
                <w:lang w:eastAsia="en-GB"/>
              </w:rPr>
            </w:pPr>
          </w:p>
          <w:p w14:paraId="1672C175" w14:textId="77777777" w:rsidR="00356CBA" w:rsidRPr="00E02B5D" w:rsidRDefault="00356CBA" w:rsidP="00D16F13">
            <w:pPr>
              <w:spacing w:after="0" w:line="240" w:lineRule="auto"/>
              <w:rPr>
                <w:rFonts w:asciiTheme="minorHAnsi" w:eastAsiaTheme="minorEastAsia" w:hAnsiTheme="minorHAnsi" w:cstheme="minorBidi"/>
                <w:noProof/>
                <w:color w:val="006100"/>
                <w:sz w:val="18"/>
                <w:szCs w:val="18"/>
              </w:rPr>
            </w:pPr>
            <w:r>
              <w:rPr>
                <w:rFonts w:asciiTheme="minorHAnsi" w:hAnsiTheme="minorHAnsi"/>
                <w:noProof/>
                <w:color w:val="006100"/>
                <w:sz w:val="18"/>
              </w:rPr>
              <w:t xml:space="preserve">Tantsikooli ja Thessaloníki riikliku konservatsiooni hoone uuendamise lõpuleviimine. </w:t>
            </w:r>
          </w:p>
          <w:p w14:paraId="4B7464D1" w14:textId="77777777" w:rsidR="00356CBA" w:rsidRPr="00AD4052" w:rsidRDefault="00356CBA" w:rsidP="00D16F13">
            <w:pPr>
              <w:spacing w:after="0" w:line="240" w:lineRule="auto"/>
              <w:rPr>
                <w:rFonts w:asciiTheme="minorHAnsi" w:eastAsiaTheme="minorEastAsia" w:hAnsiTheme="minorHAnsi" w:cstheme="minorBidi"/>
                <w:noProof/>
                <w:color w:val="006100"/>
                <w:sz w:val="18"/>
                <w:szCs w:val="18"/>
                <w:lang w:eastAsia="en-GB"/>
              </w:rPr>
            </w:pPr>
          </w:p>
          <w:p w14:paraId="4B4C926C" w14:textId="77777777" w:rsidR="00356CBA" w:rsidRPr="00E02B5D" w:rsidRDefault="00356CBA" w:rsidP="00D16F13">
            <w:pPr>
              <w:spacing w:after="0" w:line="240" w:lineRule="auto"/>
              <w:rPr>
                <w:rFonts w:asciiTheme="minorHAnsi" w:eastAsiaTheme="minorEastAsia" w:hAnsiTheme="minorHAnsi" w:cstheme="minorBidi"/>
                <w:noProof/>
                <w:color w:val="006100"/>
                <w:sz w:val="18"/>
                <w:szCs w:val="18"/>
              </w:rPr>
            </w:pPr>
            <w:r>
              <w:rPr>
                <w:rFonts w:asciiTheme="minorHAnsi" w:hAnsiTheme="minorHAnsi"/>
                <w:noProof/>
                <w:color w:val="006100"/>
                <w:sz w:val="18"/>
              </w:rPr>
              <w:t>Suurte tipptasemel haridusasutuste (Drama kool Põhja-Kreeka riigiteatris, Panormos Tinose ettevalmistus- ja kutsekool) lõpuleviimine</w:t>
            </w:r>
          </w:p>
          <w:p w14:paraId="539A13AC" w14:textId="77777777" w:rsidR="00356CBA" w:rsidRPr="00AD4052" w:rsidRDefault="00356CBA" w:rsidP="00D16F13">
            <w:pPr>
              <w:spacing w:after="0" w:line="240" w:lineRule="auto"/>
              <w:rPr>
                <w:rFonts w:asciiTheme="minorHAnsi" w:hAnsiTheme="minorHAnsi"/>
                <w:noProof/>
                <w:color w:val="006100"/>
                <w:sz w:val="18"/>
              </w:rPr>
            </w:pPr>
          </w:p>
        </w:tc>
      </w:tr>
      <w:tr w:rsidR="006E0EA2" w:rsidRPr="003B132A" w14:paraId="603E410E"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642DCE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287</w:t>
            </w:r>
          </w:p>
        </w:tc>
        <w:tc>
          <w:tcPr>
            <w:tcW w:w="2098" w:type="dxa"/>
            <w:tcBorders>
              <w:top w:val="single" w:sz="4" w:space="0" w:color="auto"/>
              <w:left w:val="nil"/>
              <w:bottom w:val="single" w:sz="4" w:space="0" w:color="auto"/>
              <w:right w:val="single" w:sz="4" w:space="0" w:color="auto"/>
            </w:tcBorders>
            <w:shd w:val="clear" w:color="auto" w:fill="C6EFCE"/>
            <w:noWrap/>
          </w:tcPr>
          <w:p w14:paraId="0E21F49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16486_Veealuste antiikesemete muuseum</w:t>
            </w:r>
          </w:p>
        </w:tc>
        <w:tc>
          <w:tcPr>
            <w:tcW w:w="1008" w:type="dxa"/>
            <w:tcBorders>
              <w:top w:val="single" w:sz="4" w:space="0" w:color="auto"/>
              <w:left w:val="nil"/>
              <w:bottom w:val="single" w:sz="4" w:space="0" w:color="auto"/>
              <w:right w:val="single" w:sz="4" w:space="0" w:color="auto"/>
            </w:tcBorders>
            <w:shd w:val="clear" w:color="auto" w:fill="C6EFCE"/>
            <w:noWrap/>
          </w:tcPr>
          <w:p w14:paraId="47B1412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616" w:type="dxa"/>
            <w:tcBorders>
              <w:top w:val="single" w:sz="4" w:space="0" w:color="auto"/>
              <w:left w:val="nil"/>
              <w:bottom w:val="single" w:sz="4" w:space="0" w:color="auto"/>
              <w:right w:val="single" w:sz="4" w:space="0" w:color="auto"/>
            </w:tcBorders>
            <w:shd w:val="clear" w:color="auto" w:fill="C6EFCE"/>
            <w:noWrap/>
          </w:tcPr>
          <w:p w14:paraId="761DA8D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Veealuste antiikesemete muuseum</w:t>
            </w:r>
          </w:p>
        </w:tc>
        <w:tc>
          <w:tcPr>
            <w:tcW w:w="2257" w:type="dxa"/>
            <w:tcBorders>
              <w:top w:val="single" w:sz="4" w:space="0" w:color="auto"/>
              <w:left w:val="nil"/>
              <w:bottom w:val="single" w:sz="4" w:space="0" w:color="auto"/>
              <w:right w:val="single" w:sz="4" w:space="0" w:color="auto"/>
            </w:tcBorders>
            <w:shd w:val="clear" w:color="auto" w:fill="C6EFCE"/>
            <w:noWrap/>
          </w:tcPr>
          <w:p w14:paraId="6AE3565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Lõpparuanne, sealhulgas </w:t>
            </w:r>
          </w:p>
          <w:p w14:paraId="2E74026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a) Investeeringute lõpetamise sertifitseerimine; ning</w:t>
            </w:r>
          </w:p>
          <w:p w14:paraId="338DD9B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(1b) püsinäitusruumide, säilitustööde ja dokumentatsiooni ning näitusi toetavate trükiste sertifitseerimine.</w:t>
            </w:r>
          </w:p>
        </w:tc>
        <w:tc>
          <w:tcPr>
            <w:tcW w:w="1397" w:type="dxa"/>
            <w:tcBorders>
              <w:top w:val="single" w:sz="4" w:space="0" w:color="auto"/>
              <w:left w:val="nil"/>
              <w:bottom w:val="single" w:sz="4" w:space="0" w:color="auto"/>
              <w:right w:val="single" w:sz="4" w:space="0" w:color="auto"/>
            </w:tcBorders>
            <w:shd w:val="clear" w:color="auto" w:fill="C6EFCE"/>
            <w:noWrap/>
          </w:tcPr>
          <w:p w14:paraId="63E59A84" w14:textId="77777777" w:rsidR="00356CBA" w:rsidRPr="00AD4052" w:rsidRDefault="00356CBA">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14:paraId="7A65A8C5"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29088035" w14:textId="77777777" w:rsidR="00356CBA" w:rsidRPr="00AD4052" w:rsidRDefault="00356CBA">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462B47C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1" w:type="dxa"/>
            <w:tcBorders>
              <w:top w:val="single" w:sz="4" w:space="0" w:color="auto"/>
              <w:left w:val="nil"/>
              <w:bottom w:val="single" w:sz="4" w:space="0" w:color="auto"/>
              <w:right w:val="single" w:sz="4" w:space="0" w:color="auto"/>
            </w:tcBorders>
            <w:shd w:val="clear" w:color="auto" w:fill="C6EFCE"/>
            <w:noWrap/>
          </w:tcPr>
          <w:p w14:paraId="056E2F1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770" w:type="dxa"/>
            <w:tcBorders>
              <w:top w:val="single" w:sz="4" w:space="0" w:color="auto"/>
              <w:left w:val="nil"/>
              <w:bottom w:val="single" w:sz="4" w:space="0" w:color="auto"/>
              <w:right w:val="single" w:sz="4" w:space="0" w:color="auto"/>
            </w:tcBorders>
            <w:shd w:val="clear" w:color="auto" w:fill="C6EFCE"/>
            <w:noWrap/>
          </w:tcPr>
          <w:p w14:paraId="6F11078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Veealuste antiikesemete muuseumi lõpuleviimine: (1 a) energiatõhususega seotud tööde lõpuleviimine ja </w:t>
            </w:r>
          </w:p>
          <w:p w14:paraId="7B5AAA2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b) Pireuse ja Ateena laiema piirkonna turismile ja kultuurile olulist lisaväärtust andva püsinäituse korraldamine.</w:t>
            </w:r>
          </w:p>
        </w:tc>
      </w:tr>
      <w:tr w:rsidR="006E0EA2" w:rsidRPr="003B132A" w14:paraId="366FF075"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F529A6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288</w:t>
            </w:r>
          </w:p>
        </w:tc>
        <w:tc>
          <w:tcPr>
            <w:tcW w:w="2098" w:type="dxa"/>
            <w:tcBorders>
              <w:top w:val="single" w:sz="4" w:space="0" w:color="auto"/>
              <w:left w:val="nil"/>
              <w:bottom w:val="single" w:sz="4" w:space="0" w:color="auto"/>
              <w:right w:val="single" w:sz="4" w:space="0" w:color="auto"/>
            </w:tcBorders>
            <w:shd w:val="clear" w:color="auto" w:fill="C6EFCE"/>
            <w:noWrap/>
          </w:tcPr>
          <w:p w14:paraId="2EFAB6A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16485_Kultuurirajad sümboolse tähendusega arheoloogilised paigad ja mälestised</w:t>
            </w:r>
          </w:p>
        </w:tc>
        <w:tc>
          <w:tcPr>
            <w:tcW w:w="1008" w:type="dxa"/>
            <w:tcBorders>
              <w:top w:val="single" w:sz="4" w:space="0" w:color="auto"/>
              <w:left w:val="nil"/>
              <w:bottom w:val="single" w:sz="4" w:space="0" w:color="auto"/>
              <w:right w:val="single" w:sz="4" w:space="0" w:color="auto"/>
            </w:tcBorders>
            <w:shd w:val="clear" w:color="auto" w:fill="C6EFCE"/>
            <w:noWrap/>
          </w:tcPr>
          <w:p w14:paraId="633E6FA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616" w:type="dxa"/>
            <w:tcBorders>
              <w:top w:val="single" w:sz="4" w:space="0" w:color="auto"/>
              <w:left w:val="nil"/>
              <w:bottom w:val="single" w:sz="4" w:space="0" w:color="auto"/>
              <w:right w:val="single" w:sz="4" w:space="0" w:color="auto"/>
            </w:tcBorders>
            <w:shd w:val="clear" w:color="auto" w:fill="C6EFCE"/>
            <w:noWrap/>
          </w:tcPr>
          <w:p w14:paraId="6D4E0F9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Kultuurirajad sümboolse tähendusega arheoloogilistes paikades</w:t>
            </w:r>
          </w:p>
        </w:tc>
        <w:tc>
          <w:tcPr>
            <w:tcW w:w="2257" w:type="dxa"/>
            <w:tcBorders>
              <w:top w:val="single" w:sz="4" w:space="0" w:color="auto"/>
              <w:left w:val="nil"/>
              <w:bottom w:val="single" w:sz="4" w:space="0" w:color="auto"/>
              <w:right w:val="single" w:sz="4" w:space="0" w:color="auto"/>
            </w:tcBorders>
            <w:shd w:val="clear" w:color="auto" w:fill="C6EFCE"/>
            <w:noWrap/>
          </w:tcPr>
          <w:p w14:paraId="66B9F1D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Lõpetamise aruanne, sealhulgas toetusesaajate kinnitus investeeringute lõpuleviimise kohta.</w:t>
            </w:r>
          </w:p>
        </w:tc>
        <w:tc>
          <w:tcPr>
            <w:tcW w:w="1397" w:type="dxa"/>
            <w:tcBorders>
              <w:top w:val="single" w:sz="4" w:space="0" w:color="auto"/>
              <w:left w:val="nil"/>
              <w:bottom w:val="single" w:sz="4" w:space="0" w:color="auto"/>
              <w:right w:val="single" w:sz="4" w:space="0" w:color="auto"/>
            </w:tcBorders>
            <w:shd w:val="clear" w:color="auto" w:fill="C6EFCE"/>
            <w:noWrap/>
          </w:tcPr>
          <w:p w14:paraId="067FD665" w14:textId="77777777" w:rsidR="00356CBA" w:rsidRPr="00AD4052" w:rsidRDefault="00356CBA">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14:paraId="71509BE2"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3C7919F9" w14:textId="77777777" w:rsidR="00356CBA" w:rsidRPr="00AD4052" w:rsidRDefault="00356CBA">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0CE63C7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1" w:type="dxa"/>
            <w:tcBorders>
              <w:top w:val="single" w:sz="4" w:space="0" w:color="auto"/>
              <w:left w:val="nil"/>
              <w:bottom w:val="single" w:sz="4" w:space="0" w:color="auto"/>
              <w:right w:val="single" w:sz="4" w:space="0" w:color="auto"/>
            </w:tcBorders>
            <w:shd w:val="clear" w:color="auto" w:fill="C6EFCE"/>
            <w:noWrap/>
          </w:tcPr>
          <w:p w14:paraId="77A9DD3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770" w:type="dxa"/>
            <w:tcBorders>
              <w:top w:val="single" w:sz="4" w:space="0" w:color="auto"/>
              <w:left w:val="nil"/>
              <w:bottom w:val="single" w:sz="4" w:space="0" w:color="auto"/>
              <w:right w:val="single" w:sz="4" w:space="0" w:color="auto"/>
            </w:tcBorders>
            <w:shd w:val="clear" w:color="auto" w:fill="C6EFCE"/>
            <w:noWrap/>
          </w:tcPr>
          <w:p w14:paraId="4A97A3B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Kultuuriradade lõpuleviimine: pakkuda viis geograafiliselt hajutatud kultuuriteed temaatiliste narratiividega Kreeka ajaloost, sealhulgas valitud mälestiste säilitamine ja restaureerimine, teenuste ja taristu ajakohastamine, interaktiivsete digitaalsete rakenduste arendamine ning kunstide ja kultuurisündmuste kaasamine.</w:t>
            </w:r>
          </w:p>
        </w:tc>
      </w:tr>
      <w:tr w:rsidR="006E0EA2" w:rsidRPr="003B132A" w14:paraId="00FF62EB"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F687797" w14:textId="5620F6A8" w:rsidR="00356CBA" w:rsidRPr="00E02B5D" w:rsidRDefault="00356CBA">
            <w:pPr>
              <w:spacing w:after="0" w:line="240" w:lineRule="auto"/>
              <w:rPr>
                <w:rFonts w:eastAsia="Times New Roman" w:cs="Calibri"/>
                <w:noProof/>
                <w:color w:val="006100"/>
                <w:sz w:val="18"/>
                <w:szCs w:val="18"/>
              </w:rPr>
            </w:pPr>
            <w:r>
              <w:rPr>
                <w:noProof/>
                <w:color w:val="006100"/>
                <w:sz w:val="18"/>
              </w:rPr>
              <w:t>289</w:t>
            </w:r>
          </w:p>
        </w:tc>
        <w:tc>
          <w:tcPr>
            <w:tcW w:w="2098" w:type="dxa"/>
            <w:tcBorders>
              <w:top w:val="single" w:sz="4" w:space="0" w:color="auto"/>
              <w:left w:val="nil"/>
              <w:bottom w:val="single" w:sz="4" w:space="0" w:color="auto"/>
              <w:right w:val="single" w:sz="4" w:space="0" w:color="auto"/>
            </w:tcBorders>
            <w:shd w:val="clear" w:color="auto" w:fill="C6EFCE"/>
            <w:noWrap/>
          </w:tcPr>
          <w:p w14:paraId="65C0D9C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16735_Retseptikunsti kasutamine, sotsiaalse ühtekuuluvuse edendamine ja hõbedase majanduse kasutamine</w:t>
            </w:r>
          </w:p>
        </w:tc>
        <w:tc>
          <w:tcPr>
            <w:tcW w:w="1008" w:type="dxa"/>
            <w:tcBorders>
              <w:top w:val="single" w:sz="4" w:space="0" w:color="auto"/>
              <w:left w:val="nil"/>
              <w:bottom w:val="single" w:sz="4" w:space="0" w:color="auto"/>
              <w:right w:val="single" w:sz="4" w:space="0" w:color="auto"/>
            </w:tcBorders>
            <w:shd w:val="clear" w:color="auto" w:fill="C6EFCE"/>
            <w:noWrap/>
          </w:tcPr>
          <w:p w14:paraId="3270C11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616" w:type="dxa"/>
            <w:tcBorders>
              <w:top w:val="single" w:sz="4" w:space="0" w:color="auto"/>
              <w:left w:val="nil"/>
              <w:bottom w:val="single" w:sz="4" w:space="0" w:color="auto"/>
              <w:right w:val="single" w:sz="4" w:space="0" w:color="auto"/>
            </w:tcBorders>
            <w:shd w:val="clear" w:color="auto" w:fill="C6EFCE"/>
            <w:noWrap/>
          </w:tcPr>
          <w:p w14:paraId="2AABDEC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Retseptikunsti kasutamine;</w:t>
            </w:r>
          </w:p>
        </w:tc>
        <w:tc>
          <w:tcPr>
            <w:tcW w:w="2257" w:type="dxa"/>
            <w:tcBorders>
              <w:top w:val="single" w:sz="4" w:space="0" w:color="auto"/>
              <w:left w:val="nil"/>
              <w:bottom w:val="single" w:sz="4" w:space="0" w:color="auto"/>
              <w:right w:val="single" w:sz="4" w:space="0" w:color="auto"/>
            </w:tcBorders>
            <w:shd w:val="clear" w:color="auto" w:fill="C6EFCE"/>
            <w:noWrap/>
          </w:tcPr>
          <w:p w14:paraId="1E8F43B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Lõpetamise aruanne, sealhulgas toetusesaajate kinnitus investeeringute lõpuleviimise kohta.</w:t>
            </w:r>
          </w:p>
        </w:tc>
        <w:tc>
          <w:tcPr>
            <w:tcW w:w="1397" w:type="dxa"/>
            <w:tcBorders>
              <w:top w:val="single" w:sz="4" w:space="0" w:color="auto"/>
              <w:left w:val="nil"/>
              <w:bottom w:val="single" w:sz="4" w:space="0" w:color="auto"/>
              <w:right w:val="single" w:sz="4" w:space="0" w:color="auto"/>
            </w:tcBorders>
            <w:shd w:val="clear" w:color="auto" w:fill="C6EFCE"/>
            <w:noWrap/>
          </w:tcPr>
          <w:p w14:paraId="79251313" w14:textId="77777777" w:rsidR="00356CBA" w:rsidRPr="00AD4052" w:rsidRDefault="00356CBA">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14:paraId="1E59B312"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7237740E" w14:textId="77777777" w:rsidR="00356CBA" w:rsidRPr="00AD4052" w:rsidRDefault="00356CBA">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546C37F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1" w:type="dxa"/>
            <w:tcBorders>
              <w:top w:val="single" w:sz="4" w:space="0" w:color="auto"/>
              <w:left w:val="nil"/>
              <w:bottom w:val="single" w:sz="4" w:space="0" w:color="auto"/>
              <w:right w:val="single" w:sz="4" w:space="0" w:color="auto"/>
            </w:tcBorders>
            <w:shd w:val="clear" w:color="auto" w:fill="C6EFCE"/>
            <w:noWrap/>
          </w:tcPr>
          <w:p w14:paraId="56ABFAB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770" w:type="dxa"/>
            <w:tcBorders>
              <w:top w:val="single" w:sz="4" w:space="0" w:color="auto"/>
              <w:left w:val="nil"/>
              <w:bottom w:val="single" w:sz="4" w:space="0" w:color="auto"/>
              <w:right w:val="single" w:sz="4" w:space="0" w:color="auto"/>
            </w:tcBorders>
            <w:shd w:val="clear" w:color="auto" w:fill="C6EFCE"/>
            <w:noWrap/>
          </w:tcPr>
          <w:p w14:paraId="1EBEEFB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Infrastruktuuri täiustuste lõpuleviimine valitud paikades, et parandada füüsilist juurdepääsu ja pakkuda giidiga ekskursioonisüsteeme koos kuulmis- ja vaatevahenditega sellistele kultuuripaikadele nagu muuseumid, teatrid, festivalid, arheoloogilised objektid; ning puudega külastajatele mõeldud digiportaali väljatöötamise lõpuleviimine. Retseptide väljakirjutamist käsitlevate kunstide lõpuleviimine, sealhulgas selliste sekkumiste edendamine, mis kasutavad kunsti ja kultuuri, et aidata kaasa vaimse tervise probleemidele taastumisele, pakkudes sektori spetsialistidele koolitusprogramme ja õpikodasid.</w:t>
            </w:r>
          </w:p>
          <w:p w14:paraId="1DFFFFA7" w14:textId="77777777" w:rsidR="00356CBA" w:rsidRPr="00AD4052" w:rsidRDefault="00356CBA">
            <w:pPr>
              <w:spacing w:after="0" w:line="240" w:lineRule="auto"/>
              <w:rPr>
                <w:rFonts w:eastAsia="Times New Roman" w:cs="Calibri"/>
                <w:noProof/>
                <w:color w:val="006100"/>
                <w:sz w:val="18"/>
                <w:szCs w:val="18"/>
                <w:lang w:eastAsia="en-GB"/>
              </w:rPr>
            </w:pPr>
          </w:p>
        </w:tc>
      </w:tr>
      <w:tr w:rsidR="006E0EA2" w:rsidRPr="003B132A" w14:paraId="28BFEDA6"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60827C2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290</w:t>
            </w:r>
          </w:p>
        </w:tc>
        <w:tc>
          <w:tcPr>
            <w:tcW w:w="2098" w:type="dxa"/>
            <w:tcBorders>
              <w:top w:val="single" w:sz="4" w:space="0" w:color="auto"/>
              <w:left w:val="nil"/>
              <w:bottom w:val="single" w:sz="4" w:space="0" w:color="auto"/>
              <w:right w:val="single" w:sz="4" w:space="0" w:color="auto"/>
            </w:tcBorders>
            <w:shd w:val="clear" w:color="auto" w:fill="C6EFCE"/>
            <w:noWrap/>
          </w:tcPr>
          <w:p w14:paraId="08E1D98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16433_Kultuurimälestiste ja arheoloogiliste paikade kaitsmine kliimamuutuste eest</w:t>
            </w:r>
          </w:p>
        </w:tc>
        <w:tc>
          <w:tcPr>
            <w:tcW w:w="1008" w:type="dxa"/>
            <w:tcBorders>
              <w:top w:val="single" w:sz="4" w:space="0" w:color="auto"/>
              <w:left w:val="nil"/>
              <w:bottom w:val="single" w:sz="4" w:space="0" w:color="auto"/>
              <w:right w:val="single" w:sz="4" w:space="0" w:color="auto"/>
            </w:tcBorders>
            <w:shd w:val="clear" w:color="auto" w:fill="C6EFCE"/>
            <w:noWrap/>
          </w:tcPr>
          <w:p w14:paraId="5B62206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Eesmärk </w:t>
            </w:r>
          </w:p>
        </w:tc>
        <w:tc>
          <w:tcPr>
            <w:tcW w:w="1616" w:type="dxa"/>
            <w:tcBorders>
              <w:top w:val="single" w:sz="4" w:space="0" w:color="auto"/>
              <w:left w:val="nil"/>
              <w:bottom w:val="single" w:sz="4" w:space="0" w:color="auto"/>
              <w:right w:val="single" w:sz="4" w:space="0" w:color="auto"/>
            </w:tcBorders>
            <w:shd w:val="clear" w:color="auto" w:fill="C6EFCE"/>
            <w:noWrap/>
          </w:tcPr>
          <w:p w14:paraId="5E81D08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Kultuurimälestiste kaitsmine kliimamuutuste eest</w:t>
            </w:r>
          </w:p>
        </w:tc>
        <w:tc>
          <w:tcPr>
            <w:tcW w:w="2257" w:type="dxa"/>
            <w:tcBorders>
              <w:top w:val="single" w:sz="4" w:space="0" w:color="auto"/>
              <w:left w:val="nil"/>
              <w:bottom w:val="single" w:sz="4" w:space="0" w:color="auto"/>
              <w:right w:val="single" w:sz="4" w:space="0" w:color="auto"/>
            </w:tcBorders>
            <w:shd w:val="clear" w:color="auto" w:fill="C6EFCE"/>
            <w:noWrap/>
          </w:tcPr>
          <w:p w14:paraId="3529C55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Lõpparuanne, sealhulgas kliimamuutustega kohanemise kavade koopiad, maksetõendid ja investeeringute lõpuleviimise sertifitseerimise auditite tulemused </w:t>
            </w:r>
          </w:p>
        </w:tc>
        <w:tc>
          <w:tcPr>
            <w:tcW w:w="1397" w:type="dxa"/>
            <w:tcBorders>
              <w:top w:val="single" w:sz="4" w:space="0" w:color="auto"/>
              <w:left w:val="nil"/>
              <w:bottom w:val="single" w:sz="4" w:space="0" w:color="auto"/>
              <w:right w:val="single" w:sz="4" w:space="0" w:color="auto"/>
            </w:tcBorders>
            <w:shd w:val="clear" w:color="auto" w:fill="C6EFCE"/>
            <w:noWrap/>
          </w:tcPr>
          <w:p w14:paraId="1E83EBC7" w14:textId="77777777" w:rsidR="00356CBA" w:rsidRPr="00AD4052" w:rsidRDefault="00356CBA">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14:paraId="45F8F6FA" w14:textId="77777777" w:rsidR="00356CBA" w:rsidRPr="00AD4052" w:rsidRDefault="00356CBA">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7B27ABCF" w14:textId="77777777" w:rsidR="00356CBA" w:rsidRPr="00AD4052" w:rsidRDefault="00356CBA">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3BF71FF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1" w:type="dxa"/>
            <w:tcBorders>
              <w:top w:val="single" w:sz="4" w:space="0" w:color="auto"/>
              <w:left w:val="nil"/>
              <w:bottom w:val="single" w:sz="4" w:space="0" w:color="auto"/>
              <w:right w:val="single" w:sz="4" w:space="0" w:color="auto"/>
            </w:tcBorders>
            <w:shd w:val="clear" w:color="auto" w:fill="C6EFCE"/>
            <w:noWrap/>
          </w:tcPr>
          <w:p w14:paraId="1292BCB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770" w:type="dxa"/>
            <w:tcBorders>
              <w:top w:val="single" w:sz="4" w:space="0" w:color="auto"/>
              <w:left w:val="nil"/>
              <w:bottom w:val="single" w:sz="4" w:space="0" w:color="auto"/>
              <w:right w:val="single" w:sz="4" w:space="0" w:color="auto"/>
            </w:tcBorders>
            <w:shd w:val="clear" w:color="auto" w:fill="C6EFCE"/>
            <w:noWrap/>
          </w:tcPr>
          <w:p w14:paraId="225EC53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Viia lõpule kultuuripärandi mälestiste kaitsmine kliimamuutuste eest, sealhulgas töötada välja kultuuripärandi mälestiste kliimamuutustega kohanemise kavad, säilitades seeläbi kultuuripärandi mälestiste panuse majandustegevusse, sealhulgas hinnata ruumiliselt ja ajaliselt kliimariske ning teha kindlaks kultuuripärandi mälestiste haavatavus.</w:t>
            </w:r>
          </w:p>
        </w:tc>
      </w:tr>
      <w:tr w:rsidR="006E0EA2" w:rsidRPr="003B132A" w14:paraId="6CCCF39E"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660CD50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291</w:t>
            </w:r>
          </w:p>
        </w:tc>
        <w:tc>
          <w:tcPr>
            <w:tcW w:w="2098" w:type="dxa"/>
            <w:tcBorders>
              <w:top w:val="single" w:sz="4" w:space="0" w:color="auto"/>
              <w:left w:val="nil"/>
              <w:bottom w:val="single" w:sz="4" w:space="0" w:color="auto"/>
              <w:right w:val="single" w:sz="4" w:space="0" w:color="auto"/>
            </w:tcBorders>
            <w:shd w:val="clear" w:color="auto" w:fill="C6EFCE"/>
            <w:noWrap/>
          </w:tcPr>
          <w:p w14:paraId="1554E0E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16435_Restoration – Conservation – Akropoli mälestiste tõhustamine</w:t>
            </w:r>
          </w:p>
        </w:tc>
        <w:tc>
          <w:tcPr>
            <w:tcW w:w="1008" w:type="dxa"/>
            <w:tcBorders>
              <w:top w:val="single" w:sz="4" w:space="0" w:color="auto"/>
              <w:left w:val="nil"/>
              <w:bottom w:val="single" w:sz="4" w:space="0" w:color="auto"/>
              <w:right w:val="single" w:sz="4" w:space="0" w:color="auto"/>
            </w:tcBorders>
            <w:shd w:val="clear" w:color="auto" w:fill="C6EFCE"/>
            <w:noWrap/>
          </w:tcPr>
          <w:p w14:paraId="7443FD3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p w14:paraId="6F55186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616" w:type="dxa"/>
            <w:tcBorders>
              <w:top w:val="single" w:sz="4" w:space="0" w:color="auto"/>
              <w:left w:val="nil"/>
              <w:bottom w:val="single" w:sz="4" w:space="0" w:color="auto"/>
              <w:right w:val="single" w:sz="4" w:space="0" w:color="auto"/>
            </w:tcBorders>
            <w:shd w:val="clear" w:color="auto" w:fill="C6EFCE"/>
            <w:noWrap/>
          </w:tcPr>
          <w:p w14:paraId="2E959B3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Taastamine – kaitse – Akropoli mälestiste tõhustamine</w:t>
            </w:r>
          </w:p>
        </w:tc>
        <w:tc>
          <w:tcPr>
            <w:tcW w:w="2257" w:type="dxa"/>
            <w:tcBorders>
              <w:top w:val="single" w:sz="4" w:space="0" w:color="auto"/>
              <w:left w:val="nil"/>
              <w:bottom w:val="single" w:sz="4" w:space="0" w:color="auto"/>
              <w:right w:val="single" w:sz="4" w:space="0" w:color="auto"/>
            </w:tcBorders>
            <w:shd w:val="clear" w:color="auto" w:fill="C6EFCE"/>
            <w:noWrap/>
          </w:tcPr>
          <w:p w14:paraId="3C7002D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Lõpetamise aruanne, sealhulgas maksetõendid ja investeerimisauditite tulemused, investeeringute lõpuleviimise sertifitseerimine.</w:t>
            </w:r>
          </w:p>
        </w:tc>
        <w:tc>
          <w:tcPr>
            <w:tcW w:w="1397" w:type="dxa"/>
            <w:tcBorders>
              <w:top w:val="single" w:sz="4" w:space="0" w:color="auto"/>
              <w:left w:val="nil"/>
              <w:bottom w:val="single" w:sz="4" w:space="0" w:color="auto"/>
              <w:right w:val="single" w:sz="4" w:space="0" w:color="auto"/>
            </w:tcBorders>
            <w:shd w:val="clear" w:color="auto" w:fill="C6EFCE"/>
            <w:noWrap/>
          </w:tcPr>
          <w:p w14:paraId="302AC47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14:paraId="73C0879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3C1F5F36"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1A94780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851" w:type="dxa"/>
            <w:tcBorders>
              <w:top w:val="single" w:sz="4" w:space="0" w:color="auto"/>
              <w:left w:val="nil"/>
              <w:bottom w:val="single" w:sz="4" w:space="0" w:color="auto"/>
              <w:right w:val="single" w:sz="4" w:space="0" w:color="auto"/>
            </w:tcBorders>
            <w:shd w:val="clear" w:color="auto" w:fill="C6EFCE"/>
            <w:noWrap/>
          </w:tcPr>
          <w:p w14:paraId="4CCE77F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2770" w:type="dxa"/>
            <w:tcBorders>
              <w:top w:val="single" w:sz="4" w:space="0" w:color="auto"/>
              <w:left w:val="nil"/>
              <w:bottom w:val="single" w:sz="4" w:space="0" w:color="auto"/>
              <w:right w:val="single" w:sz="4" w:space="0" w:color="auto"/>
            </w:tcBorders>
            <w:shd w:val="clear" w:color="auto" w:fill="C6EFCE"/>
            <w:noWrap/>
          </w:tcPr>
          <w:p w14:paraId="27DD387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Akropoli mälestiste taastamise lõpuleviimine, et säilitada mälestist kliimamuutuste vastu, sealhulgas Parthenoni ja müüride restaureerimine, ala konkreetsete osade säilitamine, kivimasside konsolideerimine ja stabiliseerimine ning külastajatele juurdepääsu parandamine. </w:t>
            </w:r>
          </w:p>
        </w:tc>
      </w:tr>
    </w:tbl>
    <w:p w14:paraId="31386336" w14:textId="77777777" w:rsidR="00356CBA" w:rsidRPr="00AD4052" w:rsidRDefault="00356CBA" w:rsidP="00645BC7">
      <w:pPr>
        <w:spacing w:before="120" w:after="0" w:line="240" w:lineRule="auto"/>
        <w:jc w:val="both"/>
        <w:rPr>
          <w:rFonts w:ascii="Times New Roman" w:hAnsi="Times New Roman" w:cs="Times New Roman"/>
          <w:noProof/>
          <w:sz w:val="24"/>
        </w:rPr>
        <w:sectPr w:rsidR="00356CBA" w:rsidRPr="00AD4052" w:rsidSect="00271D33">
          <w:headerReference w:type="even" r:id="rId344"/>
          <w:headerReference w:type="default" r:id="rId345"/>
          <w:footerReference w:type="even" r:id="rId346"/>
          <w:footerReference w:type="default" r:id="rId347"/>
          <w:headerReference w:type="first" r:id="rId348"/>
          <w:footerReference w:type="first" r:id="rId349"/>
          <w:pgSz w:w="16839" w:h="11907" w:orient="landscape"/>
          <w:pgMar w:top="720" w:right="720" w:bottom="720" w:left="720" w:header="709" w:footer="500" w:gutter="0"/>
          <w:cols w:space="720"/>
          <w:docGrid w:linePitch="360"/>
        </w:sectPr>
      </w:pPr>
    </w:p>
    <w:p w14:paraId="5B42D918" w14:textId="77777777" w:rsidR="00356CBA" w:rsidRPr="00AD4052" w:rsidRDefault="00356CBA" w:rsidP="00645BC7">
      <w:pPr>
        <w:spacing w:before="120" w:after="0" w:line="240" w:lineRule="auto"/>
        <w:jc w:val="both"/>
        <w:rPr>
          <w:rFonts w:ascii="Times New Roman" w:hAnsi="Times New Roman" w:cs="Times New Roman"/>
          <w:noProof/>
          <w:sz w:val="24"/>
        </w:rPr>
      </w:pPr>
    </w:p>
    <w:p w14:paraId="2E8F5CB0"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26: Turism ja laevandus</w:t>
      </w:r>
    </w:p>
    <w:p w14:paraId="4CE3A627"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Turismi arendamine (hõlmab allprojekti „Upgrad“ meetmed turismisadamatesse) (ID: 16931)</w:t>
      </w:r>
    </w:p>
    <w:p w14:paraId="5469F451"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Ümber- ja täiendusõpe turismis (ID: 16921)</w:t>
      </w:r>
    </w:p>
    <w:p w14:paraId="7FCEB292" w14:textId="77777777" w:rsidR="00356CBA" w:rsidRPr="00E02B5D" w:rsidRDefault="00356CBA" w:rsidP="00DE1EE5">
      <w:pPr>
        <w:numPr>
          <w:ilvl w:val="0"/>
          <w:numId w:val="31"/>
        </w:numPr>
        <w:spacing w:before="120" w:after="0" w:line="240" w:lineRule="auto"/>
        <w:jc w:val="both"/>
        <w:rPr>
          <w:rFonts w:ascii="Times New Roman" w:hAnsi="Times New Roman" w:cs="Times New Roman"/>
          <w:noProof/>
          <w:sz w:val="24"/>
        </w:rPr>
      </w:pPr>
      <w:r>
        <w:rPr>
          <w:rFonts w:ascii="Times New Roman" w:hAnsi="Times New Roman"/>
          <w:noProof/>
          <w:sz w:val="24"/>
        </w:rPr>
        <w:t>Piirkondlike sadamate sekkumismeetmete ajakohastamine (ID: 16975)</w:t>
      </w:r>
    </w:p>
    <w:p w14:paraId="37A58180" w14:textId="77777777" w:rsidR="00356CBA" w:rsidRPr="00E02B5D" w:rsidRDefault="00356CBA" w:rsidP="00DE1EE5">
      <w:pPr>
        <w:numPr>
          <w:ilvl w:val="0"/>
          <w:numId w:val="31"/>
        </w:numPr>
        <w:spacing w:before="120" w:after="120" w:line="240" w:lineRule="auto"/>
        <w:jc w:val="both"/>
        <w:rPr>
          <w:rFonts w:ascii="Times New Roman" w:hAnsi="Times New Roman" w:cs="Times New Roman"/>
          <w:noProof/>
          <w:sz w:val="24"/>
        </w:rPr>
      </w:pPr>
      <w:r>
        <w:rPr>
          <w:rFonts w:ascii="Times New Roman" w:hAnsi="Times New Roman"/>
          <w:noProof/>
          <w:sz w:val="24"/>
        </w:rPr>
        <w:t>Kreeka reisilaevastiku uuendamise üldkava (ID: 16944)</w:t>
      </w:r>
    </w:p>
    <w:p w14:paraId="6365EC15" w14:textId="77777777" w:rsidR="00356CBA" w:rsidRPr="00AD4052" w:rsidRDefault="00356CBA" w:rsidP="00645BC7">
      <w:pPr>
        <w:spacing w:before="120" w:after="0" w:line="240" w:lineRule="auto"/>
        <w:jc w:val="both"/>
        <w:rPr>
          <w:rFonts w:ascii="Times New Roman" w:hAnsi="Times New Roman" w:cs="Times New Roman"/>
          <w:noProof/>
          <w:sz w:val="24"/>
        </w:rPr>
      </w:pPr>
    </w:p>
    <w:tbl>
      <w:tblPr>
        <w:tblW w:w="16438" w:type="dxa"/>
        <w:jc w:val="center"/>
        <w:tblLook w:val="04A0" w:firstRow="1" w:lastRow="0" w:firstColumn="1" w:lastColumn="0" w:noHBand="0" w:noVBand="1"/>
      </w:tblPr>
      <w:tblGrid>
        <w:gridCol w:w="1116"/>
        <w:gridCol w:w="1621"/>
        <w:gridCol w:w="1381"/>
        <w:gridCol w:w="1738"/>
        <w:gridCol w:w="1745"/>
        <w:gridCol w:w="1741"/>
        <w:gridCol w:w="966"/>
        <w:gridCol w:w="906"/>
        <w:gridCol w:w="986"/>
        <w:gridCol w:w="662"/>
        <w:gridCol w:w="3576"/>
      </w:tblGrid>
      <w:tr w:rsidR="007B4D63" w:rsidRPr="003B132A" w14:paraId="0D4DDB06" w14:textId="77777777" w:rsidTr="005D5392">
        <w:trPr>
          <w:trHeight w:val="594"/>
          <w:tblHeade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1EC0A3" w14:textId="73D2393D"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Järjekorra</w:t>
            </w:r>
            <w:r w:rsidR="005D5392">
              <w:rPr>
                <w:rFonts w:ascii="Times New Roman" w:hAnsi="Times New Roman"/>
                <w:b/>
                <w:noProof/>
                <w:sz w:val="18"/>
              </w:rPr>
              <w:t>-</w:t>
            </w:r>
            <w:r>
              <w:rPr>
                <w:rFonts w:ascii="Times New Roman" w:hAnsi="Times New Roman"/>
                <w:b/>
                <w:noProof/>
                <w:sz w:val="18"/>
              </w:rPr>
              <w:t>number</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D1135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Seotud meede (reform või investeering)</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DFE08D"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 / siht</w:t>
            </w:r>
          </w:p>
        </w:tc>
        <w:tc>
          <w:tcPr>
            <w:tcW w:w="1738" w:type="dxa"/>
            <w:vMerge w:val="restart"/>
            <w:tcBorders>
              <w:top w:val="single" w:sz="4" w:space="0" w:color="auto"/>
              <w:left w:val="nil"/>
              <w:bottom w:val="single" w:sz="4" w:space="0" w:color="auto"/>
              <w:right w:val="single" w:sz="4" w:space="0" w:color="auto"/>
            </w:tcBorders>
            <w:shd w:val="clear" w:color="auto" w:fill="BDD7EE"/>
            <w:vAlign w:val="center"/>
            <w:hideMark/>
          </w:tcPr>
          <w:p w14:paraId="18B642F0"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Nimi</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332B021"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Kvalitatiivsed näitajad (eesmärkide puhul)</w:t>
            </w:r>
          </w:p>
        </w:tc>
        <w:tc>
          <w:tcPr>
            <w:tcW w:w="3613" w:type="dxa"/>
            <w:gridSpan w:val="3"/>
            <w:tcBorders>
              <w:top w:val="single" w:sz="4" w:space="0" w:color="auto"/>
              <w:left w:val="nil"/>
              <w:bottom w:val="single" w:sz="4" w:space="0" w:color="auto"/>
              <w:right w:val="single" w:sz="4" w:space="0" w:color="auto"/>
            </w:tcBorders>
            <w:shd w:val="clear" w:color="auto" w:fill="BDD7EE"/>
            <w:vAlign w:val="center"/>
            <w:hideMark/>
          </w:tcPr>
          <w:p w14:paraId="6A9BABA4"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Kvantitatiivsed näitajad (sihtide puhul)</w:t>
            </w:r>
          </w:p>
        </w:tc>
        <w:tc>
          <w:tcPr>
            <w:tcW w:w="1648" w:type="dxa"/>
            <w:gridSpan w:val="2"/>
            <w:tcBorders>
              <w:top w:val="single" w:sz="4" w:space="0" w:color="auto"/>
              <w:left w:val="nil"/>
              <w:bottom w:val="single" w:sz="4" w:space="0" w:color="auto"/>
              <w:right w:val="single" w:sz="4" w:space="0" w:color="auto"/>
            </w:tcBorders>
            <w:shd w:val="clear" w:color="auto" w:fill="BDD7EE"/>
            <w:vAlign w:val="center"/>
            <w:hideMark/>
          </w:tcPr>
          <w:p w14:paraId="7114A19F"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Lõpuleviimise soovituslik ajakava </w:t>
            </w:r>
          </w:p>
        </w:tc>
        <w:tc>
          <w:tcPr>
            <w:tcW w:w="35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8931F2"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Iga eesmärgi ja sihi kirjeldus</w:t>
            </w:r>
          </w:p>
        </w:tc>
      </w:tr>
      <w:tr w:rsidR="007B4D63" w:rsidRPr="00E02B5D" w14:paraId="0B469217" w14:textId="77777777" w:rsidTr="005D5392">
        <w:trPr>
          <w:trHeight w:val="508"/>
          <w:tblHeader/>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7ED81AF1"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438E7E5F"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4C92CEDD"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3716D1A6"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01758D39"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74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5B774DD"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966" w:type="dxa"/>
            <w:tcBorders>
              <w:top w:val="nil"/>
              <w:left w:val="nil"/>
              <w:bottom w:val="single" w:sz="4" w:space="0" w:color="auto"/>
              <w:right w:val="single" w:sz="4" w:space="0" w:color="auto"/>
            </w:tcBorders>
            <w:shd w:val="clear" w:color="auto" w:fill="BDD7EE"/>
            <w:vAlign w:val="center"/>
            <w:hideMark/>
          </w:tcPr>
          <w:p w14:paraId="3A0AFBC2"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Lähtetase </w:t>
            </w:r>
          </w:p>
        </w:tc>
        <w:tc>
          <w:tcPr>
            <w:tcW w:w="906" w:type="dxa"/>
            <w:tcBorders>
              <w:top w:val="nil"/>
              <w:left w:val="nil"/>
              <w:bottom w:val="single" w:sz="4" w:space="0" w:color="auto"/>
              <w:right w:val="single" w:sz="4" w:space="0" w:color="auto"/>
            </w:tcBorders>
            <w:shd w:val="clear" w:color="auto" w:fill="BDD7EE"/>
            <w:vAlign w:val="center"/>
            <w:hideMark/>
          </w:tcPr>
          <w:p w14:paraId="52690CAB"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Eesmärk </w:t>
            </w:r>
          </w:p>
        </w:tc>
        <w:tc>
          <w:tcPr>
            <w:tcW w:w="986" w:type="dxa"/>
            <w:tcBorders>
              <w:top w:val="nil"/>
              <w:left w:val="nil"/>
              <w:bottom w:val="single" w:sz="4" w:space="0" w:color="auto"/>
              <w:right w:val="single" w:sz="4" w:space="0" w:color="auto"/>
            </w:tcBorders>
            <w:shd w:val="clear" w:color="auto" w:fill="BDD7EE"/>
            <w:vAlign w:val="center"/>
            <w:hideMark/>
          </w:tcPr>
          <w:p w14:paraId="2317CD5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662" w:type="dxa"/>
            <w:tcBorders>
              <w:top w:val="nil"/>
              <w:left w:val="nil"/>
              <w:bottom w:val="single" w:sz="4" w:space="0" w:color="auto"/>
              <w:right w:val="single" w:sz="4" w:space="0" w:color="auto"/>
            </w:tcBorders>
            <w:shd w:val="clear" w:color="auto" w:fill="BDD7EE"/>
            <w:vAlign w:val="center"/>
            <w:hideMark/>
          </w:tcPr>
          <w:p w14:paraId="632D7EE9"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3576" w:type="dxa"/>
            <w:vMerge/>
            <w:tcBorders>
              <w:top w:val="single" w:sz="4" w:space="0" w:color="auto"/>
              <w:bottom w:val="single" w:sz="4" w:space="0" w:color="auto"/>
              <w:right w:val="single" w:sz="4" w:space="0" w:color="auto"/>
            </w:tcBorders>
            <w:vAlign w:val="center"/>
            <w:hideMark/>
          </w:tcPr>
          <w:p w14:paraId="636A9798"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7B4D63" w:rsidRPr="003B132A" w14:paraId="3F25A25E"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D5F371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292</w:t>
            </w:r>
          </w:p>
        </w:tc>
        <w:tc>
          <w:tcPr>
            <w:tcW w:w="1621" w:type="dxa"/>
            <w:tcBorders>
              <w:top w:val="single" w:sz="4" w:space="0" w:color="auto"/>
              <w:left w:val="nil"/>
              <w:bottom w:val="single" w:sz="4" w:space="0" w:color="auto"/>
              <w:right w:val="single" w:sz="4" w:space="0" w:color="auto"/>
            </w:tcBorders>
            <w:shd w:val="clear" w:color="auto" w:fill="C6EFCE"/>
            <w:noWrap/>
          </w:tcPr>
          <w:p w14:paraId="38D1A38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16931_Turismi arendamine</w:t>
            </w:r>
          </w:p>
        </w:tc>
        <w:tc>
          <w:tcPr>
            <w:tcW w:w="1381" w:type="dxa"/>
            <w:tcBorders>
              <w:top w:val="single" w:sz="4" w:space="0" w:color="auto"/>
              <w:left w:val="nil"/>
              <w:bottom w:val="single" w:sz="4" w:space="0" w:color="auto"/>
              <w:right w:val="single" w:sz="4" w:space="0" w:color="auto"/>
            </w:tcBorders>
            <w:shd w:val="clear" w:color="auto" w:fill="C6EFCE"/>
            <w:noWrap/>
          </w:tcPr>
          <w:p w14:paraId="5D7A7B8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p w14:paraId="3EE0F66E"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738" w:type="dxa"/>
            <w:tcBorders>
              <w:top w:val="single" w:sz="4" w:space="0" w:color="auto"/>
              <w:left w:val="nil"/>
              <w:bottom w:val="single" w:sz="4" w:space="0" w:color="auto"/>
              <w:right w:val="single" w:sz="4" w:space="0" w:color="auto"/>
            </w:tcBorders>
            <w:shd w:val="clear" w:color="auto" w:fill="C6EFCE"/>
            <w:noWrap/>
          </w:tcPr>
          <w:p w14:paraId="575AA96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Turismi arendamine: turismisadamate reformid</w:t>
            </w:r>
          </w:p>
        </w:tc>
        <w:tc>
          <w:tcPr>
            <w:tcW w:w="1745" w:type="dxa"/>
            <w:tcBorders>
              <w:top w:val="single" w:sz="4" w:space="0" w:color="auto"/>
              <w:left w:val="nil"/>
              <w:bottom w:val="single" w:sz="4" w:space="0" w:color="auto"/>
              <w:right w:val="single" w:sz="4" w:space="0" w:color="auto"/>
            </w:tcBorders>
            <w:shd w:val="clear" w:color="auto" w:fill="C6EFCE"/>
            <w:noWrap/>
          </w:tcPr>
          <w:p w14:paraId="4C21031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Turismisadamaid käsitleva seaduse 2160/1993 muudatuste jõustumine.</w:t>
            </w:r>
          </w:p>
          <w:p w14:paraId="2981930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Suusakuurorte käsitlevate seaduste 4179/2013 ja 4276/2014 muudatuste jõustumine.</w:t>
            </w:r>
          </w:p>
          <w:p w14:paraId="6AF25A6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projektijuhtimise büroo loomist tõendav aruanne.</w:t>
            </w:r>
          </w:p>
        </w:tc>
        <w:tc>
          <w:tcPr>
            <w:tcW w:w="1741" w:type="dxa"/>
            <w:tcBorders>
              <w:top w:val="single" w:sz="4" w:space="0" w:color="auto"/>
              <w:left w:val="nil"/>
              <w:bottom w:val="single" w:sz="4" w:space="0" w:color="auto"/>
              <w:right w:val="single" w:sz="4" w:space="0" w:color="auto"/>
            </w:tcBorders>
            <w:shd w:val="clear" w:color="auto" w:fill="C6EFCE"/>
            <w:noWrap/>
          </w:tcPr>
          <w:p w14:paraId="6E83A3C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4B2EA1C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5701D1D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86" w:type="dxa"/>
            <w:tcBorders>
              <w:top w:val="nil"/>
              <w:left w:val="nil"/>
              <w:bottom w:val="single" w:sz="4" w:space="0" w:color="auto"/>
              <w:right w:val="single" w:sz="4" w:space="0" w:color="auto"/>
            </w:tcBorders>
            <w:shd w:val="clear" w:color="auto" w:fill="C6EFCE"/>
            <w:noWrap/>
          </w:tcPr>
          <w:p w14:paraId="7BDD2BC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kv</w:t>
            </w:r>
          </w:p>
        </w:tc>
        <w:tc>
          <w:tcPr>
            <w:tcW w:w="662" w:type="dxa"/>
            <w:tcBorders>
              <w:top w:val="nil"/>
              <w:left w:val="nil"/>
              <w:bottom w:val="single" w:sz="4" w:space="0" w:color="auto"/>
              <w:right w:val="single" w:sz="4" w:space="0" w:color="auto"/>
            </w:tcBorders>
            <w:shd w:val="clear" w:color="auto" w:fill="C6EFCE"/>
            <w:noWrap/>
          </w:tcPr>
          <w:p w14:paraId="6EE5745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3576" w:type="dxa"/>
            <w:tcBorders>
              <w:top w:val="single" w:sz="4" w:space="0" w:color="auto"/>
              <w:left w:val="nil"/>
              <w:bottom w:val="single" w:sz="4" w:space="0" w:color="auto"/>
              <w:right w:val="single" w:sz="4" w:space="0" w:color="auto"/>
            </w:tcBorders>
            <w:shd w:val="clear" w:color="auto" w:fill="C6EFCE"/>
            <w:noWrap/>
          </w:tcPr>
          <w:p w14:paraId="73AD21F7" w14:textId="77777777" w:rsidR="00356CBA" w:rsidRPr="00E02B5D" w:rsidRDefault="00356CBA">
            <w:pPr>
              <w:spacing w:after="0" w:line="240" w:lineRule="auto"/>
              <w:rPr>
                <w:rFonts w:cs="Calibri"/>
                <w:noProof/>
                <w:color w:val="006100"/>
                <w:sz w:val="18"/>
                <w:szCs w:val="18"/>
              </w:rPr>
            </w:pPr>
            <w:r>
              <w:rPr>
                <w:noProof/>
                <w:color w:val="006100"/>
                <w:sz w:val="18"/>
              </w:rPr>
              <w:t>1) Turismi arendamine: Selliste õigusaktide jõustumine, millega reformitakse turismisadamate õiguslikku raamistikku, et soodustada uusi investeeringuid, sealhulgas muudetakse paigaldamis- ja tegevuslube käsitlevaid sätteid kooskõlas investeerimislubade seadusega 4442/2016.</w:t>
            </w:r>
          </w:p>
          <w:p w14:paraId="53FD0461" w14:textId="77777777" w:rsidR="00356CBA" w:rsidRPr="00E02B5D" w:rsidRDefault="00356CBA">
            <w:pPr>
              <w:spacing w:after="0" w:line="240" w:lineRule="auto"/>
              <w:rPr>
                <w:rFonts w:cs="Calibri"/>
                <w:noProof/>
                <w:color w:val="006100"/>
                <w:sz w:val="18"/>
                <w:szCs w:val="18"/>
              </w:rPr>
            </w:pPr>
            <w:r>
              <w:rPr>
                <w:noProof/>
                <w:color w:val="006100"/>
                <w:sz w:val="18"/>
              </w:rPr>
              <w:t>2) Turismi arendamine: Selliste õigusaktide jõustumine, millega reformitakse suusakuurortide õigusraamistikku, et soodustada uusi investeeringuid, sealhulgas muudetakse paigaldamis- ja tegevuslube käsitlevaid sätteid kooskõlas investeerimislubade seadusega 4442/2016.</w:t>
            </w:r>
            <w:r>
              <w:rPr>
                <w:rFonts w:ascii="Times New Roman" w:hAnsi="Times New Roman"/>
                <w:noProof/>
                <w:sz w:val="24"/>
              </w:rPr>
              <w:t xml:space="preserve"> </w:t>
            </w:r>
          </w:p>
          <w:p w14:paraId="2C9DDCA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Turismi arendamine: Projektijuhtimise büroo loomine turismisadamate ajakohastamiseks tehtavate investeeringute järelevalveks.</w:t>
            </w:r>
          </w:p>
        </w:tc>
      </w:tr>
      <w:tr w:rsidR="00356CBA" w:rsidRPr="003B132A" w14:paraId="5C895643"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1D2CB7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293</w:t>
            </w:r>
          </w:p>
        </w:tc>
        <w:tc>
          <w:tcPr>
            <w:tcW w:w="1621" w:type="dxa"/>
            <w:tcBorders>
              <w:top w:val="single" w:sz="4" w:space="0" w:color="auto"/>
              <w:left w:val="nil"/>
              <w:bottom w:val="single" w:sz="4" w:space="0" w:color="auto"/>
              <w:right w:val="single" w:sz="4" w:space="0" w:color="auto"/>
            </w:tcBorders>
            <w:shd w:val="clear" w:color="auto" w:fill="C6EFCE"/>
            <w:noWrap/>
          </w:tcPr>
          <w:p w14:paraId="2ED53DF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16975_Piirkondlike sadamate ajakohastamine</w:t>
            </w:r>
          </w:p>
        </w:tc>
        <w:tc>
          <w:tcPr>
            <w:tcW w:w="1381" w:type="dxa"/>
            <w:tcBorders>
              <w:top w:val="single" w:sz="4" w:space="0" w:color="auto"/>
              <w:left w:val="nil"/>
              <w:bottom w:val="single" w:sz="4" w:space="0" w:color="auto"/>
              <w:right w:val="single" w:sz="4" w:space="0" w:color="auto"/>
            </w:tcBorders>
            <w:shd w:val="clear" w:color="auto" w:fill="C6EFCE"/>
            <w:noWrap/>
          </w:tcPr>
          <w:p w14:paraId="45B8335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Siht</w:t>
            </w:r>
          </w:p>
        </w:tc>
        <w:tc>
          <w:tcPr>
            <w:tcW w:w="1738" w:type="dxa"/>
            <w:tcBorders>
              <w:top w:val="single" w:sz="4" w:space="0" w:color="auto"/>
              <w:left w:val="nil"/>
              <w:bottom w:val="single" w:sz="4" w:space="0" w:color="auto"/>
              <w:right w:val="single" w:sz="4" w:space="0" w:color="auto"/>
            </w:tcBorders>
            <w:shd w:val="clear" w:color="auto" w:fill="C6EFCE"/>
            <w:noWrap/>
          </w:tcPr>
          <w:p w14:paraId="4696199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Piirkondlike sadamauuendustega seotud lepingud</w:t>
            </w:r>
          </w:p>
        </w:tc>
        <w:tc>
          <w:tcPr>
            <w:tcW w:w="1745" w:type="dxa"/>
            <w:tcBorders>
              <w:top w:val="single" w:sz="4" w:space="0" w:color="auto"/>
              <w:left w:val="nil"/>
              <w:bottom w:val="single" w:sz="4" w:space="0" w:color="auto"/>
              <w:right w:val="single" w:sz="4" w:space="0" w:color="auto"/>
            </w:tcBorders>
            <w:shd w:val="clear" w:color="auto" w:fill="C6EFCE"/>
            <w:noWrap/>
          </w:tcPr>
          <w:p w14:paraId="0760D4A2"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14:paraId="28C9FA5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Kindlaksmääratud piirkondlike sadamaparanduste arv, mille puhul tuleb lõpetada üksikprojektide lepingute sõlmimisest teatamine</w:t>
            </w:r>
          </w:p>
        </w:tc>
        <w:tc>
          <w:tcPr>
            <w:tcW w:w="966" w:type="dxa"/>
            <w:tcBorders>
              <w:top w:val="single" w:sz="4" w:space="0" w:color="auto"/>
              <w:left w:val="nil"/>
              <w:bottom w:val="single" w:sz="4" w:space="0" w:color="auto"/>
              <w:right w:val="single" w:sz="4" w:space="0" w:color="auto"/>
            </w:tcBorders>
            <w:shd w:val="clear" w:color="auto" w:fill="C6EFCE"/>
            <w:noWrap/>
          </w:tcPr>
          <w:p w14:paraId="6796550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0</w:t>
            </w:r>
          </w:p>
        </w:tc>
        <w:tc>
          <w:tcPr>
            <w:tcW w:w="906" w:type="dxa"/>
            <w:tcBorders>
              <w:top w:val="single" w:sz="4" w:space="0" w:color="auto"/>
              <w:left w:val="nil"/>
              <w:bottom w:val="single" w:sz="4" w:space="0" w:color="auto"/>
              <w:right w:val="single" w:sz="4" w:space="0" w:color="auto"/>
            </w:tcBorders>
            <w:shd w:val="clear" w:color="auto" w:fill="C6EFCE"/>
            <w:noWrap/>
          </w:tcPr>
          <w:p w14:paraId="0D4954A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28</w:t>
            </w:r>
          </w:p>
        </w:tc>
        <w:tc>
          <w:tcPr>
            <w:tcW w:w="986" w:type="dxa"/>
            <w:tcBorders>
              <w:top w:val="single" w:sz="4" w:space="0" w:color="auto"/>
              <w:left w:val="nil"/>
              <w:bottom w:val="single" w:sz="4" w:space="0" w:color="auto"/>
              <w:right w:val="single" w:sz="4" w:space="0" w:color="auto"/>
            </w:tcBorders>
            <w:shd w:val="clear" w:color="auto" w:fill="C6EFCE"/>
            <w:noWrap/>
          </w:tcPr>
          <w:p w14:paraId="5140387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662" w:type="dxa"/>
            <w:tcBorders>
              <w:top w:val="single" w:sz="4" w:space="0" w:color="auto"/>
              <w:left w:val="nil"/>
              <w:bottom w:val="single" w:sz="4" w:space="0" w:color="auto"/>
              <w:right w:val="single" w:sz="4" w:space="0" w:color="auto"/>
            </w:tcBorders>
            <w:shd w:val="clear" w:color="auto" w:fill="C6EFCE"/>
            <w:noWrap/>
          </w:tcPr>
          <w:p w14:paraId="27C426B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3576" w:type="dxa"/>
            <w:tcBorders>
              <w:top w:val="single" w:sz="4" w:space="0" w:color="auto"/>
              <w:left w:val="nil"/>
              <w:bottom w:val="single" w:sz="4" w:space="0" w:color="auto"/>
              <w:right w:val="single" w:sz="4" w:space="0" w:color="auto"/>
            </w:tcBorders>
            <w:shd w:val="clear" w:color="auto" w:fill="C6EFCE"/>
            <w:noWrap/>
          </w:tcPr>
          <w:p w14:paraId="2B0E3EB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Täidetakse teade piirkondlike sadamauuenduste lepingute sõlmimise kohta.</w:t>
            </w:r>
          </w:p>
        </w:tc>
      </w:tr>
      <w:tr w:rsidR="00356CBA" w:rsidRPr="003B132A" w14:paraId="3134A3FA"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BBF296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294</w:t>
            </w:r>
          </w:p>
        </w:tc>
        <w:tc>
          <w:tcPr>
            <w:tcW w:w="1621" w:type="dxa"/>
            <w:tcBorders>
              <w:top w:val="single" w:sz="4" w:space="0" w:color="auto"/>
              <w:left w:val="nil"/>
              <w:bottom w:val="single" w:sz="4" w:space="0" w:color="auto"/>
              <w:right w:val="single" w:sz="4" w:space="0" w:color="auto"/>
            </w:tcBorders>
            <w:shd w:val="clear" w:color="auto" w:fill="C6EFCE"/>
            <w:noWrap/>
          </w:tcPr>
          <w:p w14:paraId="0FA303F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16944_Kreeka reisilaevastiku uuendamise üldkava</w:t>
            </w:r>
          </w:p>
        </w:tc>
        <w:tc>
          <w:tcPr>
            <w:tcW w:w="1381" w:type="dxa"/>
            <w:tcBorders>
              <w:top w:val="single" w:sz="4" w:space="0" w:color="auto"/>
              <w:left w:val="nil"/>
              <w:bottom w:val="single" w:sz="4" w:space="0" w:color="auto"/>
              <w:right w:val="single" w:sz="4" w:space="0" w:color="auto"/>
            </w:tcBorders>
            <w:shd w:val="clear" w:color="auto" w:fill="C6EFCE"/>
            <w:noWrap/>
          </w:tcPr>
          <w:p w14:paraId="7BDC0E7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738" w:type="dxa"/>
            <w:tcBorders>
              <w:top w:val="single" w:sz="4" w:space="0" w:color="auto"/>
              <w:left w:val="nil"/>
              <w:bottom w:val="single" w:sz="4" w:space="0" w:color="auto"/>
              <w:right w:val="single" w:sz="4" w:space="0" w:color="auto"/>
            </w:tcBorders>
            <w:shd w:val="clear" w:color="auto" w:fill="C6EFCE"/>
            <w:noWrap/>
          </w:tcPr>
          <w:p w14:paraId="4424E9F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Kreeka reisilaevanduse üldkava</w:t>
            </w:r>
          </w:p>
        </w:tc>
        <w:tc>
          <w:tcPr>
            <w:tcW w:w="1745" w:type="dxa"/>
            <w:tcBorders>
              <w:top w:val="single" w:sz="4" w:space="0" w:color="auto"/>
              <w:left w:val="nil"/>
              <w:bottom w:val="single" w:sz="4" w:space="0" w:color="auto"/>
              <w:right w:val="single" w:sz="4" w:space="0" w:color="auto"/>
            </w:tcBorders>
            <w:shd w:val="clear" w:color="auto" w:fill="C6EFCE"/>
            <w:noWrap/>
          </w:tcPr>
          <w:p w14:paraId="57307BA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Lõpetatud aruanne ja konsultatsioonide kokkuvõte.</w:t>
            </w:r>
          </w:p>
        </w:tc>
        <w:tc>
          <w:tcPr>
            <w:tcW w:w="1741" w:type="dxa"/>
            <w:tcBorders>
              <w:top w:val="single" w:sz="4" w:space="0" w:color="auto"/>
              <w:left w:val="nil"/>
              <w:bottom w:val="single" w:sz="4" w:space="0" w:color="auto"/>
              <w:right w:val="single" w:sz="4" w:space="0" w:color="auto"/>
            </w:tcBorders>
            <w:shd w:val="clear" w:color="auto" w:fill="C6EFCE"/>
            <w:noWrap/>
          </w:tcPr>
          <w:p w14:paraId="7A05789B"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3EF0CD91"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370B05DF" w14:textId="77777777" w:rsidR="00356CBA" w:rsidRPr="00AD4052" w:rsidRDefault="00356CBA">
            <w:pPr>
              <w:spacing w:after="0" w:line="240" w:lineRule="auto"/>
              <w:rPr>
                <w:rFonts w:eastAsia="Times New Roman" w:cs="Calibri"/>
                <w:noProof/>
                <w:color w:val="006100"/>
                <w:sz w:val="18"/>
                <w:szCs w:val="18"/>
                <w:lang w:eastAsia="en-GB"/>
              </w:rPr>
            </w:pPr>
          </w:p>
        </w:tc>
        <w:tc>
          <w:tcPr>
            <w:tcW w:w="986" w:type="dxa"/>
            <w:tcBorders>
              <w:top w:val="single" w:sz="4" w:space="0" w:color="auto"/>
              <w:left w:val="nil"/>
              <w:bottom w:val="single" w:sz="4" w:space="0" w:color="auto"/>
              <w:right w:val="single" w:sz="4" w:space="0" w:color="auto"/>
            </w:tcBorders>
            <w:shd w:val="clear" w:color="auto" w:fill="C6EFCE"/>
            <w:noWrap/>
          </w:tcPr>
          <w:p w14:paraId="3CED1FD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662" w:type="dxa"/>
            <w:tcBorders>
              <w:top w:val="single" w:sz="4" w:space="0" w:color="auto"/>
              <w:left w:val="nil"/>
              <w:bottom w:val="single" w:sz="4" w:space="0" w:color="auto"/>
              <w:right w:val="single" w:sz="4" w:space="0" w:color="auto"/>
            </w:tcBorders>
            <w:shd w:val="clear" w:color="auto" w:fill="C6EFCE"/>
            <w:noWrap/>
          </w:tcPr>
          <w:p w14:paraId="6FEA6CA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3576" w:type="dxa"/>
            <w:tcBorders>
              <w:top w:val="single" w:sz="4" w:space="0" w:color="auto"/>
              <w:left w:val="nil"/>
              <w:bottom w:val="single" w:sz="4" w:space="0" w:color="auto"/>
              <w:right w:val="single" w:sz="4" w:space="0" w:color="auto"/>
            </w:tcBorders>
            <w:shd w:val="clear" w:color="auto" w:fill="C6EFCE"/>
            <w:noWrap/>
          </w:tcPr>
          <w:p w14:paraId="0F57AA8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Kreeka reisilaevastiku uuendamise üldkava: Projekti lõpuleviimine</w:t>
            </w:r>
          </w:p>
        </w:tc>
      </w:tr>
      <w:tr w:rsidR="00356CBA" w:rsidRPr="003B132A" w14:paraId="0CB0AD57"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B837F7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295</w:t>
            </w:r>
          </w:p>
        </w:tc>
        <w:tc>
          <w:tcPr>
            <w:tcW w:w="1621" w:type="dxa"/>
            <w:tcBorders>
              <w:top w:val="single" w:sz="4" w:space="0" w:color="auto"/>
              <w:left w:val="nil"/>
              <w:bottom w:val="single" w:sz="4" w:space="0" w:color="auto"/>
              <w:right w:val="single" w:sz="4" w:space="0" w:color="auto"/>
            </w:tcBorders>
            <w:shd w:val="clear" w:color="auto" w:fill="C6EFCE"/>
            <w:noWrap/>
          </w:tcPr>
          <w:p w14:paraId="0EBEDE2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16931_Turismi arendamine</w:t>
            </w:r>
          </w:p>
        </w:tc>
        <w:tc>
          <w:tcPr>
            <w:tcW w:w="1381" w:type="dxa"/>
            <w:tcBorders>
              <w:top w:val="single" w:sz="4" w:space="0" w:color="auto"/>
              <w:left w:val="nil"/>
              <w:bottom w:val="single" w:sz="4" w:space="0" w:color="auto"/>
              <w:right w:val="single" w:sz="4" w:space="0" w:color="auto"/>
            </w:tcBorders>
            <w:shd w:val="clear" w:color="auto" w:fill="C6EFCE"/>
            <w:noWrap/>
          </w:tcPr>
          <w:p w14:paraId="4B5DBF7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738" w:type="dxa"/>
            <w:tcBorders>
              <w:top w:val="single" w:sz="4" w:space="0" w:color="auto"/>
              <w:left w:val="nil"/>
              <w:bottom w:val="single" w:sz="4" w:space="0" w:color="auto"/>
              <w:right w:val="single" w:sz="4" w:space="0" w:color="auto"/>
            </w:tcBorders>
            <w:shd w:val="clear" w:color="auto" w:fill="C6EFCE"/>
            <w:noWrap/>
          </w:tcPr>
          <w:p w14:paraId="6687C3C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Turismi arendamine: turismisadamate lepingud</w:t>
            </w:r>
          </w:p>
        </w:tc>
        <w:tc>
          <w:tcPr>
            <w:tcW w:w="1745" w:type="dxa"/>
            <w:tcBorders>
              <w:top w:val="single" w:sz="4" w:space="0" w:color="auto"/>
              <w:left w:val="nil"/>
              <w:bottom w:val="single" w:sz="4" w:space="0" w:color="auto"/>
              <w:right w:val="single" w:sz="4" w:space="0" w:color="auto"/>
            </w:tcBorders>
            <w:shd w:val="clear" w:color="auto" w:fill="C6EFCE"/>
            <w:noWrap/>
          </w:tcPr>
          <w:p w14:paraId="016F5B7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Lepingute sõlmimisest teatamine </w:t>
            </w:r>
          </w:p>
        </w:tc>
        <w:tc>
          <w:tcPr>
            <w:tcW w:w="1741" w:type="dxa"/>
            <w:tcBorders>
              <w:top w:val="single" w:sz="4" w:space="0" w:color="auto"/>
              <w:left w:val="nil"/>
              <w:bottom w:val="single" w:sz="4" w:space="0" w:color="auto"/>
              <w:right w:val="single" w:sz="4" w:space="0" w:color="auto"/>
            </w:tcBorders>
            <w:shd w:val="clear" w:color="auto" w:fill="C6EFCE"/>
            <w:noWrap/>
          </w:tcPr>
          <w:p w14:paraId="28142BA9"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28DBC6E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126AE028"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86" w:type="dxa"/>
            <w:tcBorders>
              <w:top w:val="single" w:sz="4" w:space="0" w:color="auto"/>
              <w:left w:val="nil"/>
              <w:bottom w:val="single" w:sz="4" w:space="0" w:color="auto"/>
              <w:right w:val="single" w:sz="4" w:space="0" w:color="auto"/>
            </w:tcBorders>
            <w:shd w:val="clear" w:color="auto" w:fill="C6EFCE"/>
            <w:noWrap/>
          </w:tcPr>
          <w:p w14:paraId="292611E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662" w:type="dxa"/>
            <w:tcBorders>
              <w:top w:val="single" w:sz="4" w:space="0" w:color="auto"/>
              <w:left w:val="nil"/>
              <w:bottom w:val="single" w:sz="4" w:space="0" w:color="auto"/>
              <w:right w:val="single" w:sz="4" w:space="0" w:color="auto"/>
            </w:tcBorders>
            <w:shd w:val="clear" w:color="auto" w:fill="C6EFCE"/>
            <w:noWrap/>
          </w:tcPr>
          <w:p w14:paraId="3489589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3576" w:type="dxa"/>
            <w:tcBorders>
              <w:top w:val="single" w:sz="4" w:space="0" w:color="auto"/>
              <w:left w:val="nil"/>
              <w:bottom w:val="single" w:sz="4" w:space="0" w:color="auto"/>
              <w:right w:val="single" w:sz="4" w:space="0" w:color="auto"/>
            </w:tcBorders>
            <w:shd w:val="clear" w:color="auto" w:fill="C6EFCE"/>
            <w:noWrap/>
          </w:tcPr>
          <w:p w14:paraId="14188B9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Viiakse lõpule lepingu sõlmimine turistisadama ajakohastamiseks energiatõhususe parandamiseks.</w:t>
            </w:r>
          </w:p>
        </w:tc>
      </w:tr>
      <w:tr w:rsidR="00356CBA" w:rsidRPr="003B132A" w14:paraId="165EC936"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0F68D4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296</w:t>
            </w:r>
          </w:p>
        </w:tc>
        <w:tc>
          <w:tcPr>
            <w:tcW w:w="1621" w:type="dxa"/>
            <w:tcBorders>
              <w:top w:val="single" w:sz="4" w:space="0" w:color="auto"/>
              <w:left w:val="nil"/>
              <w:bottom w:val="single" w:sz="4" w:space="0" w:color="auto"/>
              <w:right w:val="single" w:sz="4" w:space="0" w:color="auto"/>
            </w:tcBorders>
            <w:shd w:val="clear" w:color="auto" w:fill="C6EFCE"/>
            <w:noWrap/>
          </w:tcPr>
          <w:p w14:paraId="3D96B47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16921_Ümberõpe ja oskuste täiendamine turismis</w:t>
            </w:r>
          </w:p>
        </w:tc>
        <w:tc>
          <w:tcPr>
            <w:tcW w:w="1381" w:type="dxa"/>
            <w:tcBorders>
              <w:top w:val="single" w:sz="4" w:space="0" w:color="auto"/>
              <w:left w:val="nil"/>
              <w:bottom w:val="single" w:sz="4" w:space="0" w:color="auto"/>
              <w:right w:val="single" w:sz="4" w:space="0" w:color="auto"/>
            </w:tcBorders>
            <w:shd w:val="clear" w:color="auto" w:fill="C6EFCE"/>
            <w:noWrap/>
          </w:tcPr>
          <w:p w14:paraId="59974A5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Siht</w:t>
            </w:r>
          </w:p>
        </w:tc>
        <w:tc>
          <w:tcPr>
            <w:tcW w:w="1738" w:type="dxa"/>
            <w:tcBorders>
              <w:top w:val="single" w:sz="4" w:space="0" w:color="auto"/>
              <w:left w:val="nil"/>
              <w:bottom w:val="single" w:sz="4" w:space="0" w:color="auto"/>
              <w:right w:val="single" w:sz="4" w:space="0" w:color="auto"/>
            </w:tcBorders>
            <w:shd w:val="clear" w:color="auto" w:fill="C6EFCE"/>
            <w:noWrap/>
          </w:tcPr>
          <w:p w14:paraId="1C0B11F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Ümberõpe ja oskuste täiendamine turismis (lõpetamine)</w:t>
            </w:r>
          </w:p>
        </w:tc>
        <w:tc>
          <w:tcPr>
            <w:tcW w:w="1745" w:type="dxa"/>
            <w:tcBorders>
              <w:top w:val="single" w:sz="4" w:space="0" w:color="auto"/>
              <w:left w:val="nil"/>
              <w:bottom w:val="single" w:sz="4" w:space="0" w:color="auto"/>
              <w:right w:val="single" w:sz="4" w:space="0" w:color="auto"/>
            </w:tcBorders>
            <w:shd w:val="clear" w:color="auto" w:fill="C6EFCE"/>
            <w:noWrap/>
          </w:tcPr>
          <w:p w14:paraId="6FBE0DD2" w14:textId="77777777" w:rsidR="00356CBA" w:rsidRPr="00AD4052" w:rsidRDefault="00356CBA">
            <w:pPr>
              <w:spacing w:after="0" w:line="240" w:lineRule="auto"/>
              <w:rPr>
                <w:rFonts w:eastAsia="Times New Roman" w:cs="Calibri"/>
                <w:noProof/>
                <w:color w:val="006100"/>
                <w:sz w:val="18"/>
                <w:szCs w:val="18"/>
                <w:lang w:val="it-IT"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14:paraId="6925153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Koolituse edukalt läbinud osalejate arv</w:t>
            </w:r>
          </w:p>
        </w:tc>
        <w:tc>
          <w:tcPr>
            <w:tcW w:w="966" w:type="dxa"/>
            <w:tcBorders>
              <w:top w:val="single" w:sz="4" w:space="0" w:color="auto"/>
              <w:left w:val="nil"/>
              <w:bottom w:val="single" w:sz="4" w:space="0" w:color="auto"/>
              <w:right w:val="single" w:sz="4" w:space="0" w:color="auto"/>
            </w:tcBorders>
            <w:shd w:val="clear" w:color="auto" w:fill="C6EFCE"/>
            <w:noWrap/>
          </w:tcPr>
          <w:p w14:paraId="4EACD15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0</w:t>
            </w:r>
          </w:p>
        </w:tc>
        <w:tc>
          <w:tcPr>
            <w:tcW w:w="906" w:type="dxa"/>
            <w:tcBorders>
              <w:top w:val="single" w:sz="4" w:space="0" w:color="auto"/>
              <w:left w:val="nil"/>
              <w:bottom w:val="single" w:sz="4" w:space="0" w:color="auto"/>
              <w:right w:val="single" w:sz="4" w:space="0" w:color="auto"/>
            </w:tcBorders>
            <w:shd w:val="clear" w:color="auto" w:fill="C6EFCE"/>
            <w:noWrap/>
          </w:tcPr>
          <w:p w14:paraId="56E83DC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18 000</w:t>
            </w:r>
          </w:p>
        </w:tc>
        <w:tc>
          <w:tcPr>
            <w:tcW w:w="986" w:type="dxa"/>
            <w:tcBorders>
              <w:top w:val="single" w:sz="4" w:space="0" w:color="auto"/>
              <w:left w:val="nil"/>
              <w:bottom w:val="single" w:sz="4" w:space="0" w:color="auto"/>
              <w:right w:val="single" w:sz="4" w:space="0" w:color="auto"/>
            </w:tcBorders>
            <w:shd w:val="clear" w:color="auto" w:fill="C6EFCE"/>
            <w:noWrap/>
          </w:tcPr>
          <w:p w14:paraId="26965A6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62" w:type="dxa"/>
            <w:tcBorders>
              <w:top w:val="single" w:sz="4" w:space="0" w:color="auto"/>
              <w:left w:val="nil"/>
              <w:bottom w:val="single" w:sz="4" w:space="0" w:color="auto"/>
              <w:right w:val="single" w:sz="4" w:space="0" w:color="auto"/>
            </w:tcBorders>
            <w:shd w:val="clear" w:color="auto" w:fill="C6EFCE"/>
            <w:noWrap/>
          </w:tcPr>
          <w:p w14:paraId="7116DED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3576" w:type="dxa"/>
            <w:tcBorders>
              <w:top w:val="single" w:sz="4" w:space="0" w:color="auto"/>
              <w:left w:val="nil"/>
              <w:bottom w:val="single" w:sz="4" w:space="0" w:color="auto"/>
              <w:right w:val="single" w:sz="4" w:space="0" w:color="auto"/>
            </w:tcBorders>
            <w:shd w:val="clear" w:color="auto" w:fill="C6EFCE"/>
            <w:noWrap/>
          </w:tcPr>
          <w:p w14:paraId="157075A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Oskuste täiendamine ja ümberõpe turismis: Koolituskursuste läbimine, mida tõendab lõpetamisaruanne, mis sisaldab üksikasjalikku statistilist lisa läbitud kursuste ning edukate läbimiste kohta pakkujate ja kvalifikatsioonide kaupa.</w:t>
            </w:r>
          </w:p>
        </w:tc>
      </w:tr>
      <w:tr w:rsidR="00356CBA" w:rsidRPr="003B132A" w14:paraId="7BF12D83"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D59D6E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297</w:t>
            </w:r>
          </w:p>
        </w:tc>
        <w:tc>
          <w:tcPr>
            <w:tcW w:w="1621" w:type="dxa"/>
            <w:tcBorders>
              <w:top w:val="single" w:sz="4" w:space="0" w:color="auto"/>
              <w:left w:val="nil"/>
              <w:bottom w:val="single" w:sz="4" w:space="0" w:color="auto"/>
              <w:right w:val="single" w:sz="4" w:space="0" w:color="auto"/>
            </w:tcBorders>
            <w:shd w:val="clear" w:color="auto" w:fill="C6EFCE"/>
            <w:noWrap/>
          </w:tcPr>
          <w:p w14:paraId="0A968EA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16931_Turismi arendamine</w:t>
            </w:r>
          </w:p>
        </w:tc>
        <w:tc>
          <w:tcPr>
            <w:tcW w:w="1381" w:type="dxa"/>
            <w:tcBorders>
              <w:top w:val="single" w:sz="4" w:space="0" w:color="auto"/>
              <w:left w:val="nil"/>
              <w:bottom w:val="single" w:sz="4" w:space="0" w:color="auto"/>
              <w:right w:val="single" w:sz="4" w:space="0" w:color="auto"/>
            </w:tcBorders>
            <w:shd w:val="clear" w:color="auto" w:fill="C6EFCE"/>
            <w:noWrap/>
          </w:tcPr>
          <w:p w14:paraId="4CEA4BC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738" w:type="dxa"/>
            <w:tcBorders>
              <w:top w:val="single" w:sz="4" w:space="0" w:color="auto"/>
              <w:left w:val="nil"/>
              <w:bottom w:val="single" w:sz="4" w:space="0" w:color="auto"/>
              <w:right w:val="single" w:sz="4" w:space="0" w:color="auto"/>
            </w:tcBorders>
            <w:shd w:val="clear" w:color="auto" w:fill="C6EFCE"/>
            <w:noWrap/>
          </w:tcPr>
          <w:p w14:paraId="53698E8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Turismi arendamise projekti lõpuleviimine</w:t>
            </w:r>
          </w:p>
        </w:tc>
        <w:tc>
          <w:tcPr>
            <w:tcW w:w="1745" w:type="dxa"/>
            <w:tcBorders>
              <w:top w:val="single" w:sz="4" w:space="0" w:color="auto"/>
              <w:left w:val="nil"/>
              <w:bottom w:val="single" w:sz="4" w:space="0" w:color="auto"/>
              <w:right w:val="single" w:sz="4" w:space="0" w:color="auto"/>
            </w:tcBorders>
            <w:shd w:val="clear" w:color="auto" w:fill="C6EFCE"/>
            <w:noWrap/>
          </w:tcPr>
          <w:p w14:paraId="138D68E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1a. Sõltumatu inseneri aruanne turismiministeeriumi poolt ratifitseeritud tööde lõpuleviimise kohta.</w:t>
            </w:r>
          </w:p>
          <w:p w14:paraId="32FD03B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1b. Lõpparuanne, sealhulgas toetusesaajate kinnitus investeeringute lõpuleviimise kohta</w:t>
            </w:r>
          </w:p>
        </w:tc>
        <w:tc>
          <w:tcPr>
            <w:tcW w:w="1741" w:type="dxa"/>
            <w:tcBorders>
              <w:top w:val="single" w:sz="4" w:space="0" w:color="auto"/>
              <w:left w:val="nil"/>
              <w:bottom w:val="single" w:sz="4" w:space="0" w:color="auto"/>
              <w:right w:val="single" w:sz="4" w:space="0" w:color="auto"/>
            </w:tcBorders>
            <w:shd w:val="clear" w:color="auto" w:fill="C6EFCE"/>
            <w:noWrap/>
          </w:tcPr>
          <w:p w14:paraId="2F8428A5"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7C181F60"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4478931F" w14:textId="77777777" w:rsidR="00356CBA" w:rsidRPr="00AD4052" w:rsidRDefault="00356CBA">
            <w:pPr>
              <w:spacing w:after="0" w:line="240" w:lineRule="auto"/>
              <w:rPr>
                <w:rFonts w:eastAsia="Times New Roman" w:cs="Calibri"/>
                <w:noProof/>
                <w:color w:val="006100"/>
                <w:sz w:val="18"/>
                <w:szCs w:val="18"/>
                <w:lang w:eastAsia="en-GB"/>
              </w:rPr>
            </w:pPr>
          </w:p>
        </w:tc>
        <w:tc>
          <w:tcPr>
            <w:tcW w:w="986" w:type="dxa"/>
            <w:tcBorders>
              <w:top w:val="single" w:sz="4" w:space="0" w:color="auto"/>
              <w:left w:val="nil"/>
              <w:bottom w:val="single" w:sz="4" w:space="0" w:color="auto"/>
              <w:right w:val="single" w:sz="4" w:space="0" w:color="auto"/>
            </w:tcBorders>
            <w:shd w:val="clear" w:color="auto" w:fill="C6EFCE"/>
            <w:noWrap/>
          </w:tcPr>
          <w:p w14:paraId="60B0DFC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62" w:type="dxa"/>
            <w:tcBorders>
              <w:top w:val="single" w:sz="4" w:space="0" w:color="auto"/>
              <w:left w:val="nil"/>
              <w:bottom w:val="single" w:sz="4" w:space="0" w:color="auto"/>
              <w:right w:val="single" w:sz="4" w:space="0" w:color="auto"/>
            </w:tcBorders>
            <w:shd w:val="clear" w:color="auto" w:fill="C6EFCE"/>
            <w:noWrap/>
          </w:tcPr>
          <w:p w14:paraId="7C86CFF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3576" w:type="dxa"/>
            <w:tcBorders>
              <w:top w:val="single" w:sz="4" w:space="0" w:color="auto"/>
              <w:left w:val="nil"/>
              <w:bottom w:val="single" w:sz="4" w:space="0" w:color="auto"/>
              <w:right w:val="single" w:sz="4" w:space="0" w:color="auto"/>
            </w:tcBorders>
            <w:shd w:val="clear" w:color="auto" w:fill="C6EFCE"/>
            <w:noWrap/>
          </w:tcPr>
          <w:p w14:paraId="5AE5AA7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Turismi arendamine: </w:t>
            </w:r>
          </w:p>
          <w:p w14:paraId="37C9B92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(1a) Turismisadamate konkreetsete ajakohastamistööde lõpuleviimine turismi ja erainvesteeringute soodustamiseks.</w:t>
            </w:r>
          </w:p>
          <w:p w14:paraId="50D0D4C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(1b) Muude turismimeetmete lõpuleviimine, et edendada alternatiivseid turismivorme ja laiendada turismihooaega, sealhulgas:</w:t>
            </w:r>
          </w:p>
          <w:p w14:paraId="768088D2" w14:textId="72D49EE7" w:rsidR="00356CBA" w:rsidRPr="00E02B5D" w:rsidRDefault="00356CBA" w:rsidP="00803D41">
            <w:pPr>
              <w:spacing w:before="120" w:after="0" w:line="240" w:lineRule="auto"/>
              <w:rPr>
                <w:rFonts w:eastAsia="Times New Roman" w:cs="Calibri"/>
                <w:noProof/>
                <w:color w:val="006100"/>
                <w:sz w:val="18"/>
                <w:szCs w:val="18"/>
              </w:rPr>
            </w:pPr>
            <w:r>
              <w:rPr>
                <w:noProof/>
                <w:color w:val="006100"/>
                <w:sz w:val="18"/>
              </w:rPr>
              <w:t>– Roheline areng: sihtkohtade haldamise parandamine kohaliku sihtkohtade haldamise büroo ja sellega seotud säästva turismi vaatluskeskuste loomise kaudu; mägiturismi arendamine, mis hõlmab avaliku taristu energiatõhusat renoveerimist ja uute taastuvate energiaallikate võimsuse paigaldamist (tuuleenergia); tervise- ja heaoluturism soojusallika kasutamise kaudu; agroturismi ja gastronoomia edendamine.</w:t>
            </w:r>
          </w:p>
          <w:p w14:paraId="3C0DE403" w14:textId="77777777" w:rsidR="00356CBA" w:rsidRPr="00E02B5D" w:rsidRDefault="00356CBA" w:rsidP="00803D41">
            <w:pPr>
              <w:spacing w:after="0" w:line="240" w:lineRule="auto"/>
              <w:rPr>
                <w:rFonts w:eastAsia="Times New Roman" w:cs="Calibri"/>
                <w:noProof/>
                <w:color w:val="006100"/>
                <w:sz w:val="18"/>
                <w:szCs w:val="18"/>
              </w:rPr>
            </w:pPr>
            <w:r>
              <w:rPr>
                <w:noProof/>
                <w:color w:val="006100"/>
                <w:sz w:val="18"/>
              </w:rPr>
              <w:t>Sinine areng: ajakohastada sekkumismeetmeid, et parandada jahisadamate juhtimist, taristut ja teenuseid, eakate ja puuetega inimeste juurdepääsu randadele ning edendada sukeldumis- ja mõõnaturismi arengut.</w:t>
            </w:r>
          </w:p>
        </w:tc>
      </w:tr>
      <w:tr w:rsidR="00356CBA" w:rsidRPr="003B132A" w14:paraId="6C10F16A" w14:textId="77777777" w:rsidTr="005D5392">
        <w:trPr>
          <w:trHeight w:val="313"/>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6E6C066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298</w:t>
            </w:r>
          </w:p>
        </w:tc>
        <w:tc>
          <w:tcPr>
            <w:tcW w:w="1621" w:type="dxa"/>
            <w:tcBorders>
              <w:top w:val="single" w:sz="4" w:space="0" w:color="auto"/>
              <w:left w:val="nil"/>
              <w:bottom w:val="single" w:sz="4" w:space="0" w:color="auto"/>
              <w:right w:val="single" w:sz="4" w:space="0" w:color="auto"/>
            </w:tcBorders>
            <w:shd w:val="clear" w:color="auto" w:fill="C6EFCE"/>
            <w:noWrap/>
          </w:tcPr>
          <w:p w14:paraId="413E9B8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16975_Piirkondlike sadamate ajakohastamine</w:t>
            </w:r>
          </w:p>
        </w:tc>
        <w:tc>
          <w:tcPr>
            <w:tcW w:w="1381" w:type="dxa"/>
            <w:tcBorders>
              <w:top w:val="single" w:sz="4" w:space="0" w:color="auto"/>
              <w:left w:val="nil"/>
              <w:bottom w:val="single" w:sz="4" w:space="0" w:color="auto"/>
              <w:right w:val="single" w:sz="4" w:space="0" w:color="auto"/>
            </w:tcBorders>
            <w:shd w:val="clear" w:color="auto" w:fill="C6EFCE"/>
            <w:noWrap/>
          </w:tcPr>
          <w:p w14:paraId="19E1322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Siht</w:t>
            </w:r>
          </w:p>
        </w:tc>
        <w:tc>
          <w:tcPr>
            <w:tcW w:w="1738" w:type="dxa"/>
            <w:tcBorders>
              <w:top w:val="single" w:sz="4" w:space="0" w:color="auto"/>
              <w:left w:val="nil"/>
              <w:bottom w:val="single" w:sz="4" w:space="0" w:color="auto"/>
              <w:right w:val="single" w:sz="4" w:space="0" w:color="auto"/>
            </w:tcBorders>
            <w:shd w:val="clear" w:color="auto" w:fill="C6EFCE"/>
            <w:noWrap/>
          </w:tcPr>
          <w:p w14:paraId="6F4CFCA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Piirkondlike sadamate sekkumismeetmete ajakohastamine</w:t>
            </w:r>
          </w:p>
        </w:tc>
        <w:tc>
          <w:tcPr>
            <w:tcW w:w="1745" w:type="dxa"/>
            <w:tcBorders>
              <w:top w:val="single" w:sz="4" w:space="0" w:color="auto"/>
              <w:left w:val="nil"/>
              <w:bottom w:val="single" w:sz="4" w:space="0" w:color="auto"/>
              <w:right w:val="single" w:sz="4" w:space="0" w:color="auto"/>
            </w:tcBorders>
            <w:shd w:val="clear" w:color="auto" w:fill="C6EFCE"/>
            <w:noWrap/>
          </w:tcPr>
          <w:p w14:paraId="77852BEA"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14:paraId="4AF2B87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Lõpuleviidud piirkondlike sadamaparanduste arv saartel ja piirkondades, kus on välja kujunenud turism</w:t>
            </w:r>
          </w:p>
        </w:tc>
        <w:tc>
          <w:tcPr>
            <w:tcW w:w="966" w:type="dxa"/>
            <w:tcBorders>
              <w:top w:val="single" w:sz="4" w:space="0" w:color="auto"/>
              <w:left w:val="nil"/>
              <w:bottom w:val="single" w:sz="4" w:space="0" w:color="auto"/>
              <w:right w:val="single" w:sz="4" w:space="0" w:color="auto"/>
            </w:tcBorders>
            <w:shd w:val="clear" w:color="auto" w:fill="C6EFCE"/>
            <w:noWrap/>
          </w:tcPr>
          <w:p w14:paraId="5C9B0B2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0</w:t>
            </w:r>
          </w:p>
        </w:tc>
        <w:tc>
          <w:tcPr>
            <w:tcW w:w="906" w:type="dxa"/>
            <w:tcBorders>
              <w:top w:val="single" w:sz="4" w:space="0" w:color="auto"/>
              <w:left w:val="nil"/>
              <w:bottom w:val="single" w:sz="4" w:space="0" w:color="auto"/>
              <w:right w:val="single" w:sz="4" w:space="0" w:color="auto"/>
            </w:tcBorders>
            <w:shd w:val="clear" w:color="auto" w:fill="C6EFCE"/>
            <w:noWrap/>
          </w:tcPr>
          <w:p w14:paraId="4307251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28</w:t>
            </w:r>
          </w:p>
        </w:tc>
        <w:tc>
          <w:tcPr>
            <w:tcW w:w="986" w:type="dxa"/>
            <w:tcBorders>
              <w:top w:val="single" w:sz="4" w:space="0" w:color="auto"/>
              <w:left w:val="nil"/>
              <w:bottom w:val="single" w:sz="4" w:space="0" w:color="auto"/>
              <w:right w:val="single" w:sz="4" w:space="0" w:color="auto"/>
            </w:tcBorders>
            <w:shd w:val="clear" w:color="auto" w:fill="C6EFCE"/>
            <w:noWrap/>
          </w:tcPr>
          <w:p w14:paraId="0427BCD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62" w:type="dxa"/>
            <w:tcBorders>
              <w:top w:val="single" w:sz="4" w:space="0" w:color="auto"/>
              <w:left w:val="nil"/>
              <w:bottom w:val="single" w:sz="4" w:space="0" w:color="auto"/>
              <w:right w:val="single" w:sz="4" w:space="0" w:color="auto"/>
            </w:tcBorders>
            <w:shd w:val="clear" w:color="auto" w:fill="C6EFCE"/>
            <w:noWrap/>
          </w:tcPr>
          <w:p w14:paraId="0384BF9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3576" w:type="dxa"/>
            <w:tcBorders>
              <w:top w:val="single" w:sz="4" w:space="0" w:color="auto"/>
              <w:left w:val="nil"/>
              <w:bottom w:val="single" w:sz="4" w:space="0" w:color="auto"/>
              <w:right w:val="single" w:sz="4" w:space="0" w:color="auto"/>
            </w:tcBorders>
            <w:shd w:val="clear" w:color="auto" w:fill="C6EFCE"/>
            <w:noWrap/>
          </w:tcPr>
          <w:p w14:paraId="16B6561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Piirkondlike sadamaparanduste lõpuleviimine saartel ja piirkondades, kus turismitegevus on arenenud, mida tõendab sõltumatu inseneri koostatud tööde valmimisaruanne, mille on ratifitseerinud laevandusministeerium, sealhulgas investeeringute auditite tulemused, ja abisaajate kinnitus investeeringute lõpuleviimise kohta.</w:t>
            </w:r>
          </w:p>
        </w:tc>
      </w:tr>
    </w:tbl>
    <w:p w14:paraId="610A5988" w14:textId="77777777" w:rsidR="00356CBA" w:rsidRPr="00AD4052" w:rsidRDefault="00356CBA" w:rsidP="00645BC7">
      <w:pPr>
        <w:spacing w:before="120" w:after="0" w:line="240" w:lineRule="auto"/>
        <w:jc w:val="both"/>
        <w:rPr>
          <w:rFonts w:ascii="Times New Roman" w:hAnsi="Times New Roman" w:cs="Times New Roman"/>
          <w:noProof/>
          <w:sz w:val="24"/>
        </w:rPr>
      </w:pPr>
    </w:p>
    <w:p w14:paraId="18E0E5F4" w14:textId="77777777" w:rsidR="00E00A2D" w:rsidRPr="00AD4052" w:rsidRDefault="00E00A2D" w:rsidP="00645BC7">
      <w:pPr>
        <w:keepNext/>
        <w:keepLines/>
        <w:spacing w:before="40" w:after="0" w:line="240" w:lineRule="auto"/>
        <w:jc w:val="both"/>
        <w:outlineLvl w:val="4"/>
        <w:rPr>
          <w:rFonts w:ascii="Cambria" w:hAnsi="Cambria"/>
          <w:noProof/>
          <w:color w:val="365F91"/>
          <w:sz w:val="24"/>
        </w:rPr>
        <w:sectPr w:rsidR="00E00A2D" w:rsidRPr="00AD4052" w:rsidSect="00271D33">
          <w:headerReference w:type="even" r:id="rId350"/>
          <w:headerReference w:type="default" r:id="rId351"/>
          <w:footerReference w:type="even" r:id="rId352"/>
          <w:footerReference w:type="default" r:id="rId353"/>
          <w:headerReference w:type="first" r:id="rId354"/>
          <w:footerReference w:type="first" r:id="rId355"/>
          <w:pgSz w:w="16839" w:h="11907" w:orient="landscape"/>
          <w:pgMar w:top="720" w:right="720" w:bottom="720" w:left="720" w:header="709" w:footer="217" w:gutter="0"/>
          <w:cols w:space="720"/>
          <w:docGrid w:linePitch="360"/>
        </w:sectPr>
      </w:pPr>
    </w:p>
    <w:p w14:paraId="06E28AB3"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27: Tööstus ja investeeringud</w:t>
      </w:r>
    </w:p>
    <w:p w14:paraId="3BEFAC53" w14:textId="77777777" w:rsidR="00356CBA" w:rsidRPr="00E02B5D" w:rsidRDefault="00356CBA" w:rsidP="00DE1EE5">
      <w:pPr>
        <w:numPr>
          <w:ilvl w:val="0"/>
          <w:numId w:val="30"/>
        </w:numPr>
        <w:spacing w:before="120" w:after="0" w:line="240" w:lineRule="auto"/>
        <w:jc w:val="both"/>
        <w:rPr>
          <w:rFonts w:ascii="Times New Roman" w:hAnsi="Times New Roman" w:cs="Times New Roman"/>
          <w:noProof/>
          <w:sz w:val="24"/>
        </w:rPr>
      </w:pPr>
      <w:r>
        <w:rPr>
          <w:rFonts w:ascii="Times New Roman" w:hAnsi="Times New Roman"/>
          <w:noProof/>
          <w:sz w:val="24"/>
        </w:rPr>
        <w:t>Strateegiliste investeeringute ligimeelitamise õigusraamistiku muutmine (ID: 16593)</w:t>
      </w:r>
    </w:p>
    <w:p w14:paraId="74B2C7F0" w14:textId="77777777" w:rsidR="00356CBA" w:rsidRPr="00E02B5D" w:rsidRDefault="00356CBA" w:rsidP="00DE1EE5">
      <w:pPr>
        <w:numPr>
          <w:ilvl w:val="0"/>
          <w:numId w:val="30"/>
        </w:numPr>
        <w:spacing w:before="120" w:after="0" w:line="240" w:lineRule="auto"/>
        <w:jc w:val="both"/>
        <w:rPr>
          <w:rFonts w:ascii="Times New Roman" w:hAnsi="Times New Roman" w:cs="Times New Roman"/>
          <w:noProof/>
          <w:sz w:val="24"/>
        </w:rPr>
      </w:pPr>
      <w:r>
        <w:rPr>
          <w:rFonts w:ascii="Times New Roman" w:hAnsi="Times New Roman"/>
          <w:noProof/>
          <w:sz w:val="24"/>
        </w:rPr>
        <w:t>Majandusdiplomaatia võrgustiku digitaliseerimine (ID: 16599)</w:t>
      </w:r>
    </w:p>
    <w:p w14:paraId="09AD2F96" w14:textId="77777777" w:rsidR="00356CBA" w:rsidRPr="00E02B5D" w:rsidRDefault="00356CBA" w:rsidP="00DE1EE5">
      <w:pPr>
        <w:numPr>
          <w:ilvl w:val="0"/>
          <w:numId w:val="30"/>
        </w:numPr>
        <w:spacing w:before="120" w:after="0" w:line="240" w:lineRule="auto"/>
        <w:jc w:val="both"/>
        <w:rPr>
          <w:rFonts w:ascii="Times New Roman" w:hAnsi="Times New Roman" w:cs="Times New Roman"/>
          <w:noProof/>
          <w:sz w:val="24"/>
        </w:rPr>
      </w:pPr>
      <w:r>
        <w:rPr>
          <w:rFonts w:ascii="Times New Roman" w:hAnsi="Times New Roman"/>
          <w:noProof/>
          <w:sz w:val="24"/>
        </w:rPr>
        <w:t>Uued tööstuspargid (ID: 16634)</w:t>
      </w:r>
    </w:p>
    <w:p w14:paraId="54074876" w14:textId="77777777" w:rsidR="00356CBA" w:rsidRPr="00E02B5D" w:rsidRDefault="00356CBA" w:rsidP="00DE1EE5">
      <w:pPr>
        <w:numPr>
          <w:ilvl w:val="0"/>
          <w:numId w:val="30"/>
        </w:numPr>
        <w:spacing w:before="120" w:after="120" w:line="240" w:lineRule="auto"/>
        <w:jc w:val="both"/>
        <w:rPr>
          <w:rFonts w:ascii="Times New Roman" w:hAnsi="Times New Roman" w:cs="Times New Roman"/>
          <w:noProof/>
          <w:sz w:val="24"/>
        </w:rPr>
      </w:pPr>
      <w:r>
        <w:rPr>
          <w:rFonts w:ascii="Times New Roman" w:hAnsi="Times New Roman"/>
          <w:noProof/>
          <w:sz w:val="24"/>
        </w:rPr>
        <w:t>Aruka tootmise kiirendamine (ID: 16721)</w:t>
      </w:r>
    </w:p>
    <w:tbl>
      <w:tblPr>
        <w:tblW w:w="15502" w:type="dxa"/>
        <w:jc w:val="center"/>
        <w:tblLayout w:type="fixed"/>
        <w:tblLook w:val="04A0" w:firstRow="1" w:lastRow="0" w:firstColumn="1" w:lastColumn="0" w:noHBand="0" w:noVBand="1"/>
      </w:tblPr>
      <w:tblGrid>
        <w:gridCol w:w="1186"/>
        <w:gridCol w:w="1517"/>
        <w:gridCol w:w="1298"/>
        <w:gridCol w:w="1396"/>
        <w:gridCol w:w="1823"/>
        <w:gridCol w:w="866"/>
        <w:gridCol w:w="857"/>
        <w:gridCol w:w="691"/>
        <w:gridCol w:w="851"/>
        <w:gridCol w:w="709"/>
        <w:gridCol w:w="4308"/>
      </w:tblGrid>
      <w:tr w:rsidR="007B4D63" w:rsidRPr="003B132A" w14:paraId="42C02D50" w14:textId="77777777" w:rsidTr="008AECE0">
        <w:trPr>
          <w:trHeight w:val="839"/>
          <w:tblHeader/>
          <w:jc w:val="center"/>
        </w:trPr>
        <w:tc>
          <w:tcPr>
            <w:tcW w:w="118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73AED5"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Järjekorranumber</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0704AA"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Seotud meede (reform või investeering)</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B4A94B9"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 / siht</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384212"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Nimi</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44B5D3E"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Kvalitatiivsed näitajad (eesmärkide puhul)</w:t>
            </w:r>
          </w:p>
        </w:tc>
        <w:tc>
          <w:tcPr>
            <w:tcW w:w="2414"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A44EFE9"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Kvantitatiivsed näitajad (sihtide puhul)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01B49610"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Lõpuleviimise soovituslik ajakava </w:t>
            </w:r>
          </w:p>
        </w:tc>
        <w:tc>
          <w:tcPr>
            <w:tcW w:w="43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EDA42E"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Iga eesmärgi ja sihi kirjeldus</w:t>
            </w:r>
          </w:p>
        </w:tc>
      </w:tr>
      <w:tr w:rsidR="006E0EA2" w:rsidRPr="00E02B5D" w14:paraId="32FBF5AC" w14:textId="77777777" w:rsidTr="00BC3E75">
        <w:trPr>
          <w:trHeight w:val="456"/>
          <w:tblHeader/>
          <w:jc w:val="center"/>
        </w:trPr>
        <w:tc>
          <w:tcPr>
            <w:tcW w:w="1186" w:type="dxa"/>
            <w:vMerge/>
            <w:tcBorders>
              <w:top w:val="single" w:sz="4" w:space="0" w:color="auto"/>
              <w:left w:val="single" w:sz="4" w:space="0" w:color="auto"/>
              <w:bottom w:val="single" w:sz="4" w:space="0" w:color="auto"/>
              <w:right w:val="single" w:sz="4" w:space="0" w:color="auto"/>
            </w:tcBorders>
            <w:vAlign w:val="center"/>
            <w:hideMark/>
          </w:tcPr>
          <w:p w14:paraId="61973429"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14:paraId="00B8FF36"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14:paraId="542366D3"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6D2C8CEF"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6127A1C9"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8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8768AB0"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6B366A5"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Lähtetase </w:t>
            </w:r>
          </w:p>
        </w:tc>
        <w:tc>
          <w:tcPr>
            <w:tcW w:w="69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B758037"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Eesmärk </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5C48144"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E9FEBE3"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4308" w:type="dxa"/>
            <w:vMerge/>
            <w:tcBorders>
              <w:top w:val="single" w:sz="4" w:space="0" w:color="auto"/>
              <w:left w:val="single" w:sz="4" w:space="0" w:color="auto"/>
              <w:bottom w:val="single" w:sz="4" w:space="0" w:color="auto"/>
              <w:right w:val="single" w:sz="4" w:space="0" w:color="auto"/>
            </w:tcBorders>
            <w:vAlign w:val="center"/>
            <w:hideMark/>
          </w:tcPr>
          <w:p w14:paraId="082949AC"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356CBA" w:rsidRPr="003B132A" w14:paraId="1DAB1F8A" w14:textId="77777777" w:rsidTr="008AECE0">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070C851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299</w:t>
            </w:r>
          </w:p>
        </w:tc>
        <w:tc>
          <w:tcPr>
            <w:tcW w:w="1517" w:type="dxa"/>
            <w:tcBorders>
              <w:top w:val="single" w:sz="4" w:space="0" w:color="auto"/>
              <w:left w:val="nil"/>
              <w:bottom w:val="single" w:sz="4" w:space="0" w:color="auto"/>
              <w:right w:val="single" w:sz="4" w:space="0" w:color="auto"/>
            </w:tcBorders>
            <w:shd w:val="clear" w:color="auto" w:fill="C6EFCE"/>
            <w:noWrap/>
          </w:tcPr>
          <w:p w14:paraId="065A0F9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16593_Strateegiliste investeeringute ligimeelitamise õigusraamistiku muutmine</w:t>
            </w:r>
          </w:p>
        </w:tc>
        <w:tc>
          <w:tcPr>
            <w:tcW w:w="1298" w:type="dxa"/>
            <w:tcBorders>
              <w:top w:val="single" w:sz="4" w:space="0" w:color="auto"/>
              <w:left w:val="nil"/>
              <w:bottom w:val="single" w:sz="4" w:space="0" w:color="auto"/>
              <w:right w:val="single" w:sz="4" w:space="0" w:color="auto"/>
            </w:tcBorders>
            <w:shd w:val="clear" w:color="auto" w:fill="C6EFCE"/>
            <w:noWrap/>
          </w:tcPr>
          <w:p w14:paraId="48148D4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396" w:type="dxa"/>
            <w:tcBorders>
              <w:top w:val="single" w:sz="4" w:space="0" w:color="auto"/>
              <w:left w:val="nil"/>
              <w:bottom w:val="single" w:sz="4" w:space="0" w:color="auto"/>
              <w:right w:val="single" w:sz="4" w:space="0" w:color="auto"/>
            </w:tcBorders>
            <w:shd w:val="clear" w:color="auto" w:fill="C6EFCE"/>
            <w:noWrap/>
          </w:tcPr>
          <w:p w14:paraId="577C1DC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Strateegilised investeeringud – õigusloomereform</w:t>
            </w:r>
          </w:p>
        </w:tc>
        <w:tc>
          <w:tcPr>
            <w:tcW w:w="1823" w:type="dxa"/>
            <w:tcBorders>
              <w:top w:val="single" w:sz="4" w:space="0" w:color="auto"/>
              <w:left w:val="nil"/>
              <w:bottom w:val="single" w:sz="4" w:space="0" w:color="auto"/>
              <w:right w:val="single" w:sz="4" w:space="0" w:color="auto"/>
            </w:tcBorders>
            <w:shd w:val="clear" w:color="auto" w:fill="C6EFCE"/>
            <w:noWrap/>
          </w:tcPr>
          <w:p w14:paraId="4F8F3E5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Seadusemuudatus on jõustunud</w:t>
            </w:r>
          </w:p>
        </w:tc>
        <w:tc>
          <w:tcPr>
            <w:tcW w:w="866" w:type="dxa"/>
            <w:tcBorders>
              <w:top w:val="single" w:sz="4" w:space="0" w:color="auto"/>
              <w:left w:val="nil"/>
              <w:bottom w:val="single" w:sz="4" w:space="0" w:color="auto"/>
              <w:right w:val="single" w:sz="4" w:space="0" w:color="auto"/>
            </w:tcBorders>
            <w:shd w:val="clear" w:color="auto" w:fill="C6EFCE"/>
            <w:noWrap/>
          </w:tcPr>
          <w:p w14:paraId="4557BB1E"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51B23F1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691" w:type="dxa"/>
            <w:tcBorders>
              <w:top w:val="single" w:sz="4" w:space="0" w:color="auto"/>
              <w:left w:val="nil"/>
              <w:bottom w:val="single" w:sz="4" w:space="0" w:color="auto"/>
              <w:right w:val="single" w:sz="4" w:space="0" w:color="auto"/>
            </w:tcBorders>
            <w:shd w:val="clear" w:color="auto" w:fill="C6EFCE"/>
            <w:noWrap/>
          </w:tcPr>
          <w:p w14:paraId="3E2C5E3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4726D7D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383342F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2021</w:t>
            </w:r>
          </w:p>
        </w:tc>
        <w:tc>
          <w:tcPr>
            <w:tcW w:w="4308" w:type="dxa"/>
            <w:tcBorders>
              <w:top w:val="single" w:sz="4" w:space="0" w:color="auto"/>
              <w:left w:val="nil"/>
              <w:bottom w:val="single" w:sz="4" w:space="0" w:color="auto"/>
              <w:right w:val="single" w:sz="4" w:space="0" w:color="auto"/>
            </w:tcBorders>
            <w:shd w:val="clear" w:color="auto" w:fill="C6EFCE"/>
            <w:noWrap/>
          </w:tcPr>
          <w:p w14:paraId="219D2B9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Jõustuvad seadusandlikud muudatused, millega reformitakse strateegiliste investeeringute ligimeelitamise õigusraamistikku (seadus 3894/2010 ja seadus 4608/2019), sealhulgas õigusaktide kodifitseerimise teel, et luua ühtne ja sidus raamistik, ning õiguslikud muudatused, et kehtestada uus strateegiliste investeeringute kategooria „suure tähtsusega investeeringud“. </w:t>
            </w:r>
          </w:p>
          <w:p w14:paraId="259D1CBD" w14:textId="77777777" w:rsidR="00356CBA" w:rsidRPr="00AD4052" w:rsidRDefault="00356CBA">
            <w:pPr>
              <w:spacing w:after="0" w:line="240" w:lineRule="auto"/>
              <w:rPr>
                <w:rFonts w:eastAsia="Times New Roman" w:cs="Calibri"/>
                <w:noProof/>
                <w:color w:val="006100"/>
                <w:sz w:val="18"/>
                <w:szCs w:val="18"/>
                <w:lang w:eastAsia="en-GB"/>
              </w:rPr>
            </w:pPr>
          </w:p>
          <w:p w14:paraId="176447F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Strateegilise investeerimisraamistiku reformiga kehtestatakse ka sätted, mis aitavad kiirendada haldusmenetlusi, mis on seotud strateegilise investeeringu heakskiitmise ja litsentsimisega (st parandada kiirmenetlust). Seaduses kehtestatakse uued strateegiliste investeeringute kategooriad kriteeriumide alusel, mis soodustavad innovatsiooni või tehnoloogia levikut, taastuvate energiaallikate kasutamist ja üleminekut vähem süsihappegaasiheiteid tekitavale majandusele ja/või edendavad märkimisväärselt Kreeka majanduse konkurentsivõimet rahvusvahelisel tasandil.</w:t>
            </w:r>
          </w:p>
          <w:p w14:paraId="7D28B4C0" w14:textId="77777777" w:rsidR="00356CBA" w:rsidRPr="00AD4052" w:rsidRDefault="00356CBA">
            <w:pPr>
              <w:spacing w:after="0" w:line="240" w:lineRule="auto"/>
              <w:rPr>
                <w:rFonts w:eastAsia="Times New Roman" w:cs="Calibri"/>
                <w:noProof/>
                <w:color w:val="006100"/>
                <w:sz w:val="18"/>
                <w:szCs w:val="18"/>
                <w:highlight w:val="yellow"/>
                <w:lang w:eastAsia="en-GB"/>
              </w:rPr>
            </w:pPr>
          </w:p>
        </w:tc>
      </w:tr>
      <w:tr w:rsidR="00356CBA" w:rsidRPr="003B132A" w14:paraId="74F7DD34" w14:textId="77777777" w:rsidTr="008AECE0">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14:paraId="48E5B94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300</w:t>
            </w:r>
          </w:p>
        </w:tc>
        <w:tc>
          <w:tcPr>
            <w:tcW w:w="1517" w:type="dxa"/>
            <w:tcBorders>
              <w:top w:val="nil"/>
              <w:left w:val="nil"/>
              <w:bottom w:val="single" w:sz="4" w:space="0" w:color="auto"/>
              <w:right w:val="single" w:sz="4" w:space="0" w:color="auto"/>
            </w:tcBorders>
            <w:shd w:val="clear" w:color="auto" w:fill="C6EFCE"/>
            <w:noWrap/>
          </w:tcPr>
          <w:p w14:paraId="300222A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16721_Aruka tootmise kiirendamine</w:t>
            </w:r>
          </w:p>
        </w:tc>
        <w:tc>
          <w:tcPr>
            <w:tcW w:w="1298" w:type="dxa"/>
            <w:tcBorders>
              <w:top w:val="nil"/>
              <w:left w:val="nil"/>
              <w:bottom w:val="single" w:sz="4" w:space="0" w:color="auto"/>
              <w:right w:val="single" w:sz="4" w:space="0" w:color="auto"/>
            </w:tcBorders>
            <w:shd w:val="clear" w:color="auto" w:fill="C6EFCE"/>
            <w:noWrap/>
          </w:tcPr>
          <w:p w14:paraId="5CF8212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396" w:type="dxa"/>
            <w:tcBorders>
              <w:top w:val="nil"/>
              <w:left w:val="nil"/>
              <w:bottom w:val="single" w:sz="4" w:space="0" w:color="auto"/>
              <w:right w:val="single" w:sz="4" w:space="0" w:color="auto"/>
            </w:tcBorders>
            <w:shd w:val="clear" w:color="auto" w:fill="C6EFCE"/>
            <w:noWrap/>
          </w:tcPr>
          <w:p w14:paraId="361DCA9D" w14:textId="77777777" w:rsidR="00356CBA" w:rsidRPr="00E02B5D" w:rsidRDefault="00356CBA">
            <w:pPr>
              <w:spacing w:after="0" w:line="240" w:lineRule="auto"/>
              <w:rPr>
                <w:rFonts w:eastAsia="Times New Roman"/>
                <w:noProof/>
                <w:color w:val="006100"/>
                <w:sz w:val="18"/>
                <w:szCs w:val="18"/>
              </w:rPr>
            </w:pPr>
            <w:r>
              <w:rPr>
                <w:noProof/>
                <w:color w:val="008000"/>
                <w:sz w:val="18"/>
              </w:rPr>
              <w:t>Tootmiskonkursside algatamine</w:t>
            </w:r>
          </w:p>
        </w:tc>
        <w:tc>
          <w:tcPr>
            <w:tcW w:w="1823" w:type="dxa"/>
            <w:tcBorders>
              <w:top w:val="nil"/>
              <w:left w:val="nil"/>
              <w:bottom w:val="single" w:sz="4" w:space="0" w:color="auto"/>
              <w:right w:val="single" w:sz="4" w:space="0" w:color="auto"/>
            </w:tcBorders>
            <w:shd w:val="clear" w:color="auto" w:fill="C6EFCE"/>
            <w:noWrap/>
          </w:tcPr>
          <w:p w14:paraId="2FF2A7E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Kutsete esitamine tootmisettevõtetele </w:t>
            </w:r>
          </w:p>
        </w:tc>
        <w:tc>
          <w:tcPr>
            <w:tcW w:w="866" w:type="dxa"/>
            <w:tcBorders>
              <w:top w:val="nil"/>
              <w:left w:val="nil"/>
              <w:bottom w:val="single" w:sz="4" w:space="0" w:color="auto"/>
              <w:right w:val="single" w:sz="4" w:space="0" w:color="auto"/>
            </w:tcBorders>
            <w:shd w:val="clear" w:color="auto" w:fill="C6EFCE"/>
            <w:noWrap/>
          </w:tcPr>
          <w:p w14:paraId="0B200B9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676A061C"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691" w:type="dxa"/>
            <w:tcBorders>
              <w:top w:val="nil"/>
              <w:left w:val="nil"/>
              <w:bottom w:val="single" w:sz="4" w:space="0" w:color="auto"/>
              <w:right w:val="single" w:sz="4" w:space="0" w:color="auto"/>
            </w:tcBorders>
            <w:shd w:val="clear" w:color="auto" w:fill="C6EFCE"/>
            <w:noWrap/>
          </w:tcPr>
          <w:p w14:paraId="697940FA"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6BBEAAB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kv</w:t>
            </w:r>
          </w:p>
        </w:tc>
        <w:tc>
          <w:tcPr>
            <w:tcW w:w="709" w:type="dxa"/>
            <w:tcBorders>
              <w:top w:val="nil"/>
              <w:left w:val="nil"/>
              <w:bottom w:val="single" w:sz="4" w:space="0" w:color="auto"/>
              <w:right w:val="single" w:sz="4" w:space="0" w:color="auto"/>
            </w:tcBorders>
            <w:shd w:val="clear" w:color="auto" w:fill="C6EFCE"/>
            <w:noWrap/>
          </w:tcPr>
          <w:p w14:paraId="0CA8C81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4308" w:type="dxa"/>
            <w:tcBorders>
              <w:top w:val="nil"/>
              <w:left w:val="nil"/>
              <w:bottom w:val="single" w:sz="4" w:space="0" w:color="auto"/>
              <w:right w:val="single" w:sz="4" w:space="0" w:color="auto"/>
            </w:tcBorders>
            <w:shd w:val="clear" w:color="auto" w:fill="C6EFCE"/>
            <w:noWrap/>
          </w:tcPr>
          <w:p w14:paraId="420FD8A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Kõigi konkurentsivõimeliste projektikonkursside algatamine tootmissektorile investeeringuteks tootmisliinide digiteerimisse, tarneahelate automatiseerimisse ja ühendamisse, arukate toodete ja teenuste kavandamisse ja tootmisse, aruka tootmistehnoloogia rakendamisse ülikiire 5G-võrgu mehaanilistes, labori- ja tootmisseadmetes, kvaliteedikontrolli seadmetesse, IKT- ja tarkvaraseadmetesse, tarkvaralitsentsidesse, pilvelitsentsidesse, uue IT-taristu ja tarkvarasüsteemide kasutamisteenustesse, IT-turvalisuse teenustesse, tootedisaini, intellektuaalomandisse, patendi- ja sertifitseerimiskuludesse koos tingimustega, sealhulgas rahastamiskõlblikkuse kriteeriumidega, millega tagatakse, et valitud projektid vastavad tehnilistele suunistele põhimõtte „ei kahjusta oluliselt“ kohaldamise kohta (2021/C58/01), kasutades kõrvalejätmise loetelu ning asjaomaste ELi ja riiklike keskkonnaalaste õigusaktide järgimise nõuet.</w:t>
            </w:r>
          </w:p>
        </w:tc>
      </w:tr>
      <w:tr w:rsidR="00356CBA" w:rsidRPr="003B132A" w14:paraId="343FDF45" w14:textId="77777777" w:rsidTr="008AECE0">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14:paraId="63EDFFD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301</w:t>
            </w:r>
          </w:p>
        </w:tc>
        <w:tc>
          <w:tcPr>
            <w:tcW w:w="1517" w:type="dxa"/>
            <w:tcBorders>
              <w:top w:val="nil"/>
              <w:left w:val="nil"/>
              <w:bottom w:val="single" w:sz="4" w:space="0" w:color="auto"/>
              <w:right w:val="single" w:sz="4" w:space="0" w:color="auto"/>
            </w:tcBorders>
            <w:shd w:val="clear" w:color="auto" w:fill="C6EFCE"/>
            <w:noWrap/>
          </w:tcPr>
          <w:p w14:paraId="3C7D916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16634_Uued tööstuspargid</w:t>
            </w:r>
          </w:p>
          <w:p w14:paraId="383F3D1C" w14:textId="77777777" w:rsidR="00356CBA" w:rsidRPr="00AD4052" w:rsidRDefault="00356CBA">
            <w:pPr>
              <w:spacing w:after="0" w:line="240" w:lineRule="auto"/>
              <w:rPr>
                <w:rFonts w:eastAsia="Times New Roman" w:cs="Calibri"/>
                <w:noProof/>
                <w:color w:val="006100"/>
                <w:sz w:val="18"/>
                <w:szCs w:val="18"/>
                <w:lang w:eastAsia="en-GB"/>
              </w:rPr>
            </w:pPr>
          </w:p>
        </w:tc>
        <w:tc>
          <w:tcPr>
            <w:tcW w:w="1298" w:type="dxa"/>
            <w:tcBorders>
              <w:top w:val="nil"/>
              <w:left w:val="nil"/>
              <w:bottom w:val="single" w:sz="4" w:space="0" w:color="auto"/>
              <w:right w:val="single" w:sz="4" w:space="0" w:color="auto"/>
            </w:tcBorders>
            <w:shd w:val="clear" w:color="auto" w:fill="C6EFCE"/>
            <w:noWrap/>
          </w:tcPr>
          <w:p w14:paraId="6D18333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396" w:type="dxa"/>
            <w:tcBorders>
              <w:top w:val="nil"/>
              <w:left w:val="nil"/>
              <w:bottom w:val="single" w:sz="4" w:space="0" w:color="auto"/>
              <w:right w:val="single" w:sz="4" w:space="0" w:color="auto"/>
            </w:tcBorders>
            <w:shd w:val="clear" w:color="auto" w:fill="C6EFCE"/>
            <w:noWrap/>
          </w:tcPr>
          <w:p w14:paraId="547188D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Tööstusparkide konkursside algatamine</w:t>
            </w:r>
          </w:p>
        </w:tc>
        <w:tc>
          <w:tcPr>
            <w:tcW w:w="1823" w:type="dxa"/>
            <w:tcBorders>
              <w:top w:val="nil"/>
              <w:left w:val="nil"/>
              <w:bottom w:val="single" w:sz="4" w:space="0" w:color="auto"/>
              <w:right w:val="single" w:sz="4" w:space="0" w:color="auto"/>
            </w:tcBorders>
            <w:shd w:val="clear" w:color="auto" w:fill="C6EFCE"/>
            <w:noWrap/>
          </w:tcPr>
          <w:p w14:paraId="229C760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Tööstusparkide konkursikutsete algatamine </w:t>
            </w:r>
          </w:p>
        </w:tc>
        <w:tc>
          <w:tcPr>
            <w:tcW w:w="866" w:type="dxa"/>
            <w:tcBorders>
              <w:top w:val="nil"/>
              <w:left w:val="nil"/>
              <w:bottom w:val="single" w:sz="4" w:space="0" w:color="auto"/>
              <w:right w:val="single" w:sz="4" w:space="0" w:color="auto"/>
            </w:tcBorders>
            <w:shd w:val="clear" w:color="auto" w:fill="C6EFCE"/>
            <w:noWrap/>
          </w:tcPr>
          <w:p w14:paraId="6767D788"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15C46E13"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691" w:type="dxa"/>
            <w:tcBorders>
              <w:top w:val="nil"/>
              <w:left w:val="nil"/>
              <w:bottom w:val="single" w:sz="4" w:space="0" w:color="auto"/>
              <w:right w:val="single" w:sz="4" w:space="0" w:color="auto"/>
            </w:tcBorders>
            <w:shd w:val="clear" w:color="auto" w:fill="C6EFCE"/>
            <w:noWrap/>
          </w:tcPr>
          <w:p w14:paraId="2BBF976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7021509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kv</w:t>
            </w:r>
          </w:p>
        </w:tc>
        <w:tc>
          <w:tcPr>
            <w:tcW w:w="709" w:type="dxa"/>
            <w:tcBorders>
              <w:top w:val="nil"/>
              <w:left w:val="nil"/>
              <w:bottom w:val="single" w:sz="4" w:space="0" w:color="auto"/>
              <w:right w:val="single" w:sz="4" w:space="0" w:color="auto"/>
            </w:tcBorders>
            <w:shd w:val="clear" w:color="auto" w:fill="C6EFCE"/>
            <w:noWrap/>
          </w:tcPr>
          <w:p w14:paraId="491CC34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4308" w:type="dxa"/>
            <w:tcBorders>
              <w:top w:val="nil"/>
              <w:left w:val="nil"/>
              <w:bottom w:val="single" w:sz="4" w:space="0" w:color="auto"/>
              <w:right w:val="single" w:sz="4" w:space="0" w:color="auto"/>
            </w:tcBorders>
            <w:shd w:val="clear" w:color="auto" w:fill="C6EFCE"/>
            <w:noWrap/>
          </w:tcPr>
          <w:p w14:paraId="6F7D989F" w14:textId="77777777" w:rsidR="00356CBA" w:rsidRPr="00E02B5D" w:rsidRDefault="00356CBA">
            <w:pPr>
              <w:spacing w:after="0" w:line="240" w:lineRule="auto"/>
              <w:rPr>
                <w:rFonts w:eastAsia="Times New Roman"/>
                <w:noProof/>
                <w:color w:val="006100"/>
                <w:sz w:val="18"/>
                <w:szCs w:val="18"/>
              </w:rPr>
            </w:pPr>
            <w:r>
              <w:rPr>
                <w:noProof/>
                <w:color w:val="006100"/>
                <w:sz w:val="18"/>
              </w:rPr>
              <w:t>Kõigi konkurentsivõimeliste projektikonkursside algatamine tööstusparkide arendamiseks, et investeerida a) taristusse, mis on ette nähtud uute energiatootmisparkide rajamiseks (sealhulgas maa omandamine) koos energiatõhususe erikriteeriumidega uute hoonete ehitamiseks, energiatõhususe ja näidisprojektidega suurettevõtetes ning toetusmeetmetega, b) taristusse, et digitaalselt ümber kujundada ja luua arukaid tööstuspiirkondi, c) taastuv päikeseenergia, d) veemajandus ja veevarude kaitse (investeeringute keskmine infrastruktuuri lekkeindeks (ILI) on &lt;= 1,5), e) energiatõhususe kriteeriumidele vastavad reovee kogumis- ja puhastussüsteemid, f) elektromobiilsus (elektri- ja vesinikusõidukite tanklate võrkude või transpordis kasutatava biometaani tanklate arendamine), g) tööstusalade ja saastatud alade taastamise projektid. Tingimused, sealhulgas rahastamiskõlblikkuse kriteeriumid, tagavad, et valitud projektid vastavad tehnilistele suunistele põhimõtte „ei kahjusta oluliselt“ kohaldamise kohta (2021/C58/01), kasutades kõrvalejätmise loetelu ning asjaomaste ELi ja riiklike keskkonnaalaste õigusaktide järgimise nõuet.</w:t>
            </w:r>
          </w:p>
          <w:p w14:paraId="4054ED52" w14:textId="77777777" w:rsidR="00356CBA" w:rsidRPr="00AD4052" w:rsidRDefault="00356CBA">
            <w:pPr>
              <w:spacing w:after="0" w:line="240" w:lineRule="auto"/>
              <w:rPr>
                <w:rFonts w:eastAsia="Times New Roman" w:cs="Calibri"/>
                <w:noProof/>
                <w:color w:val="006100"/>
                <w:sz w:val="18"/>
                <w:szCs w:val="18"/>
                <w:lang w:eastAsia="en-GB"/>
              </w:rPr>
            </w:pPr>
          </w:p>
          <w:p w14:paraId="1521297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Uute hoonete ehitamine peab vastama primaarenergia nõudlusele, mis on vähemalt 20 % madalam kui liginullenergiahoone nõue (ligi nullenergiahoone, riiklikud direktiivid). Esi- kuni lõpp-punkti reoveesüsteemide ehitamise korral on meetme energia netotarbimine null ning esi- kuni lõpp-punkti reoveesüsteemide uuendamise korral vähendab meede keskmist energiakasutust vähemalt 10 % (üksnes energiatõhususe meetmete abil, mitte materjalimuutuse või koormuse muutuse kaudu). Investeeringud elektromobiilsusesse peavad olema kooskõlas direktiiviga (EL) 2018/2001 ja seotud transpordis kasutatava alternatiivkütusega.</w:t>
            </w:r>
          </w:p>
        </w:tc>
      </w:tr>
      <w:tr w:rsidR="00356CBA" w:rsidRPr="003B132A" w14:paraId="10077B77" w14:textId="77777777" w:rsidTr="008AECE0">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14:paraId="1165204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302</w:t>
            </w:r>
          </w:p>
        </w:tc>
        <w:tc>
          <w:tcPr>
            <w:tcW w:w="1517" w:type="dxa"/>
            <w:tcBorders>
              <w:top w:val="nil"/>
              <w:left w:val="nil"/>
              <w:bottom w:val="single" w:sz="4" w:space="0" w:color="auto"/>
              <w:right w:val="single" w:sz="4" w:space="0" w:color="auto"/>
            </w:tcBorders>
            <w:shd w:val="clear" w:color="auto" w:fill="C6EFCE"/>
            <w:noWrap/>
          </w:tcPr>
          <w:p w14:paraId="6F93FED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16634_Uued tööstuspargid</w:t>
            </w:r>
          </w:p>
        </w:tc>
        <w:tc>
          <w:tcPr>
            <w:tcW w:w="1298" w:type="dxa"/>
            <w:tcBorders>
              <w:top w:val="nil"/>
              <w:left w:val="nil"/>
              <w:bottom w:val="single" w:sz="4" w:space="0" w:color="auto"/>
              <w:right w:val="single" w:sz="4" w:space="0" w:color="auto"/>
            </w:tcBorders>
            <w:shd w:val="clear" w:color="auto" w:fill="C6EFCE"/>
            <w:noWrap/>
          </w:tcPr>
          <w:p w14:paraId="1BA436A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396" w:type="dxa"/>
            <w:tcBorders>
              <w:top w:val="nil"/>
              <w:left w:val="nil"/>
              <w:bottom w:val="single" w:sz="4" w:space="0" w:color="auto"/>
              <w:right w:val="single" w:sz="4" w:space="0" w:color="auto"/>
            </w:tcBorders>
            <w:shd w:val="clear" w:color="auto" w:fill="C6EFCE"/>
            <w:noWrap/>
          </w:tcPr>
          <w:p w14:paraId="05D26A1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Tööstuspargid – seadusandlik reform (esmane õigus)</w:t>
            </w:r>
          </w:p>
        </w:tc>
        <w:tc>
          <w:tcPr>
            <w:tcW w:w="1823" w:type="dxa"/>
            <w:tcBorders>
              <w:top w:val="nil"/>
              <w:left w:val="nil"/>
              <w:bottom w:val="single" w:sz="4" w:space="0" w:color="auto"/>
              <w:right w:val="single" w:sz="4" w:space="0" w:color="auto"/>
            </w:tcBorders>
            <w:shd w:val="clear" w:color="auto" w:fill="C6EFCE"/>
            <w:noWrap/>
          </w:tcPr>
          <w:p w14:paraId="743C7C4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Õigusaktide avaldamine Euroopa Liidu Teatajas</w:t>
            </w:r>
          </w:p>
        </w:tc>
        <w:tc>
          <w:tcPr>
            <w:tcW w:w="866" w:type="dxa"/>
            <w:tcBorders>
              <w:top w:val="nil"/>
              <w:left w:val="nil"/>
              <w:bottom w:val="single" w:sz="4" w:space="0" w:color="auto"/>
              <w:right w:val="single" w:sz="4" w:space="0" w:color="auto"/>
            </w:tcBorders>
            <w:shd w:val="clear" w:color="auto" w:fill="C6EFCE"/>
            <w:noWrap/>
          </w:tcPr>
          <w:p w14:paraId="4F79533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7" w:type="dxa"/>
            <w:tcBorders>
              <w:top w:val="nil"/>
              <w:left w:val="nil"/>
              <w:bottom w:val="single" w:sz="4" w:space="0" w:color="auto"/>
              <w:right w:val="single" w:sz="4" w:space="0" w:color="auto"/>
            </w:tcBorders>
            <w:shd w:val="clear" w:color="auto" w:fill="C6EFCE"/>
            <w:noWrap/>
          </w:tcPr>
          <w:p w14:paraId="7C7941B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691" w:type="dxa"/>
            <w:tcBorders>
              <w:top w:val="nil"/>
              <w:left w:val="nil"/>
              <w:bottom w:val="single" w:sz="4" w:space="0" w:color="auto"/>
              <w:right w:val="single" w:sz="4" w:space="0" w:color="auto"/>
            </w:tcBorders>
            <w:shd w:val="clear" w:color="auto" w:fill="C6EFCE"/>
            <w:noWrap/>
          </w:tcPr>
          <w:p w14:paraId="52DAC4D3"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2DBDA71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709" w:type="dxa"/>
            <w:tcBorders>
              <w:top w:val="nil"/>
              <w:left w:val="nil"/>
              <w:bottom w:val="single" w:sz="4" w:space="0" w:color="auto"/>
              <w:right w:val="single" w:sz="4" w:space="0" w:color="auto"/>
            </w:tcBorders>
            <w:shd w:val="clear" w:color="auto" w:fill="C6EFCE"/>
            <w:noWrap/>
          </w:tcPr>
          <w:p w14:paraId="5FC038C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4308" w:type="dxa"/>
            <w:tcBorders>
              <w:top w:val="nil"/>
              <w:left w:val="nil"/>
              <w:bottom w:val="single" w:sz="4" w:space="0" w:color="auto"/>
              <w:right w:val="single" w:sz="4" w:space="0" w:color="auto"/>
            </w:tcBorders>
            <w:shd w:val="clear" w:color="auto" w:fill="C6EFCE"/>
            <w:noWrap/>
          </w:tcPr>
          <w:p w14:paraId="6C4E39A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Esmaste õigusaktide jõustamine, et parandada tööstusettevõtlusparkide reguleerivat raamistikku, sealhulgas tegelemine õigusliku ebakindlusega, juhtimisprobleemide lahendamine ja tõhusate stiimulite pakkumine mitteametliku tööstuskontsentreerumise lahendamiseks</w:t>
            </w:r>
          </w:p>
        </w:tc>
      </w:tr>
      <w:tr w:rsidR="00356CBA" w:rsidRPr="003B132A" w14:paraId="15E64A6E" w14:textId="77777777" w:rsidTr="008AECE0">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14:paraId="0A18410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303</w:t>
            </w:r>
          </w:p>
        </w:tc>
        <w:tc>
          <w:tcPr>
            <w:tcW w:w="1517" w:type="dxa"/>
            <w:tcBorders>
              <w:top w:val="nil"/>
              <w:left w:val="nil"/>
              <w:bottom w:val="single" w:sz="4" w:space="0" w:color="auto"/>
              <w:right w:val="single" w:sz="4" w:space="0" w:color="auto"/>
            </w:tcBorders>
            <w:shd w:val="clear" w:color="auto" w:fill="C6EFCE"/>
            <w:noWrap/>
            <w:hideMark/>
          </w:tcPr>
          <w:p w14:paraId="5F825C6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16593_Strateegiliste investeeringute ligimeelitamise õigusraamistiku muutmine</w:t>
            </w:r>
          </w:p>
        </w:tc>
        <w:tc>
          <w:tcPr>
            <w:tcW w:w="1298" w:type="dxa"/>
            <w:tcBorders>
              <w:top w:val="nil"/>
              <w:left w:val="nil"/>
              <w:bottom w:val="single" w:sz="4" w:space="0" w:color="auto"/>
              <w:right w:val="single" w:sz="4" w:space="0" w:color="auto"/>
            </w:tcBorders>
            <w:shd w:val="clear" w:color="auto" w:fill="C6EFCE"/>
            <w:noWrap/>
            <w:hideMark/>
          </w:tcPr>
          <w:p w14:paraId="271F356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396" w:type="dxa"/>
            <w:tcBorders>
              <w:top w:val="nil"/>
              <w:left w:val="nil"/>
              <w:bottom w:val="single" w:sz="4" w:space="0" w:color="auto"/>
              <w:right w:val="single" w:sz="4" w:space="0" w:color="auto"/>
            </w:tcBorders>
            <w:shd w:val="clear" w:color="auto" w:fill="C6EFCE"/>
            <w:noWrap/>
            <w:hideMark/>
          </w:tcPr>
          <w:p w14:paraId="7351934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Strateegilised investeeringud – abikõlblike projektide valik</w:t>
            </w:r>
          </w:p>
        </w:tc>
        <w:tc>
          <w:tcPr>
            <w:tcW w:w="1823" w:type="dxa"/>
            <w:tcBorders>
              <w:top w:val="nil"/>
              <w:left w:val="nil"/>
              <w:bottom w:val="single" w:sz="4" w:space="0" w:color="auto"/>
              <w:right w:val="single" w:sz="4" w:space="0" w:color="auto"/>
            </w:tcBorders>
            <w:shd w:val="clear" w:color="auto" w:fill="C6EFCE"/>
            <w:noWrap/>
            <w:hideMark/>
          </w:tcPr>
          <w:p w14:paraId="1B8BEE3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Rahastamiskõlblike „suure tähtsusega embleemsete investeeringute“ valimine </w:t>
            </w:r>
          </w:p>
        </w:tc>
        <w:tc>
          <w:tcPr>
            <w:tcW w:w="866" w:type="dxa"/>
            <w:tcBorders>
              <w:top w:val="nil"/>
              <w:left w:val="nil"/>
              <w:bottom w:val="single" w:sz="4" w:space="0" w:color="auto"/>
              <w:right w:val="single" w:sz="4" w:space="0" w:color="auto"/>
            </w:tcBorders>
            <w:shd w:val="clear" w:color="auto" w:fill="C6EFCE"/>
            <w:noWrap/>
            <w:hideMark/>
          </w:tcPr>
          <w:p w14:paraId="623EDC0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857" w:type="dxa"/>
            <w:tcBorders>
              <w:top w:val="nil"/>
              <w:left w:val="nil"/>
              <w:bottom w:val="single" w:sz="4" w:space="0" w:color="auto"/>
              <w:right w:val="single" w:sz="4" w:space="0" w:color="auto"/>
            </w:tcBorders>
            <w:shd w:val="clear" w:color="auto" w:fill="C6EFCE"/>
            <w:noWrap/>
            <w:hideMark/>
          </w:tcPr>
          <w:p w14:paraId="208C7BF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691" w:type="dxa"/>
            <w:tcBorders>
              <w:top w:val="nil"/>
              <w:left w:val="nil"/>
              <w:bottom w:val="single" w:sz="4" w:space="0" w:color="auto"/>
              <w:right w:val="single" w:sz="4" w:space="0" w:color="auto"/>
            </w:tcBorders>
            <w:shd w:val="clear" w:color="auto" w:fill="C6EFCE"/>
            <w:noWrap/>
            <w:hideMark/>
          </w:tcPr>
          <w:p w14:paraId="487BC69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851" w:type="dxa"/>
            <w:tcBorders>
              <w:top w:val="nil"/>
              <w:left w:val="nil"/>
              <w:bottom w:val="single" w:sz="4" w:space="0" w:color="auto"/>
              <w:right w:val="single" w:sz="4" w:space="0" w:color="auto"/>
            </w:tcBorders>
            <w:shd w:val="clear" w:color="auto" w:fill="C6EFCE"/>
            <w:noWrap/>
            <w:hideMark/>
          </w:tcPr>
          <w:p w14:paraId="4F7F246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709" w:type="dxa"/>
            <w:tcBorders>
              <w:top w:val="nil"/>
              <w:left w:val="nil"/>
              <w:bottom w:val="single" w:sz="4" w:space="0" w:color="auto"/>
              <w:right w:val="single" w:sz="4" w:space="0" w:color="auto"/>
            </w:tcBorders>
            <w:shd w:val="clear" w:color="auto" w:fill="C6EFCE"/>
            <w:noWrap/>
            <w:hideMark/>
          </w:tcPr>
          <w:p w14:paraId="5BA3E26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2023</w:t>
            </w:r>
          </w:p>
        </w:tc>
        <w:tc>
          <w:tcPr>
            <w:tcW w:w="4308" w:type="dxa"/>
            <w:tcBorders>
              <w:top w:val="nil"/>
              <w:left w:val="nil"/>
              <w:bottom w:val="single" w:sz="4" w:space="0" w:color="auto"/>
              <w:right w:val="single" w:sz="4" w:space="0" w:color="auto"/>
            </w:tcBorders>
            <w:shd w:val="clear" w:color="auto" w:fill="C6EFCE"/>
            <w:noWrap/>
            <w:hideMark/>
          </w:tcPr>
          <w:p w14:paraId="393052BE" w14:textId="40F9B482" w:rsidR="00356CBA" w:rsidRPr="00E02B5D" w:rsidRDefault="30A4CC0A">
            <w:pPr>
              <w:spacing w:after="0" w:line="240" w:lineRule="auto"/>
              <w:rPr>
                <w:rFonts w:eastAsia="Times New Roman" w:cs="Calibri"/>
                <w:noProof/>
                <w:color w:val="006100"/>
                <w:sz w:val="18"/>
                <w:szCs w:val="18"/>
              </w:rPr>
            </w:pPr>
            <w:r>
              <w:rPr>
                <w:noProof/>
                <w:color w:val="006100"/>
                <w:sz w:val="18"/>
              </w:rPr>
              <w:t xml:space="preserve">„Suure tähtsusega embleatiliste investeeringute“ valimine ministeeriumidevahelise strateegiliste investeeringute komitee heakskiitva otsuse alusel (kinnitatud otsuse avaldamisega). Energiainvesteeringute puhul hõlmavad rahastamiskõlblikud investeeringud investeeringuid a) taristusse, millel on konkreetsed energiakriteeriumid uute hoonete ehitamiseks, b) hübriidsetesse energiatootmisprojektidesse taastuvatest energiaallikatest ühendamata saartel, c) investeeringutest keskkonnahoidliku vesiniku tootmisse, d) taastuvatest energiaallikatest toodetud elektrienergia salvestamise süsteemidesse või e) avamere tuuleparkide ja avamere fotogalvaanikaparkide rajatistesse kooskõlas „ei kahjusta oluliselt“ tehniliste suunistega (2021/C58/01), kasutades välistamisnimekirja ning nõuet järgida asjakohaseid ELi ja riiklikke keskkonnaalaseid õigusakte. </w:t>
            </w:r>
          </w:p>
          <w:p w14:paraId="0DE32303" w14:textId="77777777" w:rsidR="00356CBA" w:rsidRPr="00AD4052" w:rsidRDefault="00356CBA">
            <w:pPr>
              <w:spacing w:after="0" w:line="240" w:lineRule="auto"/>
              <w:rPr>
                <w:rFonts w:eastAsia="Times New Roman" w:cs="Calibri"/>
                <w:noProof/>
                <w:color w:val="006100"/>
                <w:sz w:val="18"/>
                <w:szCs w:val="18"/>
                <w:lang w:eastAsia="en-GB"/>
              </w:rPr>
            </w:pPr>
          </w:p>
          <w:p w14:paraId="5DC2D15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Uute hoonete ehitamine peab vastama primaarenergia nõudlusele, mis on vähemalt 20 % madalam kui liginullenergiahoone nõue (ligi nullenergiahoone, riiklikud direktiivid).</w:t>
            </w:r>
          </w:p>
        </w:tc>
      </w:tr>
      <w:tr w:rsidR="00356CBA" w:rsidRPr="003B132A" w14:paraId="742B9B2D" w14:textId="77777777" w:rsidTr="008AECE0">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14:paraId="3EC2248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304</w:t>
            </w:r>
          </w:p>
        </w:tc>
        <w:tc>
          <w:tcPr>
            <w:tcW w:w="1517" w:type="dxa"/>
            <w:tcBorders>
              <w:top w:val="nil"/>
              <w:left w:val="nil"/>
              <w:bottom w:val="single" w:sz="4" w:space="0" w:color="auto"/>
              <w:right w:val="single" w:sz="4" w:space="0" w:color="auto"/>
            </w:tcBorders>
            <w:shd w:val="clear" w:color="auto" w:fill="C6EFCE"/>
            <w:noWrap/>
            <w:hideMark/>
          </w:tcPr>
          <w:p w14:paraId="3900C66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16634_Uued tööstuspargid</w:t>
            </w:r>
          </w:p>
        </w:tc>
        <w:tc>
          <w:tcPr>
            <w:tcW w:w="1298" w:type="dxa"/>
            <w:tcBorders>
              <w:top w:val="nil"/>
              <w:left w:val="nil"/>
              <w:bottom w:val="single" w:sz="4" w:space="0" w:color="auto"/>
              <w:right w:val="single" w:sz="4" w:space="0" w:color="auto"/>
            </w:tcBorders>
            <w:shd w:val="clear" w:color="auto" w:fill="C6EFCE"/>
            <w:noWrap/>
            <w:hideMark/>
          </w:tcPr>
          <w:p w14:paraId="6DC767E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396" w:type="dxa"/>
            <w:tcBorders>
              <w:top w:val="nil"/>
              <w:left w:val="nil"/>
              <w:bottom w:val="single" w:sz="4" w:space="0" w:color="auto"/>
              <w:right w:val="single" w:sz="4" w:space="0" w:color="auto"/>
            </w:tcBorders>
            <w:shd w:val="clear" w:color="auto" w:fill="C6EFCE"/>
            <w:noWrap/>
            <w:hideMark/>
          </w:tcPr>
          <w:p w14:paraId="15EAF67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Tööstuspargid – seadusandlik reform (teisesed õigusaktid)</w:t>
            </w:r>
          </w:p>
        </w:tc>
        <w:tc>
          <w:tcPr>
            <w:tcW w:w="1823" w:type="dxa"/>
            <w:tcBorders>
              <w:top w:val="nil"/>
              <w:left w:val="nil"/>
              <w:bottom w:val="single" w:sz="4" w:space="0" w:color="auto"/>
              <w:right w:val="single" w:sz="4" w:space="0" w:color="auto"/>
            </w:tcBorders>
            <w:shd w:val="clear" w:color="auto" w:fill="C6EFCE"/>
            <w:noWrap/>
            <w:hideMark/>
          </w:tcPr>
          <w:p w14:paraId="71FF224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Kõigi nõutavate õigusaktide jõustumine </w:t>
            </w:r>
          </w:p>
        </w:tc>
        <w:tc>
          <w:tcPr>
            <w:tcW w:w="866" w:type="dxa"/>
            <w:tcBorders>
              <w:top w:val="nil"/>
              <w:left w:val="nil"/>
              <w:bottom w:val="single" w:sz="4" w:space="0" w:color="auto"/>
              <w:right w:val="single" w:sz="4" w:space="0" w:color="auto"/>
            </w:tcBorders>
            <w:shd w:val="clear" w:color="auto" w:fill="C6EFCE"/>
            <w:noWrap/>
            <w:hideMark/>
          </w:tcPr>
          <w:p w14:paraId="63D3DEB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857" w:type="dxa"/>
            <w:tcBorders>
              <w:top w:val="nil"/>
              <w:left w:val="nil"/>
              <w:bottom w:val="single" w:sz="4" w:space="0" w:color="auto"/>
              <w:right w:val="single" w:sz="4" w:space="0" w:color="auto"/>
            </w:tcBorders>
            <w:shd w:val="clear" w:color="auto" w:fill="C6EFCE"/>
            <w:noWrap/>
            <w:hideMark/>
          </w:tcPr>
          <w:p w14:paraId="52138D9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691" w:type="dxa"/>
            <w:tcBorders>
              <w:top w:val="nil"/>
              <w:left w:val="nil"/>
              <w:bottom w:val="single" w:sz="4" w:space="0" w:color="auto"/>
              <w:right w:val="single" w:sz="4" w:space="0" w:color="auto"/>
            </w:tcBorders>
            <w:shd w:val="clear" w:color="auto" w:fill="C6EFCE"/>
            <w:noWrap/>
            <w:hideMark/>
          </w:tcPr>
          <w:p w14:paraId="532C7AE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w:t>
            </w:r>
          </w:p>
        </w:tc>
        <w:tc>
          <w:tcPr>
            <w:tcW w:w="851" w:type="dxa"/>
            <w:tcBorders>
              <w:top w:val="nil"/>
              <w:left w:val="nil"/>
              <w:bottom w:val="single" w:sz="4" w:space="0" w:color="auto"/>
              <w:right w:val="single" w:sz="4" w:space="0" w:color="auto"/>
            </w:tcBorders>
            <w:shd w:val="clear" w:color="auto" w:fill="C6EFCE"/>
            <w:noWrap/>
            <w:hideMark/>
          </w:tcPr>
          <w:p w14:paraId="6C74CD7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709" w:type="dxa"/>
            <w:tcBorders>
              <w:top w:val="nil"/>
              <w:left w:val="nil"/>
              <w:bottom w:val="single" w:sz="4" w:space="0" w:color="auto"/>
              <w:right w:val="single" w:sz="4" w:space="0" w:color="auto"/>
            </w:tcBorders>
            <w:shd w:val="clear" w:color="auto" w:fill="C6EFCE"/>
            <w:noWrap/>
            <w:hideMark/>
          </w:tcPr>
          <w:p w14:paraId="57FAE8E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4308" w:type="dxa"/>
            <w:tcBorders>
              <w:top w:val="nil"/>
              <w:left w:val="nil"/>
              <w:bottom w:val="single" w:sz="4" w:space="0" w:color="auto"/>
              <w:right w:val="single" w:sz="4" w:space="0" w:color="auto"/>
            </w:tcBorders>
            <w:shd w:val="clear" w:color="auto" w:fill="C6EFCE"/>
            <w:noWrap/>
            <w:hideMark/>
          </w:tcPr>
          <w:p w14:paraId="4FC5D93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Jõustada kõik teisesed õigusaktid, mis on vajalikud uue raamistiku rakendamiseks, et parandada tööstusettevõtete parkide reguleerivat raamistikku, sealhulgas tegeleda õigusliku ebakindlusega, lahendada juhtimisprobleemid ja pakkuda tõhusaid stiimuleid mitteametliku tööstuskontsentreerumise lahendamiseks.</w:t>
            </w:r>
          </w:p>
        </w:tc>
      </w:tr>
      <w:tr w:rsidR="00356CBA" w:rsidRPr="003B132A" w14:paraId="4718233F" w14:textId="77777777" w:rsidTr="008AECE0">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47ECF90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306</w:t>
            </w:r>
          </w:p>
        </w:tc>
        <w:tc>
          <w:tcPr>
            <w:tcW w:w="1517" w:type="dxa"/>
            <w:tcBorders>
              <w:top w:val="single" w:sz="4" w:space="0" w:color="auto"/>
              <w:left w:val="nil"/>
              <w:bottom w:val="single" w:sz="4" w:space="0" w:color="auto"/>
              <w:right w:val="single" w:sz="4" w:space="0" w:color="auto"/>
            </w:tcBorders>
            <w:shd w:val="clear" w:color="auto" w:fill="C6EFCE"/>
            <w:noWrap/>
          </w:tcPr>
          <w:p w14:paraId="691A0F6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16599_Majandusdiplomaatia võrgustiku digiteerimine; Eksportijate koolitusprogramm</w:t>
            </w:r>
          </w:p>
        </w:tc>
        <w:tc>
          <w:tcPr>
            <w:tcW w:w="1298" w:type="dxa"/>
            <w:tcBorders>
              <w:top w:val="single" w:sz="4" w:space="0" w:color="auto"/>
              <w:left w:val="nil"/>
              <w:bottom w:val="single" w:sz="4" w:space="0" w:color="auto"/>
              <w:right w:val="single" w:sz="4" w:space="0" w:color="auto"/>
            </w:tcBorders>
            <w:shd w:val="clear" w:color="auto" w:fill="C6EFCE"/>
            <w:noWrap/>
          </w:tcPr>
          <w:p w14:paraId="27CDD36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396" w:type="dxa"/>
            <w:tcBorders>
              <w:top w:val="single" w:sz="4" w:space="0" w:color="auto"/>
              <w:left w:val="nil"/>
              <w:bottom w:val="single" w:sz="4" w:space="0" w:color="auto"/>
              <w:right w:val="single" w:sz="4" w:space="0" w:color="auto"/>
            </w:tcBorders>
            <w:shd w:val="clear" w:color="auto" w:fill="C6EFCE"/>
            <w:noWrap/>
          </w:tcPr>
          <w:p w14:paraId="1E3439B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Majandusdiplomaatia võrgustiku digitaliseerimine – kõigi meetmete rakendamine</w:t>
            </w:r>
          </w:p>
        </w:tc>
        <w:tc>
          <w:tcPr>
            <w:tcW w:w="1823" w:type="dxa"/>
            <w:tcBorders>
              <w:top w:val="single" w:sz="4" w:space="0" w:color="auto"/>
              <w:left w:val="nil"/>
              <w:bottom w:val="single" w:sz="4" w:space="0" w:color="auto"/>
              <w:right w:val="single" w:sz="4" w:space="0" w:color="auto"/>
            </w:tcBorders>
            <w:shd w:val="clear" w:color="auto" w:fill="C6EFCE"/>
            <w:noWrap/>
          </w:tcPr>
          <w:p w14:paraId="5495E6E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Aruanne, mis tõendab majandusdiplomaatia võrgustiku digitaliseerimise meetmete rakendamist (st eksportijate kasutajatoe rakendamine, andmebaaside ja digitaalsete suhtluskanalite avaldamine investorite ja eksportijatega, siseprotsesside digiteerimine Enterprise Greece’is ja ombudsmani teenuse käivitamine), mis on vajalik majandusdiplomaatia võrgustiku digitaliseerimise lõpuleviimiseks.</w:t>
            </w:r>
          </w:p>
        </w:tc>
        <w:tc>
          <w:tcPr>
            <w:tcW w:w="866" w:type="dxa"/>
            <w:tcBorders>
              <w:top w:val="single" w:sz="4" w:space="0" w:color="auto"/>
              <w:left w:val="nil"/>
              <w:bottom w:val="single" w:sz="4" w:space="0" w:color="auto"/>
              <w:right w:val="single" w:sz="4" w:space="0" w:color="auto"/>
            </w:tcBorders>
            <w:shd w:val="clear" w:color="auto" w:fill="C6EFCE"/>
            <w:noWrap/>
          </w:tcPr>
          <w:p w14:paraId="15C8478C" w14:textId="77777777" w:rsidR="00356CBA" w:rsidRPr="00AD4052" w:rsidRDefault="00356CBA">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3F6D839A" w14:textId="77777777" w:rsidR="00356CBA" w:rsidRPr="00AD4052" w:rsidRDefault="00356CBA">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14:paraId="675E7832" w14:textId="77777777" w:rsidR="00356CBA" w:rsidRPr="00AD4052" w:rsidRDefault="00356CBA">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2E35FA6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67D4B60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4308" w:type="dxa"/>
            <w:tcBorders>
              <w:top w:val="single" w:sz="4" w:space="0" w:color="auto"/>
              <w:left w:val="nil"/>
              <w:bottom w:val="single" w:sz="4" w:space="0" w:color="auto"/>
              <w:right w:val="single" w:sz="4" w:space="0" w:color="auto"/>
            </w:tcBorders>
            <w:shd w:val="clear" w:color="auto" w:fill="C6EFCE"/>
            <w:noWrap/>
          </w:tcPr>
          <w:p w14:paraId="6659397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Viia lõpule majandusdiplomaatia võrgustiku digitaliseerimine, sealhulgas:</w:t>
            </w:r>
          </w:p>
          <w:p w14:paraId="07FE3FC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 ühtse ekspordivärava kasutuselevõtmine</w:t>
            </w:r>
          </w:p>
          <w:p w14:paraId="3FE296C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 „Helpdeski“ teenused</w:t>
            </w:r>
          </w:p>
          <w:p w14:paraId="72C035E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 rahvusvaheliste turgude ja ekspordimenetluste andmebaaside avaldamine</w:t>
            </w:r>
          </w:p>
          <w:p w14:paraId="52E19DD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 ombudsmani teenistuse loomine, et aidata eksportijatel ületada ekspordiprotsessi käigus tekkivaid takistusi</w:t>
            </w:r>
          </w:p>
          <w:p w14:paraId="347010C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 Ettevõtluse „Ettevõtluse Kreeka“ siseprotsesside digiteerimine ning Ettevõtluse „Kreeka“ investeerimisportfelli ja strateegiliste investorite digivaramu loomine</w:t>
            </w:r>
          </w:p>
          <w:p w14:paraId="4A4152F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 uute digitaalsete suhtluskanalite loomine eksportijate ja potentsiaalsete investoritega</w:t>
            </w:r>
          </w:p>
        </w:tc>
      </w:tr>
      <w:tr w:rsidR="00356CBA" w:rsidRPr="003B132A" w14:paraId="65BCA7B5" w14:textId="77777777" w:rsidTr="008AECE0">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040D021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307</w:t>
            </w:r>
          </w:p>
        </w:tc>
        <w:tc>
          <w:tcPr>
            <w:tcW w:w="1517" w:type="dxa"/>
            <w:tcBorders>
              <w:top w:val="single" w:sz="4" w:space="0" w:color="auto"/>
              <w:left w:val="nil"/>
              <w:bottom w:val="single" w:sz="4" w:space="0" w:color="auto"/>
              <w:right w:val="single" w:sz="4" w:space="0" w:color="auto"/>
            </w:tcBorders>
            <w:shd w:val="clear" w:color="auto" w:fill="C6EFCE"/>
            <w:noWrap/>
          </w:tcPr>
          <w:p w14:paraId="02166D9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16634_Uued tööstuspargid</w:t>
            </w:r>
          </w:p>
        </w:tc>
        <w:tc>
          <w:tcPr>
            <w:tcW w:w="1298" w:type="dxa"/>
            <w:tcBorders>
              <w:top w:val="single" w:sz="4" w:space="0" w:color="auto"/>
              <w:left w:val="nil"/>
              <w:bottom w:val="single" w:sz="4" w:space="0" w:color="auto"/>
              <w:right w:val="single" w:sz="4" w:space="0" w:color="auto"/>
            </w:tcBorders>
            <w:shd w:val="clear" w:color="auto" w:fill="C6EFCE"/>
            <w:noWrap/>
          </w:tcPr>
          <w:p w14:paraId="31774B5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396" w:type="dxa"/>
            <w:tcBorders>
              <w:top w:val="single" w:sz="4" w:space="0" w:color="auto"/>
              <w:left w:val="nil"/>
              <w:bottom w:val="single" w:sz="4" w:space="0" w:color="auto"/>
              <w:right w:val="single" w:sz="4" w:space="0" w:color="auto"/>
            </w:tcBorders>
            <w:shd w:val="clear" w:color="auto" w:fill="C6EFCE"/>
            <w:noWrap/>
          </w:tcPr>
          <w:p w14:paraId="4893254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Tööstuspargid – investeeringute rakendamine</w:t>
            </w:r>
          </w:p>
        </w:tc>
        <w:tc>
          <w:tcPr>
            <w:tcW w:w="1823" w:type="dxa"/>
            <w:tcBorders>
              <w:top w:val="single" w:sz="4" w:space="0" w:color="auto"/>
              <w:left w:val="nil"/>
              <w:bottom w:val="single" w:sz="4" w:space="0" w:color="auto"/>
              <w:right w:val="single" w:sz="4" w:space="0" w:color="auto"/>
            </w:tcBorders>
            <w:shd w:val="clear" w:color="auto" w:fill="C6EFCE"/>
            <w:noWrap/>
          </w:tcPr>
          <w:p w14:paraId="5008D96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Esitada ehitustööde auditite tulemused, toetusesaajate kinnitused investeeringute lõpuleviimise kohta ja tõendid maksete kohta, mis tõendavad valitud investeerimisprojektide rakendamist tööstusparkides. </w:t>
            </w:r>
          </w:p>
          <w:p w14:paraId="7E88ED07" w14:textId="77777777" w:rsidR="00356CBA" w:rsidRPr="00AD4052" w:rsidRDefault="00356CBA">
            <w:pPr>
              <w:spacing w:after="0" w:line="240" w:lineRule="auto"/>
              <w:ind w:left="198" w:hanging="198"/>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14:paraId="65FA109D" w14:textId="77777777" w:rsidR="00356CBA" w:rsidRPr="00AD4052" w:rsidRDefault="00356CBA">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455C469A" w14:textId="77777777" w:rsidR="00356CBA" w:rsidRPr="00AD4052" w:rsidRDefault="00356CBA">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14:paraId="000D6D8C" w14:textId="77777777" w:rsidR="00356CBA" w:rsidRPr="00AD4052" w:rsidRDefault="00356CBA">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1E30410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3C3C0AC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4308" w:type="dxa"/>
            <w:tcBorders>
              <w:top w:val="single" w:sz="4" w:space="0" w:color="auto"/>
              <w:left w:val="nil"/>
              <w:bottom w:val="single" w:sz="4" w:space="0" w:color="auto"/>
              <w:right w:val="single" w:sz="4" w:space="0" w:color="auto"/>
            </w:tcBorders>
            <w:shd w:val="clear" w:color="auto" w:fill="C6EFCE"/>
            <w:noWrap/>
          </w:tcPr>
          <w:p w14:paraId="66765C3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Kõigi konkurentsipõhiste projektikonkursside raames välja valitud investeerimisprojektide ehituse lõpuleviimine. </w:t>
            </w:r>
          </w:p>
        </w:tc>
      </w:tr>
      <w:tr w:rsidR="00356CBA" w:rsidRPr="003B132A" w14:paraId="11D91869" w14:textId="77777777" w:rsidTr="008AECE0">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117AC30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308</w:t>
            </w:r>
          </w:p>
        </w:tc>
        <w:tc>
          <w:tcPr>
            <w:tcW w:w="1517" w:type="dxa"/>
            <w:tcBorders>
              <w:top w:val="single" w:sz="4" w:space="0" w:color="auto"/>
              <w:left w:val="nil"/>
              <w:bottom w:val="single" w:sz="4" w:space="0" w:color="auto"/>
              <w:right w:val="single" w:sz="4" w:space="0" w:color="auto"/>
            </w:tcBorders>
            <w:shd w:val="clear" w:color="auto" w:fill="C6EFCE"/>
            <w:noWrap/>
          </w:tcPr>
          <w:p w14:paraId="2D98386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16593_Strateegiliste investeeringute ligimeelitamise õigusraamistiku muutmine</w:t>
            </w:r>
          </w:p>
        </w:tc>
        <w:tc>
          <w:tcPr>
            <w:tcW w:w="1298" w:type="dxa"/>
            <w:tcBorders>
              <w:top w:val="single" w:sz="4" w:space="0" w:color="auto"/>
              <w:left w:val="nil"/>
              <w:bottom w:val="single" w:sz="4" w:space="0" w:color="auto"/>
              <w:right w:val="single" w:sz="4" w:space="0" w:color="auto"/>
            </w:tcBorders>
            <w:shd w:val="clear" w:color="auto" w:fill="C6EFCE"/>
            <w:noWrap/>
          </w:tcPr>
          <w:p w14:paraId="43B7EFD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396" w:type="dxa"/>
            <w:tcBorders>
              <w:top w:val="single" w:sz="4" w:space="0" w:color="auto"/>
              <w:left w:val="nil"/>
              <w:bottom w:val="single" w:sz="4" w:space="0" w:color="auto"/>
              <w:right w:val="single" w:sz="4" w:space="0" w:color="auto"/>
            </w:tcBorders>
            <w:shd w:val="clear" w:color="auto" w:fill="C6EFCE"/>
            <w:noWrap/>
          </w:tcPr>
          <w:p w14:paraId="027864E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Strateegilised investeeringud – investeeringute rakendamine</w:t>
            </w:r>
          </w:p>
        </w:tc>
        <w:tc>
          <w:tcPr>
            <w:tcW w:w="1823" w:type="dxa"/>
            <w:tcBorders>
              <w:top w:val="single" w:sz="4" w:space="0" w:color="auto"/>
              <w:left w:val="nil"/>
              <w:bottom w:val="single" w:sz="4" w:space="0" w:color="auto"/>
              <w:right w:val="single" w:sz="4" w:space="0" w:color="auto"/>
            </w:tcBorders>
            <w:shd w:val="clear" w:color="auto" w:fill="C6EFCE"/>
            <w:noWrap/>
          </w:tcPr>
          <w:p w14:paraId="5FC3669A" w14:textId="06C3F624" w:rsidR="00356CBA" w:rsidRPr="00E02B5D" w:rsidRDefault="30A4CC0A" w:rsidP="00961773">
            <w:pPr>
              <w:spacing w:after="0" w:line="240" w:lineRule="auto"/>
              <w:rPr>
                <w:rFonts w:eastAsia="Times New Roman" w:cs="Calibri"/>
                <w:noProof/>
                <w:color w:val="006100"/>
                <w:sz w:val="18"/>
                <w:szCs w:val="18"/>
              </w:rPr>
            </w:pPr>
            <w:r>
              <w:rPr>
                <w:noProof/>
                <w:color w:val="006100"/>
                <w:sz w:val="18"/>
              </w:rPr>
              <w:t>Esitada ehitustööde auditite tulemused ja toetusesaajate sertifitseerimine investeeringute lõpuleviimise kohta, et tõendada valitud investeerimisprojektide rakendamist suure tähtsusega Emblematic Investments’i raames.</w:t>
            </w:r>
          </w:p>
        </w:tc>
        <w:tc>
          <w:tcPr>
            <w:tcW w:w="866" w:type="dxa"/>
            <w:tcBorders>
              <w:top w:val="single" w:sz="4" w:space="0" w:color="auto"/>
              <w:left w:val="nil"/>
              <w:bottom w:val="single" w:sz="4" w:space="0" w:color="auto"/>
              <w:right w:val="single" w:sz="4" w:space="0" w:color="auto"/>
            </w:tcBorders>
            <w:shd w:val="clear" w:color="auto" w:fill="C6EFCE"/>
            <w:noWrap/>
          </w:tcPr>
          <w:p w14:paraId="664411BD" w14:textId="77777777" w:rsidR="00356CBA" w:rsidRPr="00AD4052" w:rsidRDefault="00356CBA">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5C6970CD" w14:textId="77777777" w:rsidR="00356CBA" w:rsidRPr="00AD4052" w:rsidRDefault="00356CBA">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14:paraId="54194CF3" w14:textId="77777777" w:rsidR="00356CBA" w:rsidRPr="00AD4052" w:rsidRDefault="00356CBA">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69A9F65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385D6A2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4308" w:type="dxa"/>
            <w:tcBorders>
              <w:top w:val="single" w:sz="4" w:space="0" w:color="auto"/>
              <w:left w:val="nil"/>
              <w:bottom w:val="single" w:sz="4" w:space="0" w:color="auto"/>
              <w:right w:val="single" w:sz="4" w:space="0" w:color="auto"/>
            </w:tcBorders>
            <w:shd w:val="clear" w:color="auto" w:fill="C6EFCE"/>
            <w:noWrap/>
          </w:tcPr>
          <w:p w14:paraId="72BE83F4" w14:textId="26C669F8" w:rsidR="00356CBA" w:rsidRPr="00E02B5D" w:rsidRDefault="00356CBA" w:rsidP="00B920D5">
            <w:pPr>
              <w:spacing w:after="0" w:line="240" w:lineRule="auto"/>
              <w:rPr>
                <w:rFonts w:eastAsia="Times New Roman" w:cs="Calibri"/>
                <w:noProof/>
                <w:color w:val="006100"/>
                <w:sz w:val="18"/>
                <w:szCs w:val="18"/>
              </w:rPr>
            </w:pPr>
            <w:r>
              <w:rPr>
                <w:noProof/>
                <w:color w:val="006100"/>
                <w:sz w:val="18"/>
              </w:rPr>
              <w:t>Kõigi suure tähtsusega investeeringute ehitamise lõpuleviimine, mis on välja valitud kooskõlas ministeeriumidevahelise strateegiliste investeeringute komitee heakskiitva otsusega.</w:t>
            </w:r>
          </w:p>
        </w:tc>
      </w:tr>
      <w:tr w:rsidR="00356CBA" w:rsidRPr="003B132A" w14:paraId="230123EA" w14:textId="77777777" w:rsidTr="008AECE0">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508A35D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309</w:t>
            </w:r>
          </w:p>
        </w:tc>
        <w:tc>
          <w:tcPr>
            <w:tcW w:w="1517" w:type="dxa"/>
            <w:tcBorders>
              <w:top w:val="single" w:sz="4" w:space="0" w:color="auto"/>
              <w:left w:val="nil"/>
              <w:bottom w:val="single" w:sz="4" w:space="0" w:color="auto"/>
              <w:right w:val="single" w:sz="4" w:space="0" w:color="auto"/>
            </w:tcBorders>
            <w:shd w:val="clear" w:color="auto" w:fill="C6EFCE"/>
            <w:noWrap/>
          </w:tcPr>
          <w:p w14:paraId="6140F7D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17-4.6. Peamiste majandussektorite ajakohastamine ja vastupanuvõime parandamine – 16721_Aruka tootmise kiirendamine</w:t>
            </w:r>
          </w:p>
        </w:tc>
        <w:tc>
          <w:tcPr>
            <w:tcW w:w="1298" w:type="dxa"/>
            <w:tcBorders>
              <w:top w:val="single" w:sz="4" w:space="0" w:color="auto"/>
              <w:left w:val="nil"/>
              <w:bottom w:val="single" w:sz="4" w:space="0" w:color="auto"/>
              <w:right w:val="single" w:sz="4" w:space="0" w:color="auto"/>
            </w:tcBorders>
            <w:shd w:val="clear" w:color="auto" w:fill="C6EFCE"/>
            <w:noWrap/>
          </w:tcPr>
          <w:p w14:paraId="1471A2F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396" w:type="dxa"/>
            <w:tcBorders>
              <w:top w:val="single" w:sz="4" w:space="0" w:color="auto"/>
              <w:left w:val="nil"/>
              <w:bottom w:val="single" w:sz="4" w:space="0" w:color="auto"/>
              <w:right w:val="single" w:sz="4" w:space="0" w:color="auto"/>
            </w:tcBorders>
            <w:shd w:val="clear" w:color="auto" w:fill="C6EFCE"/>
            <w:noWrap/>
          </w:tcPr>
          <w:p w14:paraId="6684C03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Tootmine, sektor – investeeringute rakendamine</w:t>
            </w:r>
          </w:p>
        </w:tc>
        <w:tc>
          <w:tcPr>
            <w:tcW w:w="1823" w:type="dxa"/>
            <w:tcBorders>
              <w:top w:val="single" w:sz="4" w:space="0" w:color="auto"/>
              <w:left w:val="nil"/>
              <w:bottom w:val="single" w:sz="4" w:space="0" w:color="auto"/>
              <w:right w:val="single" w:sz="4" w:space="0" w:color="auto"/>
            </w:tcBorders>
            <w:shd w:val="clear" w:color="auto" w:fill="C6EFCE"/>
            <w:noWrap/>
          </w:tcPr>
          <w:p w14:paraId="0DCF789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Esitage sekkumistööde auditite tulemused, toetusesaajate kinnitus investeeringute lõpuleviimise kohta ja maksetõendid, mis tõendavad valitud investeerimisprojektide rakendamist </w:t>
            </w:r>
          </w:p>
          <w:p w14:paraId="6B530F6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tootmissektor.</w:t>
            </w:r>
          </w:p>
        </w:tc>
        <w:tc>
          <w:tcPr>
            <w:tcW w:w="866" w:type="dxa"/>
            <w:tcBorders>
              <w:top w:val="single" w:sz="4" w:space="0" w:color="auto"/>
              <w:left w:val="nil"/>
              <w:bottom w:val="single" w:sz="4" w:space="0" w:color="auto"/>
              <w:right w:val="single" w:sz="4" w:space="0" w:color="auto"/>
            </w:tcBorders>
            <w:shd w:val="clear" w:color="auto" w:fill="C6EFCE"/>
            <w:noWrap/>
          </w:tcPr>
          <w:p w14:paraId="6C83B41E"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13A1D5E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691" w:type="dxa"/>
            <w:tcBorders>
              <w:top w:val="single" w:sz="4" w:space="0" w:color="auto"/>
              <w:left w:val="nil"/>
              <w:bottom w:val="single" w:sz="4" w:space="0" w:color="auto"/>
              <w:right w:val="single" w:sz="4" w:space="0" w:color="auto"/>
            </w:tcBorders>
            <w:shd w:val="clear" w:color="auto" w:fill="C6EFCE"/>
            <w:noWrap/>
          </w:tcPr>
          <w:p w14:paraId="429844F4"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669A216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709" w:type="dxa"/>
            <w:tcBorders>
              <w:top w:val="single" w:sz="4" w:space="0" w:color="auto"/>
              <w:left w:val="nil"/>
              <w:bottom w:val="single" w:sz="4" w:space="0" w:color="auto"/>
              <w:right w:val="single" w:sz="4" w:space="0" w:color="auto"/>
            </w:tcBorders>
            <w:shd w:val="clear" w:color="auto" w:fill="C6EFCE"/>
            <w:noWrap/>
          </w:tcPr>
          <w:p w14:paraId="4200415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4308" w:type="dxa"/>
            <w:tcBorders>
              <w:top w:val="single" w:sz="4" w:space="0" w:color="auto"/>
              <w:left w:val="nil"/>
              <w:bottom w:val="single" w:sz="4" w:space="0" w:color="auto"/>
              <w:right w:val="single" w:sz="4" w:space="0" w:color="auto"/>
            </w:tcBorders>
            <w:shd w:val="clear" w:color="auto" w:fill="C6EFCE"/>
            <w:noWrap/>
          </w:tcPr>
          <w:p w14:paraId="1ED66C3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Kõigi konkurentsipõhiste projektikonkursside raames välja valitud investeerimisprojektide ehituse lõpuleviimine.</w:t>
            </w:r>
          </w:p>
        </w:tc>
      </w:tr>
    </w:tbl>
    <w:p w14:paraId="7DCB7D81" w14:textId="77777777" w:rsidR="00356CBA" w:rsidRPr="00AD4052" w:rsidRDefault="00356CBA" w:rsidP="00645BC7">
      <w:pPr>
        <w:spacing w:before="120" w:after="0" w:line="240" w:lineRule="auto"/>
        <w:jc w:val="both"/>
        <w:rPr>
          <w:rFonts w:ascii="Times New Roman" w:hAnsi="Times New Roman" w:cs="Times New Roman"/>
          <w:noProof/>
          <w:sz w:val="24"/>
        </w:rPr>
      </w:pPr>
    </w:p>
    <w:p w14:paraId="029AB23B" w14:textId="77777777" w:rsidR="00356CBA" w:rsidRPr="00AD4052" w:rsidRDefault="00356CBA" w:rsidP="00645BC7">
      <w:pPr>
        <w:spacing w:before="120" w:after="0" w:line="240" w:lineRule="auto"/>
        <w:jc w:val="both"/>
        <w:rPr>
          <w:rFonts w:ascii="Times New Roman" w:hAnsi="Times New Roman" w:cs="Times New Roman"/>
          <w:noProof/>
          <w:sz w:val="24"/>
        </w:rPr>
        <w:sectPr w:rsidR="00356CBA" w:rsidRPr="00AD4052" w:rsidSect="00271D33">
          <w:headerReference w:type="even" r:id="rId356"/>
          <w:headerReference w:type="default" r:id="rId357"/>
          <w:footerReference w:type="even" r:id="rId358"/>
          <w:footerReference w:type="default" r:id="rId359"/>
          <w:headerReference w:type="first" r:id="rId360"/>
          <w:footerReference w:type="first" r:id="rId361"/>
          <w:pgSz w:w="16839" w:h="11907" w:orient="landscape"/>
          <w:pgMar w:top="720" w:right="720" w:bottom="720" w:left="720" w:header="709" w:footer="709" w:gutter="0"/>
          <w:cols w:space="720"/>
          <w:docGrid w:linePitch="360"/>
        </w:sectPr>
      </w:pPr>
    </w:p>
    <w:p w14:paraId="03B4385C" w14:textId="77777777" w:rsidR="00356CBA" w:rsidRPr="00AD4052" w:rsidRDefault="00356CBA" w:rsidP="00645BC7">
      <w:pPr>
        <w:spacing w:before="120" w:after="0" w:line="240" w:lineRule="auto"/>
        <w:jc w:val="both"/>
        <w:rPr>
          <w:rFonts w:ascii="Times New Roman" w:hAnsi="Times New Roman" w:cs="Times New Roman"/>
          <w:noProof/>
          <w:sz w:val="24"/>
        </w:rPr>
      </w:pPr>
    </w:p>
    <w:p w14:paraId="33E2DA5F" w14:textId="77777777" w:rsidR="00356CBA" w:rsidRPr="00E02B5D" w:rsidRDefault="00356CBA" w:rsidP="00645BC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Grupp 28: põllumajandus</w:t>
      </w:r>
    </w:p>
    <w:p w14:paraId="20E03AC8" w14:textId="77777777" w:rsidR="00356CBA" w:rsidRPr="00E02B5D" w:rsidRDefault="00356CBA" w:rsidP="00DE1EE5">
      <w:pPr>
        <w:numPr>
          <w:ilvl w:val="0"/>
          <w:numId w:val="27"/>
        </w:numPr>
        <w:spacing w:before="120" w:after="0" w:line="240" w:lineRule="auto"/>
        <w:jc w:val="both"/>
        <w:rPr>
          <w:rFonts w:ascii="Times New Roman" w:hAnsi="Times New Roman" w:cs="Times New Roman"/>
          <w:noProof/>
          <w:sz w:val="24"/>
        </w:rPr>
      </w:pPr>
      <w:r>
        <w:rPr>
          <w:rFonts w:ascii="Times New Roman" w:hAnsi="Times New Roman"/>
          <w:noProof/>
          <w:sz w:val="24"/>
        </w:rPr>
        <w:t>Põllumajandussektori majanduse ümberkujundamine (ID: 16626)</w:t>
      </w:r>
    </w:p>
    <w:p w14:paraId="553BD1CD" w14:textId="77777777" w:rsidR="00356CBA" w:rsidRPr="00E02B5D" w:rsidRDefault="00356CBA" w:rsidP="00DE1EE5">
      <w:pPr>
        <w:numPr>
          <w:ilvl w:val="0"/>
          <w:numId w:val="27"/>
        </w:numPr>
        <w:spacing w:before="120" w:after="0" w:line="240" w:lineRule="auto"/>
        <w:jc w:val="both"/>
        <w:rPr>
          <w:rFonts w:ascii="Times New Roman" w:hAnsi="Times New Roman" w:cs="Times New Roman"/>
          <w:noProof/>
          <w:sz w:val="24"/>
        </w:rPr>
      </w:pPr>
      <w:r>
        <w:rPr>
          <w:rFonts w:ascii="Times New Roman" w:hAnsi="Times New Roman"/>
          <w:noProof/>
          <w:sz w:val="24"/>
        </w:rPr>
        <w:t>Põllumajandusliku toidusektori digiüleminek (ID: 16653)</w:t>
      </w:r>
    </w:p>
    <w:p w14:paraId="72EC7E13" w14:textId="77777777" w:rsidR="00356CBA" w:rsidRPr="00E02B5D" w:rsidRDefault="00356CBA" w:rsidP="00DE1EE5">
      <w:pPr>
        <w:numPr>
          <w:ilvl w:val="0"/>
          <w:numId w:val="27"/>
        </w:numPr>
        <w:spacing w:before="120" w:after="0" w:line="240" w:lineRule="auto"/>
        <w:jc w:val="both"/>
        <w:rPr>
          <w:rFonts w:ascii="Times New Roman" w:hAnsi="Times New Roman" w:cs="Times New Roman"/>
          <w:noProof/>
          <w:sz w:val="24"/>
        </w:rPr>
      </w:pPr>
      <w:r>
        <w:rPr>
          <w:rFonts w:ascii="Times New Roman" w:hAnsi="Times New Roman"/>
          <w:noProof/>
          <w:sz w:val="24"/>
        </w:rPr>
        <w:t>Ettepanekud meetmete kohta vesiviljelussektoris (ID: 16584)</w:t>
      </w:r>
    </w:p>
    <w:p w14:paraId="75AD83E7" w14:textId="77777777" w:rsidR="00356CBA" w:rsidRPr="00E02B5D" w:rsidRDefault="00356CBA" w:rsidP="00DE1EE5">
      <w:pPr>
        <w:numPr>
          <w:ilvl w:val="0"/>
          <w:numId w:val="27"/>
        </w:numPr>
        <w:spacing w:before="120" w:after="120" w:line="240" w:lineRule="auto"/>
        <w:jc w:val="both"/>
        <w:rPr>
          <w:rFonts w:ascii="Times New Roman" w:hAnsi="Times New Roman" w:cs="Times New Roman"/>
          <w:noProof/>
          <w:sz w:val="24"/>
        </w:rPr>
      </w:pPr>
      <w:r>
        <w:rPr>
          <w:rFonts w:ascii="Times New Roman" w:hAnsi="Times New Roman"/>
          <w:noProof/>
          <w:sz w:val="24"/>
        </w:rPr>
        <w:t>Investeeringud riiklikku niisutusvõrgustikku avaliku ja erasektori partnerluse kavade kaudu (ID: 16285)</w:t>
      </w:r>
    </w:p>
    <w:tbl>
      <w:tblPr>
        <w:tblW w:w="16438" w:type="dxa"/>
        <w:jc w:val="center"/>
        <w:tblLook w:val="04A0" w:firstRow="1" w:lastRow="0" w:firstColumn="1" w:lastColumn="0" w:noHBand="0" w:noVBand="1"/>
      </w:tblPr>
      <w:tblGrid>
        <w:gridCol w:w="1252"/>
        <w:gridCol w:w="2342"/>
        <w:gridCol w:w="1589"/>
        <w:gridCol w:w="1709"/>
        <w:gridCol w:w="2025"/>
        <w:gridCol w:w="977"/>
        <w:gridCol w:w="966"/>
        <w:gridCol w:w="906"/>
        <w:gridCol w:w="824"/>
        <w:gridCol w:w="687"/>
        <w:gridCol w:w="3161"/>
      </w:tblGrid>
      <w:tr w:rsidR="00356CBA" w:rsidRPr="003B132A" w14:paraId="146B7067" w14:textId="77777777" w:rsidTr="005D5392">
        <w:trPr>
          <w:trHeight w:val="731"/>
          <w:tblHeader/>
          <w:jc w:val="center"/>
        </w:trPr>
        <w:tc>
          <w:tcPr>
            <w:tcW w:w="12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AA2F6E" w14:textId="58105DF0"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Järjekorra</w:t>
            </w:r>
            <w:r w:rsidR="005D5392">
              <w:rPr>
                <w:rFonts w:ascii="Times New Roman" w:hAnsi="Times New Roman"/>
                <w:b/>
                <w:noProof/>
                <w:sz w:val="18"/>
              </w:rPr>
              <w:t>-</w:t>
            </w:r>
            <w:r>
              <w:rPr>
                <w:rFonts w:ascii="Times New Roman" w:hAnsi="Times New Roman"/>
                <w:b/>
                <w:noProof/>
                <w:sz w:val="18"/>
              </w:rPr>
              <w:t>number</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EA41D6"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Seotud meede (reform või investeering)</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EC9566"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 / siht</w:t>
            </w:r>
          </w:p>
        </w:tc>
        <w:tc>
          <w:tcPr>
            <w:tcW w:w="1709" w:type="dxa"/>
            <w:vMerge w:val="restart"/>
            <w:tcBorders>
              <w:top w:val="single" w:sz="4" w:space="0" w:color="auto"/>
              <w:left w:val="nil"/>
              <w:bottom w:val="single" w:sz="4" w:space="0" w:color="auto"/>
              <w:right w:val="single" w:sz="4" w:space="0" w:color="auto"/>
            </w:tcBorders>
            <w:shd w:val="clear" w:color="auto" w:fill="BDD7EE"/>
            <w:vAlign w:val="center"/>
            <w:hideMark/>
          </w:tcPr>
          <w:p w14:paraId="0F2C17B0"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Nimi</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95862B"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Kvalitatiivsed näitajad (eesmärkide puhul)</w:t>
            </w:r>
          </w:p>
        </w:tc>
        <w:tc>
          <w:tcPr>
            <w:tcW w:w="2849" w:type="dxa"/>
            <w:gridSpan w:val="3"/>
            <w:tcBorders>
              <w:top w:val="single" w:sz="4" w:space="0" w:color="auto"/>
              <w:left w:val="nil"/>
              <w:bottom w:val="single" w:sz="4" w:space="0" w:color="auto"/>
              <w:right w:val="single" w:sz="4" w:space="0" w:color="auto"/>
            </w:tcBorders>
            <w:shd w:val="clear" w:color="auto" w:fill="BDD7EE"/>
            <w:vAlign w:val="center"/>
            <w:hideMark/>
          </w:tcPr>
          <w:p w14:paraId="6848ECAF"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Kvantitatiivsed näitajad (sihtide puhul)</w:t>
            </w:r>
          </w:p>
        </w:tc>
        <w:tc>
          <w:tcPr>
            <w:tcW w:w="1511" w:type="dxa"/>
            <w:gridSpan w:val="2"/>
            <w:tcBorders>
              <w:top w:val="single" w:sz="4" w:space="0" w:color="auto"/>
              <w:left w:val="nil"/>
              <w:bottom w:val="single" w:sz="4" w:space="0" w:color="auto"/>
              <w:right w:val="single" w:sz="4" w:space="0" w:color="auto"/>
            </w:tcBorders>
            <w:shd w:val="clear" w:color="auto" w:fill="BDD7EE"/>
            <w:vAlign w:val="center"/>
            <w:hideMark/>
          </w:tcPr>
          <w:p w14:paraId="50ACDB97"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Lõpuleviimise soovituslik ajakava </w:t>
            </w:r>
          </w:p>
        </w:tc>
        <w:tc>
          <w:tcPr>
            <w:tcW w:w="31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710221"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Iga eesmärgi ja sihi kirjeldus</w:t>
            </w:r>
          </w:p>
        </w:tc>
      </w:tr>
      <w:tr w:rsidR="007B4D63" w:rsidRPr="00E02B5D" w14:paraId="21BCD386" w14:textId="77777777" w:rsidTr="005D5392">
        <w:trPr>
          <w:trHeight w:val="504"/>
          <w:tblHeader/>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78C3CCAC" w14:textId="77777777" w:rsidR="00356CBA" w:rsidRPr="00AD4052" w:rsidRDefault="00356CBA">
            <w:pPr>
              <w:spacing w:after="0" w:line="240" w:lineRule="auto"/>
              <w:rPr>
                <w:rFonts w:ascii="Times New Roman" w:eastAsia="Times New Roman" w:hAnsi="Times New Roman" w:cs="Times New Roman"/>
                <w:b/>
                <w:noProof/>
                <w:sz w:val="18"/>
                <w:szCs w:val="18"/>
                <w:lang w:eastAsia="en-GB"/>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0A8FD79A" w14:textId="77777777" w:rsidR="00356CBA" w:rsidRPr="00AD4052" w:rsidRDefault="00356CBA">
            <w:pPr>
              <w:spacing w:after="0" w:line="240" w:lineRule="auto"/>
              <w:rPr>
                <w:rFonts w:ascii="Times New Roman" w:eastAsia="Times New Roman" w:hAnsi="Times New Roman" w:cs="Times New Roman"/>
                <w:b/>
                <w:noProof/>
                <w:sz w:val="18"/>
                <w:szCs w:val="18"/>
                <w:lang w:eastAsia="en-GB"/>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4B4EDED3" w14:textId="77777777" w:rsidR="00356CBA" w:rsidRPr="00AD4052" w:rsidRDefault="00356CBA">
            <w:pPr>
              <w:spacing w:after="0" w:line="240" w:lineRule="auto"/>
              <w:rPr>
                <w:rFonts w:ascii="Times New Roman" w:eastAsia="Times New Roman" w:hAnsi="Times New Roman" w:cs="Times New Roman"/>
                <w:b/>
                <w:noProof/>
                <w:sz w:val="18"/>
                <w:szCs w:val="18"/>
                <w:lang w:eastAsia="en-GB"/>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BC7211E" w14:textId="77777777" w:rsidR="00356CBA" w:rsidRPr="00AD4052" w:rsidRDefault="00356CBA">
            <w:pPr>
              <w:spacing w:after="0" w:line="240" w:lineRule="auto"/>
              <w:rPr>
                <w:rFonts w:ascii="Times New Roman" w:eastAsia="Times New Roman" w:hAnsi="Times New Roman" w:cs="Times New Roman"/>
                <w:b/>
                <w:noProof/>
                <w:sz w:val="18"/>
                <w:szCs w:val="18"/>
                <w:lang w:eastAsia="en-GB"/>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114E34EC" w14:textId="77777777" w:rsidR="00356CBA" w:rsidRPr="00AD4052" w:rsidRDefault="00356CBA">
            <w:pPr>
              <w:spacing w:after="0" w:line="240" w:lineRule="auto"/>
              <w:rPr>
                <w:rFonts w:ascii="Times New Roman" w:eastAsia="Times New Roman" w:hAnsi="Times New Roman" w:cs="Times New Roman"/>
                <w:b/>
                <w:noProof/>
                <w:sz w:val="18"/>
                <w:szCs w:val="18"/>
                <w:lang w:eastAsia="en-GB"/>
              </w:rPr>
            </w:pPr>
          </w:p>
        </w:tc>
        <w:tc>
          <w:tcPr>
            <w:tcW w:w="97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050FDFB"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966" w:type="dxa"/>
            <w:tcBorders>
              <w:top w:val="single" w:sz="4" w:space="0" w:color="auto"/>
              <w:left w:val="nil"/>
              <w:bottom w:val="single" w:sz="4" w:space="0" w:color="auto"/>
              <w:right w:val="single" w:sz="4" w:space="0" w:color="auto"/>
            </w:tcBorders>
            <w:shd w:val="clear" w:color="auto" w:fill="BDD7EE"/>
            <w:vAlign w:val="center"/>
            <w:hideMark/>
          </w:tcPr>
          <w:p w14:paraId="3E2C3B29"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Lähtetase </w:t>
            </w:r>
          </w:p>
        </w:tc>
        <w:tc>
          <w:tcPr>
            <w:tcW w:w="906" w:type="dxa"/>
            <w:tcBorders>
              <w:top w:val="single" w:sz="4" w:space="0" w:color="auto"/>
              <w:left w:val="nil"/>
              <w:bottom w:val="single" w:sz="4" w:space="0" w:color="auto"/>
              <w:right w:val="single" w:sz="4" w:space="0" w:color="auto"/>
            </w:tcBorders>
            <w:shd w:val="clear" w:color="auto" w:fill="BDD7EE"/>
            <w:vAlign w:val="center"/>
            <w:hideMark/>
          </w:tcPr>
          <w:p w14:paraId="41E6577B"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Eesmärk </w:t>
            </w:r>
          </w:p>
        </w:tc>
        <w:tc>
          <w:tcPr>
            <w:tcW w:w="824" w:type="dxa"/>
            <w:tcBorders>
              <w:top w:val="single" w:sz="4" w:space="0" w:color="auto"/>
              <w:left w:val="nil"/>
              <w:bottom w:val="single" w:sz="4" w:space="0" w:color="auto"/>
              <w:right w:val="single" w:sz="4" w:space="0" w:color="auto"/>
            </w:tcBorders>
            <w:shd w:val="clear" w:color="auto" w:fill="BDD7EE"/>
            <w:vAlign w:val="center"/>
            <w:hideMark/>
          </w:tcPr>
          <w:p w14:paraId="3CB6EBC4"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687" w:type="dxa"/>
            <w:tcBorders>
              <w:top w:val="single" w:sz="4" w:space="0" w:color="auto"/>
              <w:left w:val="nil"/>
              <w:bottom w:val="single" w:sz="4" w:space="0" w:color="auto"/>
              <w:right w:val="single" w:sz="4" w:space="0" w:color="auto"/>
            </w:tcBorders>
            <w:shd w:val="clear" w:color="auto" w:fill="BDD7EE"/>
            <w:vAlign w:val="center"/>
            <w:hideMark/>
          </w:tcPr>
          <w:p w14:paraId="507F8F20"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3161" w:type="dxa"/>
            <w:vMerge/>
            <w:tcBorders>
              <w:top w:val="single" w:sz="4" w:space="0" w:color="auto"/>
              <w:bottom w:val="single" w:sz="4" w:space="0" w:color="auto"/>
              <w:right w:val="single" w:sz="4" w:space="0" w:color="auto"/>
            </w:tcBorders>
            <w:vAlign w:val="center"/>
            <w:hideMark/>
          </w:tcPr>
          <w:p w14:paraId="48A29F0F" w14:textId="77777777" w:rsidR="00356CBA" w:rsidRPr="00E02B5D" w:rsidRDefault="00356CBA">
            <w:pPr>
              <w:spacing w:after="0" w:line="240" w:lineRule="auto"/>
              <w:rPr>
                <w:rFonts w:ascii="Times New Roman" w:eastAsia="Times New Roman" w:hAnsi="Times New Roman" w:cs="Times New Roman"/>
                <w:b/>
                <w:noProof/>
                <w:sz w:val="18"/>
                <w:szCs w:val="18"/>
                <w:lang w:val="en-GB" w:eastAsia="en-GB"/>
              </w:rPr>
            </w:pPr>
          </w:p>
        </w:tc>
      </w:tr>
      <w:tr w:rsidR="007B4D63" w:rsidRPr="003B132A" w14:paraId="278178AF" w14:textId="77777777" w:rsidTr="005D5392">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640B83A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310</w:t>
            </w:r>
          </w:p>
        </w:tc>
        <w:tc>
          <w:tcPr>
            <w:tcW w:w="2342" w:type="dxa"/>
            <w:tcBorders>
              <w:top w:val="single" w:sz="4" w:space="0" w:color="auto"/>
              <w:left w:val="nil"/>
              <w:bottom w:val="single" w:sz="4" w:space="0" w:color="auto"/>
              <w:right w:val="single" w:sz="4" w:space="0" w:color="auto"/>
            </w:tcBorders>
            <w:shd w:val="clear" w:color="auto" w:fill="C6EFCE"/>
            <w:noWrap/>
          </w:tcPr>
          <w:p w14:paraId="28C7BFC5" w14:textId="77777777" w:rsidR="00356CBA" w:rsidRPr="00E02B5D" w:rsidRDefault="00356CBA">
            <w:pPr>
              <w:spacing w:after="0" w:line="240" w:lineRule="auto"/>
              <w:rPr>
                <w:rFonts w:eastAsia="Times New Roman"/>
                <w:noProof/>
                <w:color w:val="006100"/>
                <w:sz w:val="18"/>
                <w:szCs w:val="18"/>
              </w:rPr>
            </w:pPr>
            <w:r>
              <w:rPr>
                <w:noProof/>
                <w:color w:val="006100"/>
                <w:sz w:val="18"/>
              </w:rPr>
              <w:t>17-4.6. Peamiste majandussektorite ajakohastamine ja vastupanuvõime parandamine – 16626_Põllumajandussektori majanduslik ümberkujundamine</w:t>
            </w:r>
          </w:p>
        </w:tc>
        <w:tc>
          <w:tcPr>
            <w:tcW w:w="1589" w:type="dxa"/>
            <w:tcBorders>
              <w:top w:val="single" w:sz="4" w:space="0" w:color="auto"/>
              <w:left w:val="nil"/>
              <w:bottom w:val="single" w:sz="4" w:space="0" w:color="auto"/>
              <w:right w:val="single" w:sz="4" w:space="0" w:color="auto"/>
            </w:tcBorders>
            <w:shd w:val="clear" w:color="auto" w:fill="C6EFCE"/>
            <w:noWrap/>
          </w:tcPr>
          <w:p w14:paraId="1214B153"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709" w:type="dxa"/>
            <w:tcBorders>
              <w:top w:val="single" w:sz="4" w:space="0" w:color="auto"/>
              <w:left w:val="nil"/>
              <w:bottom w:val="single" w:sz="4" w:space="0" w:color="auto"/>
              <w:right w:val="single" w:sz="4" w:space="0" w:color="auto"/>
            </w:tcBorders>
            <w:shd w:val="clear" w:color="auto" w:fill="C6EFCE"/>
            <w:noWrap/>
          </w:tcPr>
          <w:p w14:paraId="3EE37EF1" w14:textId="77777777" w:rsidR="00356CBA" w:rsidRPr="00E02B5D" w:rsidRDefault="00356CBA">
            <w:pPr>
              <w:spacing w:after="0" w:line="240" w:lineRule="auto"/>
              <w:rPr>
                <w:rFonts w:eastAsia="Times New Roman"/>
                <w:noProof/>
                <w:color w:val="006100"/>
                <w:sz w:val="18"/>
                <w:szCs w:val="18"/>
              </w:rPr>
            </w:pPr>
            <w:r>
              <w:rPr>
                <w:noProof/>
                <w:color w:val="006100"/>
                <w:sz w:val="18"/>
              </w:rPr>
              <w:t>Põllumajanduse majanduslik ümberkujundamine: Programmi käivitamine</w:t>
            </w:r>
          </w:p>
        </w:tc>
        <w:tc>
          <w:tcPr>
            <w:tcW w:w="2025" w:type="dxa"/>
            <w:tcBorders>
              <w:top w:val="single" w:sz="4" w:space="0" w:color="auto"/>
              <w:left w:val="nil"/>
              <w:bottom w:val="single" w:sz="4" w:space="0" w:color="auto"/>
              <w:right w:val="single" w:sz="4" w:space="0" w:color="auto"/>
            </w:tcBorders>
            <w:shd w:val="clear" w:color="auto" w:fill="C6EFCE"/>
            <w:noWrap/>
          </w:tcPr>
          <w:p w14:paraId="3889A976" w14:textId="77777777" w:rsidR="00356CBA" w:rsidRPr="00E02B5D" w:rsidRDefault="00356CBA">
            <w:pPr>
              <w:spacing w:after="0" w:line="240" w:lineRule="auto"/>
              <w:rPr>
                <w:noProof/>
                <w:color w:val="006100"/>
                <w:sz w:val="18"/>
                <w:szCs w:val="18"/>
              </w:rPr>
            </w:pPr>
            <w:r>
              <w:rPr>
                <w:noProof/>
                <w:color w:val="006100"/>
                <w:sz w:val="18"/>
              </w:rPr>
              <w:t>Rakenduspartneriga allkirjastatud leping</w:t>
            </w:r>
          </w:p>
          <w:p w14:paraId="1436D967" w14:textId="77777777" w:rsidR="00356CBA" w:rsidRPr="00E02B5D" w:rsidRDefault="00356CBA">
            <w:pPr>
              <w:spacing w:after="0" w:line="240" w:lineRule="auto"/>
              <w:rPr>
                <w:rFonts w:cs="Calibri"/>
                <w:noProof/>
                <w:color w:val="006100"/>
                <w:sz w:val="18"/>
                <w:szCs w:val="18"/>
                <w:lang w:val="en-GB"/>
              </w:rPr>
            </w:pPr>
          </w:p>
          <w:p w14:paraId="173F0D7A"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7" w:type="dxa"/>
            <w:tcBorders>
              <w:top w:val="single" w:sz="4" w:space="0" w:color="auto"/>
              <w:left w:val="nil"/>
              <w:bottom w:val="single" w:sz="4" w:space="0" w:color="auto"/>
              <w:right w:val="single" w:sz="4" w:space="0" w:color="auto"/>
            </w:tcBorders>
            <w:shd w:val="clear" w:color="auto" w:fill="C6EFCE"/>
            <w:noWrap/>
          </w:tcPr>
          <w:p w14:paraId="68F4B89D"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0F5B6130"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3FAC3578"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24" w:type="dxa"/>
            <w:tcBorders>
              <w:top w:val="nil"/>
              <w:left w:val="nil"/>
              <w:bottom w:val="single" w:sz="4" w:space="0" w:color="auto"/>
              <w:right w:val="single" w:sz="4" w:space="0" w:color="auto"/>
            </w:tcBorders>
            <w:shd w:val="clear" w:color="auto" w:fill="C6EFCE"/>
            <w:noWrap/>
          </w:tcPr>
          <w:p w14:paraId="4C8C1DED" w14:textId="77777777" w:rsidR="00356CBA" w:rsidRPr="00E02B5D" w:rsidRDefault="00356CBA">
            <w:pPr>
              <w:spacing w:after="0" w:line="240" w:lineRule="auto"/>
              <w:rPr>
                <w:rFonts w:eastAsia="Times New Roman"/>
                <w:noProof/>
                <w:color w:val="006100"/>
                <w:sz w:val="18"/>
                <w:szCs w:val="18"/>
              </w:rPr>
            </w:pPr>
            <w:r>
              <w:rPr>
                <w:noProof/>
                <w:color w:val="006100"/>
                <w:sz w:val="18"/>
              </w:rPr>
              <w:t>1. kv</w:t>
            </w:r>
          </w:p>
        </w:tc>
        <w:tc>
          <w:tcPr>
            <w:tcW w:w="687" w:type="dxa"/>
            <w:tcBorders>
              <w:top w:val="nil"/>
              <w:left w:val="nil"/>
              <w:bottom w:val="single" w:sz="4" w:space="0" w:color="auto"/>
              <w:right w:val="single" w:sz="4" w:space="0" w:color="auto"/>
            </w:tcBorders>
            <w:shd w:val="clear" w:color="auto" w:fill="C6EFCE"/>
            <w:noWrap/>
          </w:tcPr>
          <w:p w14:paraId="3664E510" w14:textId="77777777" w:rsidR="00356CBA" w:rsidRPr="00E02B5D" w:rsidRDefault="00356CBA">
            <w:pPr>
              <w:spacing w:after="0" w:line="240" w:lineRule="auto"/>
              <w:rPr>
                <w:rFonts w:eastAsia="Times New Roman"/>
                <w:noProof/>
                <w:color w:val="006100"/>
                <w:sz w:val="18"/>
                <w:szCs w:val="18"/>
              </w:rPr>
            </w:pPr>
            <w:r>
              <w:rPr>
                <w:noProof/>
                <w:color w:val="006100"/>
                <w:sz w:val="18"/>
              </w:rPr>
              <w:t>2022</w:t>
            </w:r>
          </w:p>
        </w:tc>
        <w:tc>
          <w:tcPr>
            <w:tcW w:w="3161" w:type="dxa"/>
            <w:tcBorders>
              <w:top w:val="single" w:sz="4" w:space="0" w:color="auto"/>
              <w:left w:val="nil"/>
              <w:bottom w:val="single" w:sz="4" w:space="0" w:color="auto"/>
              <w:right w:val="single" w:sz="4" w:space="0" w:color="auto"/>
            </w:tcBorders>
            <w:shd w:val="clear" w:color="auto" w:fill="C6EFCE"/>
            <w:noWrap/>
          </w:tcPr>
          <w:p w14:paraId="57B47A17" w14:textId="77777777" w:rsidR="00356CBA" w:rsidRPr="00E02B5D" w:rsidRDefault="00356CBA">
            <w:pPr>
              <w:spacing w:after="0" w:line="240" w:lineRule="auto"/>
              <w:rPr>
                <w:noProof/>
                <w:color w:val="006100"/>
                <w:sz w:val="18"/>
                <w:szCs w:val="18"/>
              </w:rPr>
            </w:pPr>
            <w:r>
              <w:rPr>
                <w:noProof/>
                <w:color w:val="006100"/>
                <w:sz w:val="18"/>
              </w:rPr>
              <w:t>Põllumajandussektori majandusliku ümberkujundamise konkursikutsete algatamine:</w:t>
            </w:r>
          </w:p>
          <w:p w14:paraId="41BCB80C" w14:textId="77777777" w:rsidR="00356CBA" w:rsidRPr="00E02B5D" w:rsidRDefault="00356CBA">
            <w:pPr>
              <w:spacing w:after="0" w:line="240" w:lineRule="auto"/>
              <w:rPr>
                <w:noProof/>
                <w:color w:val="006100"/>
                <w:sz w:val="18"/>
                <w:szCs w:val="18"/>
              </w:rPr>
            </w:pPr>
            <w:r>
              <w:rPr>
                <w:noProof/>
                <w:color w:val="006100"/>
                <w:sz w:val="18"/>
              </w:rPr>
              <w:t>Konkursikutsed koos tingimustega, sealhulgas rahastamiskõlblikkuse kriteeriumid, millega tagatakse, et valitud projektid vastavad tehnilistele suunistele põhimõtte „ei kahjusta oluliselt“ kohaldamise kohta (2021/C58/01), kasutades kõrvalejätmise loetelu ning asjaomaste ELi ja riiklike keskkonnaalaste õigusaktide järgimise nõuet.</w:t>
            </w:r>
          </w:p>
          <w:p w14:paraId="7FED6937" w14:textId="77777777" w:rsidR="00356CBA" w:rsidRPr="00AD4052" w:rsidRDefault="00356CBA">
            <w:pPr>
              <w:spacing w:after="0" w:line="240" w:lineRule="auto"/>
              <w:rPr>
                <w:noProof/>
                <w:color w:val="006100"/>
                <w:sz w:val="18"/>
                <w:szCs w:val="18"/>
              </w:rPr>
            </w:pPr>
          </w:p>
          <w:p w14:paraId="51EA6069" w14:textId="77777777" w:rsidR="00356CBA" w:rsidRPr="00E02B5D" w:rsidRDefault="00356CBA">
            <w:pPr>
              <w:spacing w:after="0" w:line="240" w:lineRule="auto"/>
              <w:rPr>
                <w:rFonts w:eastAsia="Times New Roman"/>
                <w:noProof/>
                <w:color w:val="006100"/>
                <w:sz w:val="18"/>
                <w:szCs w:val="18"/>
              </w:rPr>
            </w:pPr>
            <w:r>
              <w:rPr>
                <w:noProof/>
                <w:color w:val="006100"/>
                <w:sz w:val="18"/>
              </w:rPr>
              <w:t>Konkursid hõlmavad järgmisi meetmeid: meetmed, mis on seotud väikese energiatarbimisega tootmisüksuste, hoonete ja mehaaniliste seadmete energia ajakohastamisega, turismirajatiste (hoonete) energia ajakohastamisega, keskkonnasõbralike transpordivahenditega (elektriautod, jalgrattad jne), keskkonnasõbralike tootmisprotsesside ja ressursitõhususe toetamisega VKEdes, taastuvenergiaga (päikeseenergia), kliimamuutustega kohanemise ja nende ennetamise meetmetega ning kliimaga seotud riskide juhtimisega, bioloogilise mitmekesisuse kaitsega ning looduspärandi ja loodusvaradega.</w:t>
            </w:r>
          </w:p>
        </w:tc>
      </w:tr>
      <w:tr w:rsidR="00356CBA" w:rsidRPr="003B132A" w14:paraId="361EBB4F" w14:textId="77777777" w:rsidTr="005D5392">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14:paraId="2CFF9191" w14:textId="77777777" w:rsidR="00356CBA" w:rsidRPr="00E02B5D" w:rsidRDefault="00356CBA">
            <w:pPr>
              <w:spacing w:after="0" w:line="240" w:lineRule="auto"/>
              <w:rPr>
                <w:rFonts w:eastAsia="Times New Roman"/>
                <w:noProof/>
                <w:color w:val="006100"/>
                <w:sz w:val="18"/>
                <w:szCs w:val="18"/>
              </w:rPr>
            </w:pPr>
            <w:r>
              <w:rPr>
                <w:noProof/>
                <w:color w:val="006100"/>
                <w:sz w:val="18"/>
              </w:rPr>
              <w:t>311</w:t>
            </w:r>
          </w:p>
        </w:tc>
        <w:tc>
          <w:tcPr>
            <w:tcW w:w="2342" w:type="dxa"/>
            <w:tcBorders>
              <w:top w:val="nil"/>
              <w:left w:val="nil"/>
              <w:bottom w:val="single" w:sz="4" w:space="0" w:color="auto"/>
              <w:right w:val="single" w:sz="4" w:space="0" w:color="auto"/>
            </w:tcBorders>
            <w:shd w:val="clear" w:color="auto" w:fill="C6EFCE"/>
            <w:noWrap/>
            <w:hideMark/>
          </w:tcPr>
          <w:p w14:paraId="63801FCC"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 17-4.6. Peamiste majandussektorite ajakohastamine ja vastupanuvõime parandamine – 16653_Digitaalne ümberkujundamine põllumajandus- ja toiduainesektoris </w:t>
            </w:r>
          </w:p>
        </w:tc>
        <w:tc>
          <w:tcPr>
            <w:tcW w:w="1589" w:type="dxa"/>
            <w:tcBorders>
              <w:top w:val="nil"/>
              <w:left w:val="nil"/>
              <w:bottom w:val="single" w:sz="4" w:space="0" w:color="auto"/>
              <w:right w:val="single" w:sz="4" w:space="0" w:color="auto"/>
            </w:tcBorders>
            <w:shd w:val="clear" w:color="auto" w:fill="C6EFCE"/>
            <w:noWrap/>
            <w:hideMark/>
          </w:tcPr>
          <w:p w14:paraId="4550B0D2" w14:textId="77777777" w:rsidR="00356CBA" w:rsidRPr="00E02B5D" w:rsidRDefault="00356CBA">
            <w:pPr>
              <w:spacing w:after="0" w:line="240" w:lineRule="auto"/>
              <w:rPr>
                <w:rFonts w:eastAsia="Times New Roman"/>
                <w:noProof/>
                <w:color w:val="006100"/>
                <w:sz w:val="18"/>
                <w:szCs w:val="18"/>
              </w:rPr>
            </w:pPr>
            <w:r>
              <w:rPr>
                <w:noProof/>
                <w:color w:val="006100"/>
                <w:sz w:val="18"/>
              </w:rPr>
              <w:t> Eesmärk</w:t>
            </w:r>
          </w:p>
        </w:tc>
        <w:tc>
          <w:tcPr>
            <w:tcW w:w="1709" w:type="dxa"/>
            <w:tcBorders>
              <w:top w:val="nil"/>
              <w:left w:val="nil"/>
              <w:bottom w:val="single" w:sz="4" w:space="0" w:color="auto"/>
              <w:right w:val="single" w:sz="4" w:space="0" w:color="auto"/>
            </w:tcBorders>
            <w:shd w:val="clear" w:color="auto" w:fill="C6EFCE"/>
            <w:noWrap/>
            <w:hideMark/>
          </w:tcPr>
          <w:p w14:paraId="439C4EB7"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Üleskutse põllumajandusliku toidutööstuse digitehnoloogiale üleminekuks </w:t>
            </w:r>
          </w:p>
        </w:tc>
        <w:tc>
          <w:tcPr>
            <w:tcW w:w="2025" w:type="dxa"/>
            <w:tcBorders>
              <w:top w:val="nil"/>
              <w:left w:val="nil"/>
              <w:bottom w:val="single" w:sz="4" w:space="0" w:color="auto"/>
              <w:right w:val="single" w:sz="4" w:space="0" w:color="auto"/>
            </w:tcBorders>
            <w:shd w:val="clear" w:color="auto" w:fill="C6EFCE"/>
            <w:noWrap/>
            <w:hideMark/>
          </w:tcPr>
          <w:p w14:paraId="5E84A7EF"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Projektikonkursi algatamine </w:t>
            </w:r>
          </w:p>
        </w:tc>
        <w:tc>
          <w:tcPr>
            <w:tcW w:w="977" w:type="dxa"/>
            <w:tcBorders>
              <w:top w:val="nil"/>
              <w:left w:val="nil"/>
              <w:bottom w:val="single" w:sz="4" w:space="0" w:color="auto"/>
              <w:right w:val="single" w:sz="4" w:space="0" w:color="auto"/>
            </w:tcBorders>
            <w:shd w:val="clear" w:color="auto" w:fill="C6EFCE"/>
            <w:noWrap/>
          </w:tcPr>
          <w:p w14:paraId="222B536B"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732BF04E" w14:textId="77777777" w:rsidR="00356CBA" w:rsidRPr="00E02B5D" w:rsidRDefault="00356CBA">
            <w:pPr>
              <w:spacing w:after="0" w:line="240" w:lineRule="auto"/>
              <w:rPr>
                <w:rFonts w:eastAsia="Times New Roman"/>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77AEE8A1" w14:textId="77777777" w:rsidR="00356CBA" w:rsidRPr="00E02B5D" w:rsidRDefault="00356CBA">
            <w:pPr>
              <w:spacing w:after="0" w:line="240" w:lineRule="auto"/>
              <w:rPr>
                <w:rFonts w:eastAsia="Times New Roman"/>
                <w:noProof/>
                <w:color w:val="006100"/>
                <w:sz w:val="18"/>
                <w:szCs w:val="18"/>
                <w:lang w:val="en-GB" w:eastAsia="en-GB"/>
              </w:rPr>
            </w:pPr>
          </w:p>
        </w:tc>
        <w:tc>
          <w:tcPr>
            <w:tcW w:w="824" w:type="dxa"/>
            <w:tcBorders>
              <w:top w:val="nil"/>
              <w:left w:val="nil"/>
              <w:bottom w:val="single" w:sz="4" w:space="0" w:color="auto"/>
              <w:right w:val="single" w:sz="4" w:space="0" w:color="auto"/>
            </w:tcBorders>
            <w:shd w:val="clear" w:color="auto" w:fill="C6EFCE"/>
            <w:noWrap/>
            <w:hideMark/>
          </w:tcPr>
          <w:p w14:paraId="0C1F51EA" w14:textId="61E108D7" w:rsidR="00356CBA" w:rsidRPr="00E02B5D" w:rsidRDefault="00356CBA">
            <w:pPr>
              <w:spacing w:after="0" w:line="240" w:lineRule="auto"/>
              <w:rPr>
                <w:rFonts w:eastAsia="Times New Roman"/>
                <w:noProof/>
                <w:color w:val="006100"/>
                <w:sz w:val="18"/>
                <w:szCs w:val="18"/>
              </w:rPr>
            </w:pPr>
            <w:r>
              <w:rPr>
                <w:noProof/>
                <w:color w:val="006100"/>
                <w:sz w:val="18"/>
              </w:rPr>
              <w:t>3. kv</w:t>
            </w:r>
          </w:p>
        </w:tc>
        <w:tc>
          <w:tcPr>
            <w:tcW w:w="687" w:type="dxa"/>
            <w:tcBorders>
              <w:top w:val="nil"/>
              <w:left w:val="nil"/>
              <w:bottom w:val="single" w:sz="4" w:space="0" w:color="auto"/>
              <w:right w:val="single" w:sz="4" w:space="0" w:color="auto"/>
            </w:tcBorders>
            <w:shd w:val="clear" w:color="auto" w:fill="C6EFCE"/>
            <w:noWrap/>
            <w:hideMark/>
          </w:tcPr>
          <w:p w14:paraId="2896475D" w14:textId="77777777" w:rsidR="00356CBA" w:rsidRPr="00E02B5D" w:rsidRDefault="00356CBA">
            <w:pPr>
              <w:spacing w:after="0" w:line="240" w:lineRule="auto"/>
              <w:rPr>
                <w:rFonts w:eastAsia="Times New Roman"/>
                <w:noProof/>
                <w:color w:val="006100"/>
                <w:sz w:val="18"/>
                <w:szCs w:val="18"/>
              </w:rPr>
            </w:pPr>
            <w:r>
              <w:rPr>
                <w:noProof/>
                <w:color w:val="006100"/>
                <w:sz w:val="18"/>
              </w:rPr>
              <w:t>2022 </w:t>
            </w:r>
          </w:p>
        </w:tc>
        <w:tc>
          <w:tcPr>
            <w:tcW w:w="3161" w:type="dxa"/>
            <w:tcBorders>
              <w:top w:val="nil"/>
              <w:left w:val="nil"/>
              <w:bottom w:val="single" w:sz="4" w:space="0" w:color="auto"/>
              <w:right w:val="single" w:sz="4" w:space="0" w:color="auto"/>
            </w:tcBorders>
            <w:shd w:val="clear" w:color="auto" w:fill="C6EFCE"/>
            <w:noWrap/>
            <w:hideMark/>
          </w:tcPr>
          <w:p w14:paraId="283C8DF5" w14:textId="77777777" w:rsidR="00356CBA" w:rsidRPr="00E02B5D" w:rsidRDefault="00356CBA">
            <w:pPr>
              <w:spacing w:after="0" w:line="240" w:lineRule="auto"/>
              <w:rPr>
                <w:rFonts w:eastAsia="Times New Roman"/>
                <w:noProof/>
                <w:color w:val="006100"/>
                <w:sz w:val="18"/>
                <w:szCs w:val="18"/>
              </w:rPr>
            </w:pPr>
            <w:r>
              <w:rPr>
                <w:noProof/>
                <w:color w:val="006100"/>
                <w:sz w:val="18"/>
              </w:rPr>
              <w:t>Konkursikutse digiülemineku projekti käivitamiseks, et arendada välja ulatuslik avatud digitaalne põllumajandustaristu ning kognitiivne põllumajanduskeskkond tootmisprotsessi ja loodusvarade majandamise jaoks.</w:t>
            </w:r>
          </w:p>
        </w:tc>
      </w:tr>
      <w:tr w:rsidR="00356CBA" w:rsidRPr="003B132A" w14:paraId="100ED0A6" w14:textId="77777777" w:rsidTr="005D5392">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tcPr>
          <w:p w14:paraId="54048E3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312</w:t>
            </w:r>
          </w:p>
        </w:tc>
        <w:tc>
          <w:tcPr>
            <w:tcW w:w="2342" w:type="dxa"/>
            <w:tcBorders>
              <w:top w:val="nil"/>
              <w:left w:val="nil"/>
              <w:bottom w:val="single" w:sz="4" w:space="0" w:color="auto"/>
              <w:right w:val="single" w:sz="4" w:space="0" w:color="auto"/>
            </w:tcBorders>
            <w:shd w:val="clear" w:color="auto" w:fill="C6EFCE"/>
            <w:noWrap/>
          </w:tcPr>
          <w:p w14:paraId="4DD140AE" w14:textId="77777777" w:rsidR="00356CBA" w:rsidRPr="00E02B5D" w:rsidRDefault="00356CBA">
            <w:pPr>
              <w:spacing w:after="0" w:line="240" w:lineRule="auto"/>
              <w:rPr>
                <w:rFonts w:eastAsia="Times New Roman"/>
                <w:noProof/>
                <w:color w:val="006100"/>
                <w:sz w:val="18"/>
                <w:szCs w:val="18"/>
              </w:rPr>
            </w:pPr>
            <w:r>
              <w:rPr>
                <w:noProof/>
                <w:color w:val="006100"/>
                <w:sz w:val="18"/>
              </w:rPr>
              <w:t>4-1.4. Ressursside säästev kasutamine, kliimamuutustele vastupanu võime ja keskkonnakaitse – 16285_Investeeringud riiklikku niisutusvõrku avaliku ja erasektori partnerluse kavade kaudu</w:t>
            </w:r>
          </w:p>
        </w:tc>
        <w:tc>
          <w:tcPr>
            <w:tcW w:w="1589" w:type="dxa"/>
            <w:tcBorders>
              <w:top w:val="nil"/>
              <w:left w:val="nil"/>
              <w:bottom w:val="single" w:sz="4" w:space="0" w:color="auto"/>
              <w:right w:val="single" w:sz="4" w:space="0" w:color="auto"/>
            </w:tcBorders>
            <w:shd w:val="clear" w:color="auto" w:fill="C6EFCE"/>
            <w:noWrap/>
          </w:tcPr>
          <w:p w14:paraId="6FAB257B"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709" w:type="dxa"/>
            <w:tcBorders>
              <w:top w:val="nil"/>
              <w:left w:val="nil"/>
              <w:bottom w:val="single" w:sz="4" w:space="0" w:color="auto"/>
              <w:right w:val="single" w:sz="4" w:space="0" w:color="auto"/>
            </w:tcBorders>
            <w:shd w:val="clear" w:color="auto" w:fill="C6EFCE"/>
            <w:noWrap/>
          </w:tcPr>
          <w:p w14:paraId="13C9CA76" w14:textId="77777777" w:rsidR="00356CBA" w:rsidRPr="00E02B5D" w:rsidRDefault="00356CBA">
            <w:pPr>
              <w:spacing w:after="0" w:line="240" w:lineRule="auto"/>
              <w:rPr>
                <w:rFonts w:eastAsia="Times New Roman"/>
                <w:noProof/>
                <w:color w:val="006100"/>
                <w:sz w:val="18"/>
                <w:szCs w:val="18"/>
              </w:rPr>
            </w:pPr>
            <w:r>
              <w:rPr>
                <w:noProof/>
                <w:color w:val="006100"/>
                <w:sz w:val="18"/>
              </w:rPr>
              <w:t>Niisutusprojektide lepingud sõlmitud</w:t>
            </w:r>
          </w:p>
        </w:tc>
        <w:tc>
          <w:tcPr>
            <w:tcW w:w="2025" w:type="dxa"/>
            <w:tcBorders>
              <w:top w:val="nil"/>
              <w:left w:val="nil"/>
              <w:bottom w:val="single" w:sz="4" w:space="0" w:color="auto"/>
              <w:right w:val="single" w:sz="4" w:space="0" w:color="auto"/>
            </w:tcBorders>
            <w:shd w:val="clear" w:color="auto" w:fill="C6EFCE"/>
            <w:noWrap/>
          </w:tcPr>
          <w:p w14:paraId="3F68BE33" w14:textId="77777777" w:rsidR="00356CBA" w:rsidRPr="00E02B5D" w:rsidRDefault="00356CBA">
            <w:pPr>
              <w:spacing w:after="0" w:line="240" w:lineRule="auto"/>
              <w:rPr>
                <w:noProof/>
                <w:color w:val="006100"/>
                <w:sz w:val="18"/>
                <w:szCs w:val="18"/>
              </w:rPr>
            </w:pPr>
            <w:r>
              <w:rPr>
                <w:noProof/>
                <w:color w:val="006100"/>
                <w:sz w:val="18"/>
              </w:rPr>
              <w:t>Lepingute sõlmimine</w:t>
            </w:r>
          </w:p>
          <w:p w14:paraId="3055803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77" w:type="dxa"/>
            <w:tcBorders>
              <w:top w:val="nil"/>
              <w:left w:val="nil"/>
              <w:bottom w:val="single" w:sz="4" w:space="0" w:color="auto"/>
              <w:right w:val="single" w:sz="4" w:space="0" w:color="auto"/>
            </w:tcBorders>
            <w:shd w:val="clear" w:color="auto" w:fill="C6EFCE"/>
            <w:noWrap/>
          </w:tcPr>
          <w:p w14:paraId="5B25C2EF"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52B420B1"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63570648"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24" w:type="dxa"/>
            <w:tcBorders>
              <w:top w:val="nil"/>
              <w:left w:val="nil"/>
              <w:bottom w:val="single" w:sz="4" w:space="0" w:color="auto"/>
              <w:right w:val="single" w:sz="4" w:space="0" w:color="auto"/>
            </w:tcBorders>
            <w:shd w:val="clear" w:color="auto" w:fill="C6EFCE"/>
            <w:noWrap/>
          </w:tcPr>
          <w:p w14:paraId="1C98EC26" w14:textId="77777777" w:rsidR="00356CBA" w:rsidRPr="00E02B5D" w:rsidRDefault="00356CBA">
            <w:pPr>
              <w:spacing w:after="0" w:line="240" w:lineRule="auto"/>
              <w:rPr>
                <w:rFonts w:eastAsia="Times New Roman"/>
                <w:noProof/>
                <w:color w:val="006100"/>
                <w:sz w:val="18"/>
                <w:szCs w:val="18"/>
              </w:rPr>
            </w:pPr>
            <w:r>
              <w:rPr>
                <w:noProof/>
                <w:color w:val="006100"/>
                <w:sz w:val="18"/>
              </w:rPr>
              <w:t>1. kv</w:t>
            </w:r>
          </w:p>
        </w:tc>
        <w:tc>
          <w:tcPr>
            <w:tcW w:w="687" w:type="dxa"/>
            <w:tcBorders>
              <w:top w:val="nil"/>
              <w:left w:val="nil"/>
              <w:bottom w:val="single" w:sz="4" w:space="0" w:color="auto"/>
              <w:right w:val="single" w:sz="4" w:space="0" w:color="auto"/>
            </w:tcBorders>
            <w:shd w:val="clear" w:color="auto" w:fill="C6EFCE"/>
            <w:noWrap/>
          </w:tcPr>
          <w:p w14:paraId="31A8282D" w14:textId="77777777" w:rsidR="00356CBA" w:rsidRPr="00E02B5D" w:rsidRDefault="00356CBA">
            <w:pPr>
              <w:spacing w:after="0" w:line="240" w:lineRule="auto"/>
              <w:rPr>
                <w:rFonts w:eastAsia="Times New Roman"/>
                <w:noProof/>
                <w:color w:val="006100"/>
                <w:sz w:val="18"/>
                <w:szCs w:val="18"/>
              </w:rPr>
            </w:pPr>
            <w:r>
              <w:rPr>
                <w:noProof/>
                <w:color w:val="006100"/>
                <w:sz w:val="18"/>
              </w:rPr>
              <w:t>2024</w:t>
            </w:r>
          </w:p>
        </w:tc>
        <w:tc>
          <w:tcPr>
            <w:tcW w:w="3161" w:type="dxa"/>
            <w:tcBorders>
              <w:top w:val="nil"/>
              <w:left w:val="nil"/>
              <w:bottom w:val="single" w:sz="4" w:space="0" w:color="auto"/>
              <w:right w:val="single" w:sz="4" w:space="0" w:color="auto"/>
            </w:tcBorders>
            <w:shd w:val="clear" w:color="auto" w:fill="C6EFCE"/>
            <w:noWrap/>
          </w:tcPr>
          <w:p w14:paraId="1B1A0CEF" w14:textId="77777777" w:rsidR="00356CBA" w:rsidRPr="00E02B5D" w:rsidRDefault="00356CBA">
            <w:pPr>
              <w:spacing w:after="0" w:line="240" w:lineRule="auto"/>
              <w:rPr>
                <w:noProof/>
                <w:color w:val="006100"/>
                <w:sz w:val="18"/>
                <w:szCs w:val="18"/>
              </w:rPr>
            </w:pPr>
            <w:r>
              <w:rPr>
                <w:noProof/>
                <w:color w:val="006100"/>
                <w:sz w:val="18"/>
              </w:rPr>
              <w:t xml:space="preserve">Avaliku ja erasektori partnerluse lepingute sõlmimine seitsme niisutusprojekti ehitamiseks ja käitamiseks. Iga alainvesteeringu puhul tagatakse täielik vastavus ELi õiguse, sh veepoliitika raamdirektiivi nõuetele enne ja pärast ehitustöid ja nende ajal. Eelkõige tuleks avalikuks aruteluks keskkonnamõju hindamise projekti avaldamisel põhjendada investeeringu eesmärki võrreldes alternatiividega nii eesmärgi (niisutatava maa ulatus vs. maapiirkondade säästev taaselustamine) kui ka vahendite (veenõudluse vähendamine ja looduspõhised lahendused) osas.  </w:t>
            </w:r>
          </w:p>
          <w:p w14:paraId="516EE458" w14:textId="77777777" w:rsidR="00356CBA" w:rsidRPr="00AD4052" w:rsidRDefault="00356CBA">
            <w:pPr>
              <w:spacing w:after="0" w:line="240" w:lineRule="auto"/>
              <w:rPr>
                <w:rFonts w:cs="Calibri"/>
                <w:noProof/>
                <w:color w:val="006100"/>
                <w:sz w:val="18"/>
                <w:szCs w:val="18"/>
              </w:rPr>
            </w:pPr>
          </w:p>
          <w:p w14:paraId="263AF4AA" w14:textId="77777777" w:rsidR="00356CBA" w:rsidRPr="00E02B5D" w:rsidRDefault="00356CBA">
            <w:pPr>
              <w:spacing w:after="0" w:line="240" w:lineRule="auto"/>
              <w:rPr>
                <w:noProof/>
                <w:color w:val="006100"/>
                <w:sz w:val="18"/>
                <w:szCs w:val="18"/>
              </w:rPr>
            </w:pPr>
            <w:r>
              <w:rPr>
                <w:noProof/>
                <w:color w:val="006100"/>
                <w:sz w:val="18"/>
              </w:rPr>
              <w:t>Iga investeering tammidesse peab vastama järgmistele kriteeriumidele:</w:t>
            </w:r>
          </w:p>
          <w:p w14:paraId="3EC8D86D" w14:textId="77777777" w:rsidR="00356CBA" w:rsidRPr="00E02B5D" w:rsidRDefault="00356CBA">
            <w:pPr>
              <w:spacing w:after="0" w:line="240" w:lineRule="auto"/>
              <w:rPr>
                <w:rFonts w:cs="Calibri"/>
                <w:noProof/>
                <w:color w:val="006100"/>
                <w:sz w:val="18"/>
                <w:szCs w:val="18"/>
                <w:lang w:val="en-GB"/>
              </w:rPr>
            </w:pPr>
          </w:p>
          <w:p w14:paraId="3A23B00E" w14:textId="77777777" w:rsidR="00356CBA" w:rsidRPr="00E02B5D" w:rsidRDefault="00356CBA" w:rsidP="00DE1EE5">
            <w:pPr>
              <w:numPr>
                <w:ilvl w:val="0"/>
                <w:numId w:val="47"/>
              </w:numPr>
              <w:spacing w:before="120" w:after="0" w:line="240" w:lineRule="auto"/>
              <w:ind w:left="349" w:hanging="423"/>
              <w:jc w:val="both"/>
              <w:rPr>
                <w:rFonts w:eastAsia="Times New Roman"/>
                <w:noProof/>
                <w:color w:val="006100"/>
                <w:sz w:val="18"/>
                <w:szCs w:val="18"/>
              </w:rPr>
            </w:pPr>
            <w:r>
              <w:rPr>
                <w:noProof/>
                <w:color w:val="006100"/>
                <w:sz w:val="18"/>
              </w:rPr>
              <w:t xml:space="preserve">hüdroenergiast elektri tootmisel tekkivad olelusringi jooksul tekkivad kasvuhoonegaaside heitkogused on väiksemad kui 100 g CO2e/kWh; või elektrijaama võimsustihedus on üle 5 W/m² ja </w:t>
            </w:r>
          </w:p>
          <w:p w14:paraId="0625D67E" w14:textId="77777777" w:rsidR="00356CBA" w:rsidRPr="00E02B5D" w:rsidRDefault="00356CBA" w:rsidP="00DE1EE5">
            <w:pPr>
              <w:numPr>
                <w:ilvl w:val="0"/>
                <w:numId w:val="47"/>
              </w:numPr>
              <w:spacing w:before="120" w:after="0" w:line="240" w:lineRule="auto"/>
              <w:ind w:left="349" w:hanging="423"/>
              <w:jc w:val="both"/>
              <w:rPr>
                <w:rFonts w:eastAsia="Times New Roman"/>
                <w:noProof/>
                <w:color w:val="006100"/>
                <w:sz w:val="18"/>
                <w:szCs w:val="18"/>
              </w:rPr>
            </w:pPr>
            <w:r>
              <w:rPr>
                <w:noProof/>
                <w:color w:val="006100"/>
                <w:sz w:val="18"/>
              </w:rPr>
              <w:t xml:space="preserve">kõik tehniliselt teostatavad ja ökoloogiliselt asjakohased leevendusmeetmed on rakendatud või rakendatakse, et vähendada kahjulikku mõju veele ning asjaomastele elupaikadele ja liikidele; võttes samuti arvesse kliimamuutuste prognoositavat tulevast mõju ja kohanemismeetmete rakendamist, ning  </w:t>
            </w:r>
          </w:p>
          <w:p w14:paraId="74A2453C" w14:textId="77777777" w:rsidR="00356CBA" w:rsidRPr="00E02B5D" w:rsidRDefault="00356CBA" w:rsidP="00DE1EE5">
            <w:pPr>
              <w:numPr>
                <w:ilvl w:val="0"/>
                <w:numId w:val="47"/>
              </w:numPr>
              <w:spacing w:before="120" w:after="0" w:line="240" w:lineRule="auto"/>
              <w:ind w:left="349" w:hanging="423"/>
              <w:jc w:val="both"/>
              <w:rPr>
                <w:rFonts w:eastAsia="Times New Roman"/>
                <w:noProof/>
                <w:color w:val="006100"/>
                <w:sz w:val="18"/>
                <w:szCs w:val="18"/>
              </w:rPr>
            </w:pPr>
            <w:r>
              <w:rPr>
                <w:noProof/>
                <w:color w:val="006100"/>
                <w:sz w:val="18"/>
              </w:rPr>
              <w:t xml:space="preserve">vastehitatud tammi puhul tagama, et see ei põhjusta asjaomaste ja ühendatud veekogude seisundi halvenemist ega ohusta selle saavutamist; ning </w:t>
            </w:r>
          </w:p>
          <w:p w14:paraId="1047081C" w14:textId="77777777" w:rsidR="00356CBA" w:rsidRPr="00E02B5D" w:rsidRDefault="00356CBA" w:rsidP="00DE1EE5">
            <w:pPr>
              <w:numPr>
                <w:ilvl w:val="0"/>
                <w:numId w:val="47"/>
              </w:numPr>
              <w:spacing w:before="120" w:after="0" w:line="240" w:lineRule="auto"/>
              <w:ind w:left="349" w:hanging="423"/>
              <w:jc w:val="both"/>
              <w:rPr>
                <w:noProof/>
              </w:rPr>
            </w:pPr>
            <w:r>
              <w:rPr>
                <w:noProof/>
                <w:color w:val="006100"/>
                <w:sz w:val="18"/>
              </w:rPr>
              <w:t xml:space="preserve">tammi ehitamiseks on uuritud muid võimalikke alternatiive ja ametiasutused on esitanud põhjused, miks sellised alternatiivid ei olnud asjakohasel juhul teostatavad. </w:t>
            </w:r>
          </w:p>
        </w:tc>
      </w:tr>
      <w:tr w:rsidR="00356CBA" w:rsidRPr="003B132A" w14:paraId="001E4AD8" w14:textId="77777777" w:rsidTr="005D5392">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14:paraId="236725CE" w14:textId="77777777" w:rsidR="00356CBA" w:rsidRPr="00E02B5D" w:rsidRDefault="00356CBA">
            <w:pPr>
              <w:spacing w:after="0" w:line="240" w:lineRule="auto"/>
              <w:rPr>
                <w:rFonts w:eastAsia="Times New Roman"/>
                <w:noProof/>
                <w:color w:val="006100"/>
                <w:sz w:val="18"/>
                <w:szCs w:val="18"/>
              </w:rPr>
            </w:pPr>
            <w:r>
              <w:rPr>
                <w:noProof/>
                <w:color w:val="006100"/>
                <w:sz w:val="18"/>
              </w:rPr>
              <w:t>313</w:t>
            </w:r>
          </w:p>
        </w:tc>
        <w:tc>
          <w:tcPr>
            <w:tcW w:w="2342" w:type="dxa"/>
            <w:tcBorders>
              <w:top w:val="nil"/>
              <w:left w:val="nil"/>
              <w:bottom w:val="single" w:sz="4" w:space="0" w:color="auto"/>
              <w:right w:val="single" w:sz="4" w:space="0" w:color="auto"/>
            </w:tcBorders>
            <w:shd w:val="clear" w:color="auto" w:fill="C6EFCE"/>
            <w:noWrap/>
            <w:hideMark/>
          </w:tcPr>
          <w:p w14:paraId="47221DD6" w14:textId="77777777" w:rsidR="00356CBA" w:rsidRPr="00E02B5D" w:rsidRDefault="00356CBA">
            <w:pPr>
              <w:spacing w:after="0" w:line="240" w:lineRule="auto"/>
              <w:rPr>
                <w:rFonts w:eastAsia="Times New Roman"/>
                <w:noProof/>
                <w:color w:val="006100"/>
                <w:sz w:val="18"/>
                <w:szCs w:val="18"/>
              </w:rPr>
            </w:pPr>
            <w:r>
              <w:rPr>
                <w:noProof/>
                <w:color w:val="006100"/>
                <w:sz w:val="18"/>
              </w:rPr>
              <w:t> 17-4.6. Peamiste majandussektorite ajakohastamine ja vastupanuvõime parandamine – 16653_Digitaalne ümberkujundamine põllumajandus- ja toiduainesektoris</w:t>
            </w:r>
          </w:p>
        </w:tc>
        <w:tc>
          <w:tcPr>
            <w:tcW w:w="1589" w:type="dxa"/>
            <w:tcBorders>
              <w:top w:val="nil"/>
              <w:left w:val="nil"/>
              <w:bottom w:val="single" w:sz="4" w:space="0" w:color="auto"/>
              <w:right w:val="single" w:sz="4" w:space="0" w:color="auto"/>
            </w:tcBorders>
            <w:shd w:val="clear" w:color="auto" w:fill="C6EFCE"/>
            <w:noWrap/>
            <w:hideMark/>
          </w:tcPr>
          <w:p w14:paraId="02DF77F5"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709" w:type="dxa"/>
            <w:tcBorders>
              <w:top w:val="nil"/>
              <w:left w:val="nil"/>
              <w:bottom w:val="single" w:sz="4" w:space="0" w:color="auto"/>
              <w:right w:val="single" w:sz="4" w:space="0" w:color="auto"/>
            </w:tcBorders>
            <w:shd w:val="clear" w:color="auto" w:fill="C6EFCE"/>
            <w:noWrap/>
            <w:hideMark/>
          </w:tcPr>
          <w:p w14:paraId="5209A3FB" w14:textId="77777777" w:rsidR="00356CBA" w:rsidRPr="00E02B5D" w:rsidRDefault="00356CBA">
            <w:pPr>
              <w:spacing w:after="0" w:line="240" w:lineRule="auto"/>
              <w:rPr>
                <w:rFonts w:eastAsia="Times New Roman"/>
                <w:noProof/>
                <w:color w:val="006100"/>
                <w:sz w:val="18"/>
                <w:szCs w:val="18"/>
              </w:rPr>
            </w:pPr>
            <w:r>
              <w:rPr>
                <w:noProof/>
                <w:color w:val="006100"/>
                <w:sz w:val="18"/>
              </w:rPr>
              <w:t>Põllumajanduse digitehnoloogiale ülemineku projekti lõpuleviimine</w:t>
            </w:r>
          </w:p>
        </w:tc>
        <w:tc>
          <w:tcPr>
            <w:tcW w:w="2025" w:type="dxa"/>
            <w:tcBorders>
              <w:top w:val="nil"/>
              <w:left w:val="nil"/>
              <w:bottom w:val="single" w:sz="4" w:space="0" w:color="auto"/>
              <w:right w:val="single" w:sz="4" w:space="0" w:color="auto"/>
            </w:tcBorders>
            <w:shd w:val="clear" w:color="auto" w:fill="C6EFCE"/>
            <w:noWrap/>
            <w:hideMark/>
          </w:tcPr>
          <w:p w14:paraId="56E4B3F1" w14:textId="77777777" w:rsidR="00356CBA" w:rsidRPr="00E02B5D" w:rsidRDefault="00356CBA">
            <w:pPr>
              <w:spacing w:after="0" w:line="240" w:lineRule="auto"/>
              <w:rPr>
                <w:rFonts w:eastAsia="Times New Roman"/>
                <w:noProof/>
                <w:color w:val="006100"/>
                <w:sz w:val="18"/>
                <w:szCs w:val="18"/>
              </w:rPr>
            </w:pPr>
            <w:r>
              <w:rPr>
                <w:noProof/>
                <w:color w:val="006100"/>
                <w:sz w:val="18"/>
              </w:rPr>
              <w:t>Valmimisaruanne. Väljapoole suunatud digitaalsed põllumajandusteenused, mis on ühendatud Easy Agro Expo platvormiga.</w:t>
            </w:r>
          </w:p>
        </w:tc>
        <w:tc>
          <w:tcPr>
            <w:tcW w:w="977" w:type="dxa"/>
            <w:tcBorders>
              <w:top w:val="nil"/>
              <w:left w:val="nil"/>
              <w:bottom w:val="single" w:sz="4" w:space="0" w:color="auto"/>
              <w:right w:val="single" w:sz="4" w:space="0" w:color="auto"/>
            </w:tcBorders>
            <w:shd w:val="clear" w:color="auto" w:fill="C6EFCE"/>
            <w:noWrap/>
            <w:hideMark/>
          </w:tcPr>
          <w:p w14:paraId="1ED81AA4"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hideMark/>
          </w:tcPr>
          <w:p w14:paraId="6382C33E" w14:textId="77777777" w:rsidR="00356CBA" w:rsidRPr="00AD4052" w:rsidRDefault="00356CBA">
            <w:pPr>
              <w:spacing w:after="0" w:line="240" w:lineRule="auto"/>
              <w:rPr>
                <w:rFonts w:eastAsia="Times New Roman"/>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hideMark/>
          </w:tcPr>
          <w:p w14:paraId="2A890E2C" w14:textId="77777777" w:rsidR="00356CBA" w:rsidRPr="00AD4052" w:rsidRDefault="00356CBA">
            <w:pPr>
              <w:spacing w:after="0" w:line="240" w:lineRule="auto"/>
              <w:rPr>
                <w:rFonts w:eastAsia="Times New Roman"/>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hideMark/>
          </w:tcPr>
          <w:p w14:paraId="66F16FFF" w14:textId="77777777" w:rsidR="00356CBA" w:rsidRPr="00E02B5D" w:rsidRDefault="00356CBA">
            <w:pPr>
              <w:spacing w:after="0" w:line="240" w:lineRule="auto"/>
              <w:rPr>
                <w:rFonts w:eastAsia="Times New Roman"/>
                <w:noProof/>
                <w:color w:val="006100"/>
                <w:sz w:val="18"/>
                <w:szCs w:val="18"/>
              </w:rPr>
            </w:pPr>
            <w:r>
              <w:rPr>
                <w:noProof/>
                <w:color w:val="006100"/>
                <w:sz w:val="18"/>
              </w:rPr>
              <w:t>2. kv</w:t>
            </w:r>
          </w:p>
        </w:tc>
        <w:tc>
          <w:tcPr>
            <w:tcW w:w="687" w:type="dxa"/>
            <w:tcBorders>
              <w:top w:val="nil"/>
              <w:left w:val="nil"/>
              <w:bottom w:val="single" w:sz="4" w:space="0" w:color="auto"/>
              <w:right w:val="single" w:sz="4" w:space="0" w:color="auto"/>
            </w:tcBorders>
            <w:shd w:val="clear" w:color="auto" w:fill="C6EFCE"/>
            <w:noWrap/>
            <w:hideMark/>
          </w:tcPr>
          <w:p w14:paraId="57626473" w14:textId="77777777" w:rsidR="00356CBA" w:rsidRPr="00E02B5D" w:rsidRDefault="00356CBA">
            <w:pPr>
              <w:spacing w:after="0" w:line="240" w:lineRule="auto"/>
              <w:rPr>
                <w:rFonts w:eastAsia="Times New Roman"/>
                <w:noProof/>
                <w:color w:val="006100"/>
                <w:sz w:val="18"/>
                <w:szCs w:val="18"/>
              </w:rPr>
            </w:pPr>
            <w:r>
              <w:rPr>
                <w:noProof/>
                <w:color w:val="006100"/>
                <w:sz w:val="18"/>
              </w:rPr>
              <w:t>2025 </w:t>
            </w:r>
          </w:p>
        </w:tc>
        <w:tc>
          <w:tcPr>
            <w:tcW w:w="3161" w:type="dxa"/>
            <w:tcBorders>
              <w:top w:val="nil"/>
              <w:left w:val="nil"/>
              <w:bottom w:val="single" w:sz="4" w:space="0" w:color="auto"/>
              <w:right w:val="single" w:sz="4" w:space="0" w:color="auto"/>
            </w:tcBorders>
            <w:shd w:val="clear" w:color="auto" w:fill="C6EFCE"/>
            <w:noWrap/>
            <w:hideMark/>
          </w:tcPr>
          <w:p w14:paraId="74B46F4F" w14:textId="77777777" w:rsidR="00356CBA" w:rsidRPr="00E02B5D" w:rsidRDefault="00356CBA">
            <w:pPr>
              <w:spacing w:after="0" w:line="240" w:lineRule="auto"/>
              <w:rPr>
                <w:noProof/>
                <w:color w:val="006100"/>
                <w:sz w:val="18"/>
                <w:szCs w:val="18"/>
              </w:rPr>
            </w:pPr>
            <w:r>
              <w:rPr>
                <w:noProof/>
                <w:color w:val="006100"/>
                <w:sz w:val="18"/>
              </w:rPr>
              <w:t>Kahe komponendi lõpuleviimine:</w:t>
            </w:r>
          </w:p>
          <w:p w14:paraId="491F1A3E" w14:textId="77777777" w:rsidR="00356CBA" w:rsidRPr="00E02B5D" w:rsidRDefault="00356CBA" w:rsidP="00DE1EE5">
            <w:pPr>
              <w:numPr>
                <w:ilvl w:val="0"/>
                <w:numId w:val="55"/>
              </w:numPr>
              <w:spacing w:before="120" w:after="0" w:line="259" w:lineRule="auto"/>
              <w:ind w:left="476"/>
              <w:contextualSpacing/>
              <w:jc w:val="both"/>
              <w:rPr>
                <w:noProof/>
                <w:color w:val="006100"/>
                <w:sz w:val="18"/>
                <w:szCs w:val="18"/>
              </w:rPr>
            </w:pPr>
            <w:r>
              <w:rPr>
                <w:noProof/>
                <w:color w:val="006100"/>
                <w:sz w:val="18"/>
              </w:rPr>
              <w:t xml:space="preserve">Põllumajandussektori digitaalne ümberkujundamine, mis hõlmab ulatusliku avatud digitaalse põllumajandustaristu arendamist koos pilvandmetöötluse taristuga ning Maa seire (satelliitide ja antennide/droonide) andmete ja multidistsiplinaarsete tehnoloogiate suuremahulise töötlemise suutlikkusega; </w:t>
            </w:r>
          </w:p>
          <w:p w14:paraId="493E8FC5" w14:textId="77777777" w:rsidR="00356CBA" w:rsidRPr="00E02B5D" w:rsidRDefault="00356CBA" w:rsidP="00DE1EE5">
            <w:pPr>
              <w:numPr>
                <w:ilvl w:val="0"/>
                <w:numId w:val="55"/>
              </w:numPr>
              <w:spacing w:before="120" w:after="0" w:line="259" w:lineRule="auto"/>
              <w:ind w:left="476"/>
              <w:contextualSpacing/>
              <w:jc w:val="both"/>
              <w:rPr>
                <w:rFonts w:eastAsia="Times New Roman"/>
                <w:noProof/>
                <w:color w:val="006100"/>
                <w:sz w:val="18"/>
                <w:szCs w:val="18"/>
              </w:rPr>
            </w:pPr>
            <w:r>
              <w:rPr>
                <w:noProof/>
                <w:color w:val="006100"/>
                <w:sz w:val="18"/>
              </w:rPr>
              <w:t>Väljapoole suunatud põllumajandus, mis hõlmab Easy Agro Expo platvormi täiustamist ekspordisertifikaatide väljastamiseks, impordi- ja ühendusesisese kaubanduse andmete haldamise süsteemi väljatöötamist, äriteabesüsteemi väljatöötamist impordi ja ekspordi jaoks ning Kreeka põllumajandusettevõtete tooteedenduse portaali ajakohastamist.</w:t>
            </w:r>
          </w:p>
        </w:tc>
      </w:tr>
      <w:tr w:rsidR="00356CBA" w:rsidRPr="003B132A" w14:paraId="6EAA602F" w14:textId="77777777" w:rsidTr="005D5392">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14:paraId="2529DE84" w14:textId="77777777" w:rsidR="00356CBA" w:rsidRPr="00E02B5D" w:rsidRDefault="00356CBA">
            <w:pPr>
              <w:spacing w:after="0" w:line="240" w:lineRule="auto"/>
              <w:rPr>
                <w:rFonts w:eastAsia="Times New Roman"/>
                <w:noProof/>
                <w:color w:val="006100"/>
                <w:sz w:val="18"/>
                <w:szCs w:val="18"/>
              </w:rPr>
            </w:pPr>
            <w:r>
              <w:rPr>
                <w:noProof/>
                <w:color w:val="006100"/>
                <w:sz w:val="18"/>
              </w:rPr>
              <w:t>314</w:t>
            </w:r>
          </w:p>
        </w:tc>
        <w:tc>
          <w:tcPr>
            <w:tcW w:w="2342" w:type="dxa"/>
            <w:tcBorders>
              <w:top w:val="nil"/>
              <w:left w:val="nil"/>
              <w:bottom w:val="single" w:sz="4" w:space="0" w:color="auto"/>
              <w:right w:val="single" w:sz="4" w:space="0" w:color="auto"/>
            </w:tcBorders>
            <w:shd w:val="clear" w:color="auto" w:fill="C6EFCE"/>
            <w:noWrap/>
            <w:hideMark/>
          </w:tcPr>
          <w:p w14:paraId="524A4193" w14:textId="77777777" w:rsidR="00356CBA" w:rsidRPr="00E02B5D" w:rsidRDefault="00356CBA">
            <w:pPr>
              <w:spacing w:after="0" w:line="240" w:lineRule="auto"/>
              <w:rPr>
                <w:rFonts w:eastAsia="Times New Roman"/>
                <w:noProof/>
                <w:color w:val="006100"/>
                <w:sz w:val="18"/>
                <w:szCs w:val="18"/>
              </w:rPr>
            </w:pPr>
            <w:r>
              <w:rPr>
                <w:noProof/>
                <w:color w:val="006100"/>
                <w:sz w:val="18"/>
              </w:rPr>
              <w:t>17-4.6. Peamiste majandussektorite ajakohastamine ja vastupanuvõime parandamine – 16626_Põllumajandussektori majanduslik ümberkujundamine</w:t>
            </w:r>
          </w:p>
        </w:tc>
        <w:tc>
          <w:tcPr>
            <w:tcW w:w="1589" w:type="dxa"/>
            <w:tcBorders>
              <w:top w:val="nil"/>
              <w:left w:val="nil"/>
              <w:bottom w:val="single" w:sz="4" w:space="0" w:color="auto"/>
              <w:right w:val="single" w:sz="4" w:space="0" w:color="auto"/>
            </w:tcBorders>
            <w:shd w:val="clear" w:color="auto" w:fill="C6EFCE"/>
            <w:noWrap/>
            <w:hideMark/>
          </w:tcPr>
          <w:p w14:paraId="05C2818B" w14:textId="77777777" w:rsidR="00356CBA" w:rsidRPr="00E02B5D" w:rsidRDefault="00356CBA">
            <w:pPr>
              <w:spacing w:after="0" w:line="240" w:lineRule="auto"/>
              <w:rPr>
                <w:rFonts w:eastAsia="Times New Roman"/>
                <w:noProof/>
                <w:color w:val="006100"/>
                <w:sz w:val="18"/>
                <w:szCs w:val="18"/>
              </w:rPr>
            </w:pPr>
            <w:r>
              <w:rPr>
                <w:noProof/>
                <w:color w:val="006100"/>
                <w:sz w:val="18"/>
              </w:rPr>
              <w:t> Eesmärk</w:t>
            </w:r>
          </w:p>
        </w:tc>
        <w:tc>
          <w:tcPr>
            <w:tcW w:w="1709" w:type="dxa"/>
            <w:tcBorders>
              <w:top w:val="nil"/>
              <w:left w:val="nil"/>
              <w:bottom w:val="single" w:sz="4" w:space="0" w:color="auto"/>
              <w:right w:val="single" w:sz="4" w:space="0" w:color="auto"/>
            </w:tcBorders>
            <w:shd w:val="clear" w:color="auto" w:fill="C6EFCE"/>
            <w:noWrap/>
            <w:hideMark/>
          </w:tcPr>
          <w:p w14:paraId="11F05C82" w14:textId="77777777" w:rsidR="00356CBA" w:rsidRPr="00E02B5D" w:rsidRDefault="00356CBA">
            <w:pPr>
              <w:spacing w:after="0" w:line="240" w:lineRule="auto"/>
              <w:rPr>
                <w:rFonts w:eastAsia="Times New Roman"/>
                <w:noProof/>
                <w:color w:val="006100"/>
                <w:sz w:val="18"/>
                <w:szCs w:val="18"/>
              </w:rPr>
            </w:pPr>
            <w:r>
              <w:rPr>
                <w:noProof/>
                <w:color w:val="006100"/>
                <w:sz w:val="18"/>
              </w:rPr>
              <w:t>Põllumajanduse majandusliku ümberkujundamise lõpuleviimine</w:t>
            </w:r>
          </w:p>
        </w:tc>
        <w:tc>
          <w:tcPr>
            <w:tcW w:w="2025" w:type="dxa"/>
            <w:tcBorders>
              <w:top w:val="nil"/>
              <w:left w:val="nil"/>
              <w:bottom w:val="single" w:sz="4" w:space="0" w:color="auto"/>
              <w:right w:val="single" w:sz="4" w:space="0" w:color="auto"/>
            </w:tcBorders>
            <w:shd w:val="clear" w:color="auto" w:fill="C6EFCE"/>
            <w:noWrap/>
            <w:hideMark/>
          </w:tcPr>
          <w:p w14:paraId="4D19A4BE" w14:textId="77777777" w:rsidR="00356CBA" w:rsidRPr="00E02B5D" w:rsidRDefault="00356CBA">
            <w:pPr>
              <w:spacing w:after="0" w:line="240" w:lineRule="auto"/>
              <w:rPr>
                <w:rFonts w:eastAsia="Times New Roman"/>
                <w:noProof/>
                <w:color w:val="006100"/>
                <w:sz w:val="18"/>
                <w:szCs w:val="18"/>
              </w:rPr>
            </w:pPr>
            <w:r>
              <w:rPr>
                <w:noProof/>
                <w:color w:val="006100"/>
                <w:sz w:val="18"/>
              </w:rPr>
              <w:t>Projektide lõpetamine koos kontrollitõendite väljastamisega maaelu arengu ministeeriumi poolt heaks kiidetud abisaajate poolt.</w:t>
            </w:r>
          </w:p>
        </w:tc>
        <w:tc>
          <w:tcPr>
            <w:tcW w:w="977" w:type="dxa"/>
            <w:tcBorders>
              <w:top w:val="nil"/>
              <w:left w:val="nil"/>
              <w:bottom w:val="single" w:sz="4" w:space="0" w:color="auto"/>
              <w:right w:val="single" w:sz="4" w:space="0" w:color="auto"/>
            </w:tcBorders>
            <w:shd w:val="clear" w:color="auto" w:fill="C6EFCE"/>
            <w:noWrap/>
            <w:hideMark/>
          </w:tcPr>
          <w:p w14:paraId="6BD1EBBB" w14:textId="77777777" w:rsidR="00356CBA" w:rsidRPr="00AD4052" w:rsidRDefault="00356CBA">
            <w:pPr>
              <w:spacing w:after="0" w:line="240" w:lineRule="auto"/>
              <w:rPr>
                <w:rFonts w:eastAsia="Times New Roman"/>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hideMark/>
          </w:tcPr>
          <w:p w14:paraId="6F4D558C" w14:textId="77777777" w:rsidR="00356CBA" w:rsidRPr="00AD4052" w:rsidRDefault="00356CBA">
            <w:pPr>
              <w:spacing w:after="0" w:line="240" w:lineRule="auto"/>
              <w:rPr>
                <w:rFonts w:eastAsia="Times New Roman"/>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hideMark/>
          </w:tcPr>
          <w:p w14:paraId="04D7DC5E" w14:textId="77777777" w:rsidR="00356CBA" w:rsidRPr="00AD4052" w:rsidRDefault="00356CBA">
            <w:pPr>
              <w:spacing w:after="0" w:line="240" w:lineRule="auto"/>
              <w:rPr>
                <w:rFonts w:eastAsia="Times New Roman"/>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hideMark/>
          </w:tcPr>
          <w:p w14:paraId="682DA30A"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87" w:type="dxa"/>
            <w:tcBorders>
              <w:top w:val="nil"/>
              <w:left w:val="nil"/>
              <w:bottom w:val="single" w:sz="4" w:space="0" w:color="auto"/>
              <w:right w:val="single" w:sz="4" w:space="0" w:color="auto"/>
            </w:tcBorders>
            <w:shd w:val="clear" w:color="auto" w:fill="C6EFCE"/>
            <w:noWrap/>
            <w:hideMark/>
          </w:tcPr>
          <w:p w14:paraId="39D4ACDF" w14:textId="77777777" w:rsidR="00356CBA" w:rsidRPr="00E02B5D" w:rsidRDefault="00356CBA">
            <w:pPr>
              <w:spacing w:after="0" w:line="240" w:lineRule="auto"/>
              <w:rPr>
                <w:rFonts w:eastAsia="Times New Roman"/>
                <w:noProof/>
                <w:color w:val="006100"/>
                <w:sz w:val="18"/>
                <w:szCs w:val="18"/>
              </w:rPr>
            </w:pPr>
            <w:r>
              <w:rPr>
                <w:noProof/>
                <w:color w:val="006100"/>
                <w:sz w:val="18"/>
              </w:rPr>
              <w:t>2025</w:t>
            </w:r>
          </w:p>
        </w:tc>
        <w:tc>
          <w:tcPr>
            <w:tcW w:w="3161" w:type="dxa"/>
            <w:tcBorders>
              <w:top w:val="nil"/>
              <w:left w:val="nil"/>
              <w:bottom w:val="single" w:sz="4" w:space="0" w:color="auto"/>
              <w:right w:val="single" w:sz="4" w:space="0" w:color="auto"/>
            </w:tcBorders>
            <w:shd w:val="clear" w:color="auto" w:fill="C6EFCE"/>
            <w:noWrap/>
            <w:hideMark/>
          </w:tcPr>
          <w:p w14:paraId="2EF8B29E" w14:textId="77777777" w:rsidR="00356CBA" w:rsidRPr="00E02B5D" w:rsidRDefault="00356CBA">
            <w:pPr>
              <w:spacing w:before="120" w:after="0" w:line="240" w:lineRule="auto"/>
              <w:jc w:val="both"/>
              <w:rPr>
                <w:noProof/>
                <w:color w:val="006100"/>
                <w:sz w:val="18"/>
                <w:szCs w:val="18"/>
              </w:rPr>
            </w:pPr>
            <w:r>
              <w:rPr>
                <w:noProof/>
                <w:color w:val="006100"/>
                <w:sz w:val="18"/>
              </w:rPr>
              <w:t xml:space="preserve">Põllumajandussektori majanduslik ümberkujundamine: Kõigi komponentide finantslõpetamine: </w:t>
            </w:r>
          </w:p>
          <w:p w14:paraId="15E91571" w14:textId="77777777" w:rsidR="00356CBA" w:rsidRPr="00E02B5D" w:rsidRDefault="00356CBA">
            <w:pPr>
              <w:spacing w:after="0" w:line="259" w:lineRule="auto"/>
              <w:ind w:left="334"/>
              <w:contextualSpacing/>
              <w:rPr>
                <w:noProof/>
                <w:color w:val="006100"/>
                <w:sz w:val="18"/>
                <w:szCs w:val="18"/>
              </w:rPr>
            </w:pPr>
            <w:r>
              <w:rPr>
                <w:noProof/>
                <w:color w:val="006100"/>
                <w:sz w:val="18"/>
              </w:rPr>
              <w:t>1. Innovatsioon ja üleminek keskkonnasäästlikule majandusele põllumajandustoodete töötlemisel</w:t>
            </w:r>
          </w:p>
          <w:p w14:paraId="29E852D0" w14:textId="77777777" w:rsidR="00356CBA" w:rsidRPr="00E02B5D" w:rsidRDefault="00356CBA">
            <w:pPr>
              <w:spacing w:after="0" w:line="259" w:lineRule="auto"/>
              <w:ind w:left="334"/>
              <w:contextualSpacing/>
              <w:rPr>
                <w:noProof/>
                <w:color w:val="006100"/>
                <w:sz w:val="18"/>
                <w:szCs w:val="18"/>
              </w:rPr>
            </w:pPr>
            <w:r>
              <w:rPr>
                <w:noProof/>
                <w:color w:val="006100"/>
                <w:sz w:val="18"/>
              </w:rPr>
              <w:t>2. Primaarsektori ajakohastamine</w:t>
            </w:r>
          </w:p>
          <w:p w14:paraId="50BDC955" w14:textId="77777777" w:rsidR="00356CBA" w:rsidRPr="00E02B5D" w:rsidRDefault="00356CBA">
            <w:pPr>
              <w:spacing w:after="0" w:line="259" w:lineRule="auto"/>
              <w:ind w:left="334"/>
              <w:contextualSpacing/>
              <w:rPr>
                <w:noProof/>
                <w:color w:val="006100"/>
                <w:sz w:val="18"/>
                <w:szCs w:val="18"/>
              </w:rPr>
            </w:pPr>
            <w:r>
              <w:rPr>
                <w:noProof/>
                <w:color w:val="006100"/>
                <w:sz w:val="18"/>
              </w:rPr>
              <w:t>3. Keskkonnahoidlik maaturism</w:t>
            </w:r>
          </w:p>
          <w:p w14:paraId="1BE19E91" w14:textId="77777777" w:rsidR="00356CBA" w:rsidRPr="00E02B5D" w:rsidRDefault="00356CBA">
            <w:pPr>
              <w:spacing w:after="0" w:line="259" w:lineRule="auto"/>
              <w:ind w:left="334"/>
              <w:contextualSpacing/>
              <w:rPr>
                <w:noProof/>
                <w:color w:val="006100"/>
                <w:sz w:val="18"/>
                <w:szCs w:val="18"/>
              </w:rPr>
            </w:pPr>
            <w:r>
              <w:rPr>
                <w:noProof/>
                <w:color w:val="006100"/>
                <w:sz w:val="18"/>
              </w:rPr>
              <w:t>4. Viljeluse ümberkorraldamine</w:t>
            </w:r>
          </w:p>
          <w:p w14:paraId="398CEE9A" w14:textId="77777777" w:rsidR="00356CBA" w:rsidRPr="00E02B5D" w:rsidRDefault="00356CBA">
            <w:pPr>
              <w:spacing w:after="0" w:line="259" w:lineRule="auto"/>
              <w:ind w:left="334"/>
              <w:contextualSpacing/>
              <w:rPr>
                <w:noProof/>
                <w:sz w:val="18"/>
                <w:szCs w:val="18"/>
              </w:rPr>
            </w:pPr>
            <w:r>
              <w:rPr>
                <w:noProof/>
                <w:color w:val="006100"/>
                <w:sz w:val="18"/>
              </w:rPr>
              <w:t>5. Loomade geneetiline parandamine</w:t>
            </w:r>
          </w:p>
        </w:tc>
      </w:tr>
      <w:tr w:rsidR="00356CBA" w:rsidRPr="003B132A" w14:paraId="318639BB" w14:textId="77777777" w:rsidTr="005D5392">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1938EDE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315</w:t>
            </w:r>
          </w:p>
        </w:tc>
        <w:tc>
          <w:tcPr>
            <w:tcW w:w="2342" w:type="dxa"/>
            <w:tcBorders>
              <w:top w:val="single" w:sz="4" w:space="0" w:color="auto"/>
              <w:left w:val="nil"/>
              <w:bottom w:val="single" w:sz="4" w:space="0" w:color="auto"/>
              <w:right w:val="single" w:sz="4" w:space="0" w:color="auto"/>
            </w:tcBorders>
            <w:shd w:val="clear" w:color="auto" w:fill="C6EFCE"/>
            <w:noWrap/>
          </w:tcPr>
          <w:p w14:paraId="380B7017" w14:textId="77777777" w:rsidR="00356CBA" w:rsidRPr="00E02B5D" w:rsidRDefault="00356CBA">
            <w:pPr>
              <w:spacing w:after="0" w:line="240" w:lineRule="auto"/>
              <w:rPr>
                <w:rFonts w:eastAsia="Times New Roman"/>
                <w:noProof/>
                <w:color w:val="006100"/>
                <w:sz w:val="18"/>
                <w:szCs w:val="18"/>
              </w:rPr>
            </w:pPr>
            <w:r>
              <w:rPr>
                <w:noProof/>
                <w:color w:val="006100"/>
                <w:sz w:val="18"/>
              </w:rPr>
              <w:t>17-4.6. Peamiste majandussektorite ajakohastamine ja vastupanuvõime parandamine – 16584_Ettepanekud vesiviljelussektori meetmete kohta</w:t>
            </w:r>
          </w:p>
        </w:tc>
        <w:tc>
          <w:tcPr>
            <w:tcW w:w="1589" w:type="dxa"/>
            <w:tcBorders>
              <w:top w:val="single" w:sz="4" w:space="0" w:color="auto"/>
              <w:left w:val="nil"/>
              <w:bottom w:val="single" w:sz="4" w:space="0" w:color="auto"/>
              <w:right w:val="single" w:sz="4" w:space="0" w:color="auto"/>
            </w:tcBorders>
            <w:shd w:val="clear" w:color="auto" w:fill="C6EFCE"/>
            <w:noWrap/>
          </w:tcPr>
          <w:p w14:paraId="29D7EC8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709" w:type="dxa"/>
            <w:tcBorders>
              <w:top w:val="single" w:sz="4" w:space="0" w:color="auto"/>
              <w:left w:val="nil"/>
              <w:bottom w:val="single" w:sz="4" w:space="0" w:color="auto"/>
              <w:right w:val="single" w:sz="4" w:space="0" w:color="auto"/>
            </w:tcBorders>
            <w:shd w:val="clear" w:color="auto" w:fill="C6EFCE"/>
            <w:noWrap/>
          </w:tcPr>
          <w:p w14:paraId="5B9A16DD" w14:textId="77777777" w:rsidR="00356CBA" w:rsidRPr="00E02B5D" w:rsidRDefault="00356CBA">
            <w:pPr>
              <w:spacing w:after="0" w:line="240" w:lineRule="auto"/>
              <w:rPr>
                <w:rFonts w:eastAsia="Times New Roman"/>
                <w:noProof/>
                <w:color w:val="006100"/>
                <w:sz w:val="18"/>
                <w:szCs w:val="18"/>
              </w:rPr>
            </w:pPr>
            <w:r>
              <w:rPr>
                <w:noProof/>
                <w:color w:val="006100"/>
                <w:sz w:val="18"/>
              </w:rPr>
              <w:t>Vesiviljelus on lõpule viidud</w:t>
            </w:r>
          </w:p>
        </w:tc>
        <w:tc>
          <w:tcPr>
            <w:tcW w:w="2025" w:type="dxa"/>
            <w:tcBorders>
              <w:top w:val="single" w:sz="4" w:space="0" w:color="auto"/>
              <w:left w:val="nil"/>
              <w:bottom w:val="single" w:sz="4" w:space="0" w:color="auto"/>
              <w:right w:val="single" w:sz="4" w:space="0" w:color="auto"/>
            </w:tcBorders>
            <w:shd w:val="clear" w:color="auto" w:fill="C6EFCE"/>
            <w:noWrap/>
          </w:tcPr>
          <w:p w14:paraId="416C06FC" w14:textId="77777777" w:rsidR="00356CBA" w:rsidRPr="00E02B5D" w:rsidRDefault="00356CBA">
            <w:pPr>
              <w:spacing w:after="0" w:line="240" w:lineRule="auto"/>
              <w:rPr>
                <w:rFonts w:eastAsia="Times New Roman"/>
                <w:noProof/>
                <w:color w:val="006100"/>
                <w:sz w:val="18"/>
                <w:szCs w:val="18"/>
              </w:rPr>
            </w:pPr>
            <w:r>
              <w:rPr>
                <w:noProof/>
                <w:color w:val="006100"/>
                <w:sz w:val="18"/>
              </w:rPr>
              <w:t>Valmimisaruanne.</w:t>
            </w:r>
          </w:p>
        </w:tc>
        <w:tc>
          <w:tcPr>
            <w:tcW w:w="977" w:type="dxa"/>
            <w:tcBorders>
              <w:top w:val="single" w:sz="4" w:space="0" w:color="auto"/>
              <w:left w:val="nil"/>
              <w:bottom w:val="single" w:sz="4" w:space="0" w:color="auto"/>
              <w:right w:val="single" w:sz="4" w:space="0" w:color="auto"/>
            </w:tcBorders>
            <w:shd w:val="clear" w:color="auto" w:fill="C6EFCE"/>
            <w:noWrap/>
          </w:tcPr>
          <w:p w14:paraId="6854BE32" w14:textId="77777777" w:rsidR="00356CBA" w:rsidRPr="00E02B5D" w:rsidRDefault="00356CBA">
            <w:pPr>
              <w:spacing w:before="120" w:after="0" w:line="240" w:lineRule="auto"/>
              <w:rPr>
                <w:rFonts w:eastAsia="Times New Roman" w:cs="Calibri"/>
                <w:noProof/>
                <w:color w:val="006100"/>
                <w:sz w:val="18"/>
                <w:szCs w:val="18"/>
                <w:lang w:val="en-GB"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16117D67" w14:textId="77777777" w:rsidR="00356CBA" w:rsidRPr="00E02B5D" w:rsidRDefault="00356CBA">
            <w:pPr>
              <w:spacing w:after="0" w:line="240" w:lineRule="auto"/>
              <w:rPr>
                <w:rFonts w:eastAsia="Times New Roman"/>
                <w:noProof/>
                <w:color w:val="006100"/>
                <w:sz w:val="18"/>
                <w:szCs w:val="18"/>
                <w:lang w:val="en-GB"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380487D9" w14:textId="77777777" w:rsidR="00356CBA" w:rsidRPr="00E02B5D" w:rsidRDefault="00356CBA">
            <w:pPr>
              <w:spacing w:after="0" w:line="240" w:lineRule="auto"/>
              <w:rPr>
                <w:rFonts w:eastAsia="Times New Roman"/>
                <w:noProof/>
                <w:color w:val="006100"/>
                <w:sz w:val="18"/>
                <w:szCs w:val="18"/>
                <w:lang w:val="en-GB" w:eastAsia="en-GB"/>
              </w:rPr>
            </w:pPr>
          </w:p>
        </w:tc>
        <w:tc>
          <w:tcPr>
            <w:tcW w:w="824" w:type="dxa"/>
            <w:tcBorders>
              <w:top w:val="single" w:sz="4" w:space="0" w:color="auto"/>
              <w:left w:val="nil"/>
              <w:bottom w:val="single" w:sz="4" w:space="0" w:color="auto"/>
              <w:right w:val="single" w:sz="4" w:space="0" w:color="auto"/>
            </w:tcBorders>
            <w:shd w:val="clear" w:color="auto" w:fill="C6EFCE"/>
            <w:noWrap/>
          </w:tcPr>
          <w:p w14:paraId="20DC68D9"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87" w:type="dxa"/>
            <w:tcBorders>
              <w:top w:val="single" w:sz="4" w:space="0" w:color="auto"/>
              <w:left w:val="nil"/>
              <w:bottom w:val="single" w:sz="4" w:space="0" w:color="auto"/>
              <w:right w:val="single" w:sz="4" w:space="0" w:color="auto"/>
            </w:tcBorders>
            <w:shd w:val="clear" w:color="auto" w:fill="C6EFCE"/>
            <w:noWrap/>
          </w:tcPr>
          <w:p w14:paraId="42AF1E94" w14:textId="77777777" w:rsidR="00356CBA" w:rsidRPr="00E02B5D" w:rsidRDefault="00356CBA">
            <w:pPr>
              <w:spacing w:after="0" w:line="240" w:lineRule="auto"/>
              <w:rPr>
                <w:rFonts w:eastAsia="Times New Roman"/>
                <w:noProof/>
                <w:color w:val="006100"/>
                <w:sz w:val="18"/>
                <w:szCs w:val="18"/>
              </w:rPr>
            </w:pPr>
            <w:r>
              <w:rPr>
                <w:noProof/>
                <w:color w:val="006100"/>
                <w:sz w:val="18"/>
              </w:rPr>
              <w:t>2025</w:t>
            </w:r>
          </w:p>
        </w:tc>
        <w:tc>
          <w:tcPr>
            <w:tcW w:w="3161" w:type="dxa"/>
            <w:tcBorders>
              <w:top w:val="single" w:sz="4" w:space="0" w:color="auto"/>
              <w:left w:val="nil"/>
              <w:bottom w:val="single" w:sz="4" w:space="0" w:color="auto"/>
              <w:right w:val="single" w:sz="4" w:space="0" w:color="auto"/>
            </w:tcBorders>
            <w:shd w:val="clear" w:color="auto" w:fill="C6EFCE"/>
            <w:noWrap/>
          </w:tcPr>
          <w:p w14:paraId="5334F41F" w14:textId="77777777" w:rsidR="00356CBA" w:rsidRPr="00E02B5D" w:rsidRDefault="00356CBA">
            <w:pPr>
              <w:spacing w:after="0" w:line="240" w:lineRule="auto"/>
              <w:rPr>
                <w:noProof/>
                <w:color w:val="006100"/>
                <w:sz w:val="18"/>
                <w:szCs w:val="18"/>
              </w:rPr>
            </w:pPr>
            <w:r>
              <w:rPr>
                <w:noProof/>
                <w:color w:val="006100"/>
                <w:sz w:val="18"/>
              </w:rPr>
              <w:t>Vesiviljelus: Kõik lõpuleviidud meetmed, mis hõlmavad tootmisüksuste, seadmete, jäätmekäitlusseadmete, uute tehnoloogiate-IKT ajakohastamist, uute toodete edendamist, oskusteabe edasiandmist, geneetilise materjali panka, eksperdinõustamist.</w:t>
            </w:r>
          </w:p>
        </w:tc>
      </w:tr>
      <w:tr w:rsidR="00356CBA" w:rsidRPr="003B132A" w14:paraId="5E9FA4C7" w14:textId="77777777" w:rsidTr="005D5392">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0561871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316</w:t>
            </w:r>
          </w:p>
        </w:tc>
        <w:tc>
          <w:tcPr>
            <w:tcW w:w="2342" w:type="dxa"/>
            <w:tcBorders>
              <w:top w:val="single" w:sz="4" w:space="0" w:color="auto"/>
              <w:left w:val="nil"/>
              <w:bottom w:val="single" w:sz="4" w:space="0" w:color="auto"/>
              <w:right w:val="single" w:sz="4" w:space="0" w:color="auto"/>
            </w:tcBorders>
            <w:shd w:val="clear" w:color="auto" w:fill="C6EFCE"/>
            <w:noWrap/>
          </w:tcPr>
          <w:p w14:paraId="09873946" w14:textId="77777777" w:rsidR="00356CBA" w:rsidRPr="00E02B5D" w:rsidRDefault="00356CBA">
            <w:pPr>
              <w:spacing w:after="0" w:line="240" w:lineRule="auto"/>
              <w:rPr>
                <w:rFonts w:eastAsia="Times New Roman"/>
                <w:noProof/>
                <w:color w:val="006100"/>
                <w:sz w:val="18"/>
                <w:szCs w:val="18"/>
              </w:rPr>
            </w:pPr>
            <w:r>
              <w:rPr>
                <w:noProof/>
                <w:color w:val="006100"/>
                <w:sz w:val="18"/>
              </w:rPr>
              <w:t>4-1.4. Ressursside säästev kasutamine, kliimamuutustele vastupanu võime ja keskkonnakaitse – 16285_Investeeringud riiklikku niisutusvõrku avaliku ja erasektori partnerluse kavade kaudu</w:t>
            </w:r>
          </w:p>
        </w:tc>
        <w:tc>
          <w:tcPr>
            <w:tcW w:w="1589" w:type="dxa"/>
            <w:tcBorders>
              <w:top w:val="single" w:sz="4" w:space="0" w:color="auto"/>
              <w:left w:val="nil"/>
              <w:bottom w:val="single" w:sz="4" w:space="0" w:color="auto"/>
              <w:right w:val="single" w:sz="4" w:space="0" w:color="auto"/>
            </w:tcBorders>
            <w:shd w:val="clear" w:color="auto" w:fill="C6EFCE"/>
            <w:noWrap/>
          </w:tcPr>
          <w:p w14:paraId="23ACD858"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709" w:type="dxa"/>
            <w:tcBorders>
              <w:top w:val="single" w:sz="4" w:space="0" w:color="auto"/>
              <w:left w:val="nil"/>
              <w:bottom w:val="single" w:sz="4" w:space="0" w:color="auto"/>
              <w:right w:val="single" w:sz="4" w:space="0" w:color="auto"/>
            </w:tcBorders>
            <w:shd w:val="clear" w:color="auto" w:fill="C6EFCE"/>
            <w:noWrap/>
          </w:tcPr>
          <w:p w14:paraId="38F47E5D" w14:textId="77777777" w:rsidR="00356CBA" w:rsidRPr="00E02B5D" w:rsidRDefault="00356CBA">
            <w:pPr>
              <w:spacing w:after="0" w:line="240" w:lineRule="auto"/>
              <w:rPr>
                <w:rFonts w:eastAsia="Times New Roman"/>
                <w:noProof/>
                <w:color w:val="006100"/>
                <w:sz w:val="18"/>
                <w:szCs w:val="18"/>
              </w:rPr>
            </w:pPr>
            <w:r>
              <w:rPr>
                <w:noProof/>
                <w:color w:val="006100"/>
                <w:sz w:val="18"/>
              </w:rPr>
              <w:t>Niisutuse lõpuleviimine</w:t>
            </w:r>
          </w:p>
        </w:tc>
        <w:tc>
          <w:tcPr>
            <w:tcW w:w="2025" w:type="dxa"/>
            <w:tcBorders>
              <w:top w:val="single" w:sz="4" w:space="0" w:color="auto"/>
              <w:left w:val="nil"/>
              <w:bottom w:val="single" w:sz="4" w:space="0" w:color="auto"/>
              <w:right w:val="single" w:sz="4" w:space="0" w:color="auto"/>
            </w:tcBorders>
            <w:shd w:val="clear" w:color="auto" w:fill="C6EFCE"/>
            <w:noWrap/>
          </w:tcPr>
          <w:p w14:paraId="16A079D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Projekti lõpuleviimine vastavalt maaelu arengu ministeeriumi kinnitatud sõltumatu inseneri tunnistusele.</w:t>
            </w:r>
          </w:p>
        </w:tc>
        <w:tc>
          <w:tcPr>
            <w:tcW w:w="977" w:type="dxa"/>
            <w:tcBorders>
              <w:top w:val="single" w:sz="4" w:space="0" w:color="auto"/>
              <w:left w:val="nil"/>
              <w:bottom w:val="single" w:sz="4" w:space="0" w:color="auto"/>
              <w:right w:val="single" w:sz="4" w:space="0" w:color="auto"/>
            </w:tcBorders>
            <w:shd w:val="clear" w:color="auto" w:fill="C6EFCE"/>
            <w:noWrap/>
          </w:tcPr>
          <w:p w14:paraId="256E446F" w14:textId="77777777" w:rsidR="00356CBA" w:rsidRPr="00AD4052" w:rsidRDefault="00356CBA">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14:paraId="12441352" w14:textId="77777777" w:rsidR="00356CBA" w:rsidRPr="00AD4052" w:rsidRDefault="00356CBA">
            <w:pPr>
              <w:spacing w:after="0" w:line="240" w:lineRule="auto"/>
              <w:rPr>
                <w:rFonts w:eastAsia="Times New Roman"/>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58A5DEB8" w14:textId="77777777" w:rsidR="00356CBA" w:rsidRPr="00AD4052" w:rsidRDefault="00356CBA">
            <w:pPr>
              <w:spacing w:after="0" w:line="240" w:lineRule="auto"/>
              <w:rPr>
                <w:rFonts w:eastAsia="Times New Roman"/>
                <w:noProof/>
                <w:color w:val="006100"/>
                <w:sz w:val="18"/>
                <w:szCs w:val="18"/>
                <w:lang w:eastAsia="en-GB"/>
              </w:rPr>
            </w:pPr>
          </w:p>
        </w:tc>
        <w:tc>
          <w:tcPr>
            <w:tcW w:w="824" w:type="dxa"/>
            <w:tcBorders>
              <w:top w:val="single" w:sz="4" w:space="0" w:color="auto"/>
              <w:left w:val="nil"/>
              <w:bottom w:val="single" w:sz="4" w:space="0" w:color="auto"/>
              <w:right w:val="single" w:sz="4" w:space="0" w:color="auto"/>
            </w:tcBorders>
            <w:shd w:val="clear" w:color="auto" w:fill="C6EFCE"/>
            <w:noWrap/>
          </w:tcPr>
          <w:p w14:paraId="6E5E1FF1" w14:textId="77777777" w:rsidR="00356CBA" w:rsidRPr="00E02B5D" w:rsidRDefault="00356CBA">
            <w:pPr>
              <w:spacing w:after="0" w:line="240" w:lineRule="auto"/>
              <w:rPr>
                <w:rFonts w:eastAsia="Times New Roman"/>
                <w:noProof/>
                <w:color w:val="006100"/>
                <w:sz w:val="18"/>
                <w:szCs w:val="18"/>
              </w:rPr>
            </w:pPr>
            <w:r>
              <w:rPr>
                <w:noProof/>
                <w:color w:val="006100"/>
                <w:sz w:val="18"/>
              </w:rPr>
              <w:t>4. kv</w:t>
            </w:r>
          </w:p>
        </w:tc>
        <w:tc>
          <w:tcPr>
            <w:tcW w:w="687" w:type="dxa"/>
            <w:tcBorders>
              <w:top w:val="single" w:sz="4" w:space="0" w:color="auto"/>
              <w:left w:val="nil"/>
              <w:bottom w:val="single" w:sz="4" w:space="0" w:color="auto"/>
              <w:right w:val="single" w:sz="4" w:space="0" w:color="auto"/>
            </w:tcBorders>
            <w:shd w:val="clear" w:color="auto" w:fill="C6EFCE"/>
            <w:noWrap/>
          </w:tcPr>
          <w:p w14:paraId="2BFC5E5B" w14:textId="77777777" w:rsidR="00356CBA" w:rsidRPr="00E02B5D" w:rsidRDefault="00356CBA">
            <w:pPr>
              <w:spacing w:after="0" w:line="240" w:lineRule="auto"/>
              <w:rPr>
                <w:rFonts w:eastAsia="Times New Roman"/>
                <w:noProof/>
                <w:color w:val="006100"/>
                <w:sz w:val="18"/>
                <w:szCs w:val="18"/>
              </w:rPr>
            </w:pPr>
            <w:r>
              <w:rPr>
                <w:noProof/>
                <w:color w:val="006100"/>
                <w:sz w:val="18"/>
              </w:rPr>
              <w:t>2025</w:t>
            </w:r>
          </w:p>
        </w:tc>
        <w:tc>
          <w:tcPr>
            <w:tcW w:w="3161" w:type="dxa"/>
            <w:tcBorders>
              <w:top w:val="single" w:sz="4" w:space="0" w:color="auto"/>
              <w:left w:val="nil"/>
              <w:bottom w:val="single" w:sz="4" w:space="0" w:color="auto"/>
              <w:right w:val="single" w:sz="4" w:space="0" w:color="auto"/>
            </w:tcBorders>
            <w:shd w:val="clear" w:color="auto" w:fill="C6EFCE"/>
            <w:noWrap/>
          </w:tcPr>
          <w:p w14:paraId="0BBCA201" w14:textId="77777777" w:rsidR="00356CBA" w:rsidRPr="00E02B5D" w:rsidRDefault="00356CBA">
            <w:pPr>
              <w:spacing w:after="0" w:line="240" w:lineRule="auto"/>
              <w:rPr>
                <w:noProof/>
                <w:color w:val="006100"/>
                <w:sz w:val="18"/>
                <w:szCs w:val="18"/>
              </w:rPr>
            </w:pPr>
            <w:r>
              <w:rPr>
                <w:noProof/>
                <w:color w:val="006100"/>
                <w:sz w:val="18"/>
              </w:rPr>
              <w:t>Kastmine: Kõik seitse projekti on lõpule viidud.</w:t>
            </w:r>
          </w:p>
        </w:tc>
      </w:tr>
    </w:tbl>
    <w:p w14:paraId="2D814AC6" w14:textId="77777777" w:rsidR="00356CBA" w:rsidRPr="00E02B5D" w:rsidRDefault="00356CBA" w:rsidP="00645BC7">
      <w:pPr>
        <w:spacing w:before="120" w:after="120" w:line="240" w:lineRule="auto"/>
        <w:ind w:left="709"/>
        <w:jc w:val="both"/>
        <w:rPr>
          <w:rFonts w:ascii="Times New Roman" w:hAnsi="Times New Roman" w:cs="Times New Roman"/>
          <w:noProof/>
          <w:sz w:val="24"/>
          <w:szCs w:val="24"/>
          <w:lang w:val="en-GB"/>
        </w:rPr>
      </w:pPr>
    </w:p>
    <w:p w14:paraId="3077A1E0" w14:textId="77777777" w:rsidR="00356CBA" w:rsidRPr="00E02B5D" w:rsidRDefault="00356CBA" w:rsidP="00645BC7">
      <w:pPr>
        <w:spacing w:before="120" w:after="120" w:line="240" w:lineRule="auto"/>
        <w:ind w:left="709"/>
        <w:jc w:val="both"/>
        <w:rPr>
          <w:rFonts w:ascii="Times New Roman" w:hAnsi="Times New Roman" w:cs="Times New Roman"/>
          <w:noProof/>
          <w:sz w:val="24"/>
          <w:lang w:val="en-GB"/>
        </w:rPr>
        <w:sectPr w:rsidR="00356CBA" w:rsidRPr="00E02B5D" w:rsidSect="00271D33">
          <w:headerReference w:type="even" r:id="rId362"/>
          <w:headerReference w:type="default" r:id="rId363"/>
          <w:footerReference w:type="even" r:id="rId364"/>
          <w:footerReference w:type="default" r:id="rId365"/>
          <w:headerReference w:type="first" r:id="rId366"/>
          <w:footerReference w:type="first" r:id="rId367"/>
          <w:pgSz w:w="16839" w:h="11907" w:orient="landscape"/>
          <w:pgMar w:top="720" w:right="720" w:bottom="720" w:left="720" w:header="709" w:footer="501" w:gutter="0"/>
          <w:cols w:space="720"/>
          <w:docGrid w:linePitch="360"/>
        </w:sectPr>
      </w:pPr>
    </w:p>
    <w:p w14:paraId="7889D853" w14:textId="77777777" w:rsidR="00356CBA" w:rsidRPr="00E02B5D" w:rsidRDefault="00356CBA"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R. KOMPONENT 4.7. PARANDADA KONKURENTSIVÕIMET NING EDENDADA ERAINVESTEERINGUID JA EKSPORTI</w:t>
      </w:r>
    </w:p>
    <w:p w14:paraId="5B3CF311"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selle komponendi eesmärk on stimuleerida erainvesteeringuid ja suurendada majanduslikku avatust, tegeledes pikaajaliste struktuuriprobleemidega ja luues majandustegevuse arengut soodustava ettevõtluskeskkonna. See hõlmab meetmeid, mille eesmärk on soodustada ettevõtete kasvu, et saavutada mastaabisääst ja aidata neil siseneda välisturgudele, vähendada ettevõtjate liigset halduskoormust, edendada tõhusa turujärelevalve abil nõuete täitmist ja võrdseid tingimusi ning luua lihtsam ja prognoositavam õigusraamistik. Neid meetmeid täiendab ettepanek kasutada taaste- ja vastupidavusrahastust antavat laenutoetust, et hõlbustada erasektorile rahaliste stiimulite pakkumist, mille eesmärk on edendada erainvesteeringuid. See laenutoetus suunatakse eeldatavasti majandusse kolme eri kanali kaudu, nimelt finantseerimisasutuste kaudu (äriühingu võlakirjade ostmise või sündikaatlaenude kaudu), omakapitali platvormi kaudu ja Kreeka InvestEU riikliku osa osalise kasutamise kaudu. Komponent toetab avaliku ja erasektori investeeringuid käsitleva riigipõhise soovituse (riigipõhine soovitus 3/2020 ja riigipõhine soovitus 2/2019) elluviimist. Eeldatakse, et ükski selle komponendi meede ei kahjusta märkimisväärselt keskkonnaeesmärke määruse (EL) 2020/852 artikli 17 tähenduses, võttes arvesse taaste- ja vastupidavuskavas sätestatud meetmete kirjeldust ja leevendavaid meetmeid kooskõlas tehniliste suunistega põhimõtte „ei kahjusta oluliselt“ kohaldamise kohta (2021/C58/01).</w:t>
      </w:r>
    </w:p>
    <w:p w14:paraId="4C45CA63" w14:textId="77777777" w:rsidR="00356CBA" w:rsidRPr="00E02B5D" w:rsidRDefault="00356CBA" w:rsidP="00645BC7">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R.1. </w:t>
      </w:r>
      <w:r>
        <w:rPr>
          <w:noProof/>
        </w:rPr>
        <w:tab/>
      </w:r>
      <w:r>
        <w:rPr>
          <w:rFonts w:ascii="Times New Roman" w:hAnsi="Times New Roman"/>
          <w:b/>
          <w:noProof/>
          <w:sz w:val="24"/>
          <w:u w:val="single"/>
        </w:rPr>
        <w:t>Tagastamatu rahalise toetusega seotud reformide ja investeeringute kirjeldus</w:t>
      </w:r>
    </w:p>
    <w:p w14:paraId="2C72116E"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Meetmed ettevõtluskeskkonna lihtsustamiseks ning selle kvaliteedi ja ohutuse parandamiseks (meetme ID 16543)</w:t>
      </w:r>
    </w:p>
    <w:p w14:paraId="2F137E28"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luua investeeringuid soodustav atraktiivne ettevõtluskeskkond, hõlbustada ettevõtete turule sisenemist ja töökohtade loomist ning tagada tõhus turujärelevalve. Reform hõlmab meetmeid äritegevusega seotud menetluste ja nõuete lihtsustamiseks, suurendades samal ajal õiguskindlust ja kvaliteeti, eelkõige laiendades investeeringute litsentsimise menetluste lihtsustamist täiendavale majandustegevusele, vaadates läbi tootmistegevuse õigusraamistiku Atika piirkonnas ning kodifitseerides killustatud litsentseerimisalased õigusaktid. Reform hõlmab ka turujärelevalve raamistiku parandamise meetmeid, nimelt standardimise, akrediteerimise ja vastavuse kvaliteedipoliitika läbivaatamist, turujärelevalve struktuuride ja vastutavate asutuste tugevdamist ning järelevalveraamistiku laiendamist uutele kontrollivaldkondadele. Reformi rakendamine viiakse lõpule 31. detsembriks 2025.</w:t>
      </w:r>
    </w:p>
    <w:p w14:paraId="19DB8C2A"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Äritegevuse lihtsus (meetme ID 16591)</w:t>
      </w:r>
    </w:p>
    <w:p w14:paraId="169CF39D"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parandada ettevõtluskeskkonda ning vähendada ettevõtjate haldus- ja regulatiivset koormust. Reformi eesmärk on ka parandada Kreeka näitajate positsiooni rahvusvaheliste näitajate seas, eelkõige võrreldes Maailmapanga indeksiga lihtsus äritegevuses, nimelt laenu saamine, elektri saamine, kinnisvara registreerimine ja ehitusloa saamine, vähendades menetlusi, aega ja kulusid ning tagades stabiilse ja prognoositava õigusraamistiku. Täpsemalt koosneb see mitmest sekkumisest, mille eesmärk on vähendada protsesside keerukust, kulusid ja iga eespool nimetatud valdkonnaga seotud aega, samuti sellistesse protsessidesse kaasatud avaliku sektori töötajate koolitamist ja peamiste sidusrühmade teavitamist. Reformi rakendamine viiakse lõpule 30. juuni 2024.</w:t>
      </w:r>
    </w:p>
    <w:p w14:paraId="720BEB09" w14:textId="77777777" w:rsidR="00E2773E" w:rsidRPr="00AD4052" w:rsidRDefault="00E2773E" w:rsidP="00645BC7">
      <w:pPr>
        <w:spacing w:before="120" w:after="120" w:line="240" w:lineRule="auto"/>
        <w:jc w:val="both"/>
        <w:rPr>
          <w:rFonts w:ascii="Times New Roman" w:hAnsi="Times New Roman"/>
          <w:b/>
          <w:noProof/>
          <w:sz w:val="24"/>
        </w:rPr>
        <w:sectPr w:rsidR="00E2773E" w:rsidRPr="00AD4052" w:rsidSect="00271D33">
          <w:headerReference w:type="even" r:id="rId368"/>
          <w:headerReference w:type="default" r:id="rId369"/>
          <w:footerReference w:type="even" r:id="rId370"/>
          <w:footerReference w:type="default" r:id="rId371"/>
          <w:headerReference w:type="first" r:id="rId372"/>
          <w:footerReference w:type="first" r:id="rId373"/>
          <w:pgSz w:w="11907" w:h="16839"/>
          <w:pgMar w:top="1134" w:right="1417" w:bottom="1134" w:left="1417" w:header="709" w:footer="327" w:gutter="0"/>
          <w:cols w:space="720"/>
          <w:docGrid w:linePitch="360"/>
        </w:sectPr>
      </w:pPr>
    </w:p>
    <w:p w14:paraId="4E44A7D6"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noProof/>
          <w:sz w:val="24"/>
        </w:rPr>
        <w:t xml:space="preserve"> Tootlikkuse stimuleerimise kord ja ettevõtete avatus (ettevõtete suurendamine) (meetme ID 16598)</w:t>
      </w:r>
    </w:p>
    <w:p w14:paraId="3AE7A86A"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Reformi eesmärk on kõrvaldada puudused, mis on seotud peamiselt Kreeka ettevõtete väiksusega. Sellega luuakse rida makse ja muid stiimuleid, et julgustada füüsilisest isikust ettevõtjaid ning mikro-, väikeseid ja keskmise suurusega ettevõtjaid suurendama mastaabisäästu ühinemiste, ümberkujundamiste, omandamiste ja koostöökavade ning -platvormide kaudu, nagu ühisettevõtted, klastrid, mis edendavad ka suuremat tootlikkust ja suuremat eksporti. Reformi rakendamine viiakse lõpule 31. märts 2022.</w:t>
      </w:r>
    </w:p>
    <w:p w14:paraId="6434C505" w14:textId="77777777" w:rsidR="00356CBA" w:rsidRPr="00E02B5D" w:rsidRDefault="00356CBA" w:rsidP="00645BC7">
      <w:pPr>
        <w:spacing w:before="120" w:after="120" w:line="240" w:lineRule="auto"/>
        <w:ind w:left="709"/>
        <w:jc w:val="both"/>
        <w:rPr>
          <w:rFonts w:ascii="Times New Roman" w:hAnsi="Times New Roman" w:cs="Times New Roman"/>
          <w:noProof/>
          <w:sz w:val="24"/>
        </w:rPr>
      </w:pPr>
      <w:r>
        <w:rPr>
          <w:rFonts w:ascii="Times New Roman" w:hAnsi="Times New Roman"/>
          <w:i/>
          <w:noProof/>
          <w:color w:val="4F81BD"/>
          <w:sz w:val="24"/>
        </w:rPr>
        <w:t>.</w:t>
      </w:r>
    </w:p>
    <w:p w14:paraId="57773AD7" w14:textId="77777777" w:rsidR="00356CBA" w:rsidRPr="00AD4052" w:rsidRDefault="00356CBA" w:rsidP="00645BC7">
      <w:pPr>
        <w:spacing w:before="120" w:after="120" w:line="240" w:lineRule="auto"/>
        <w:ind w:left="709"/>
        <w:jc w:val="both"/>
        <w:rPr>
          <w:rFonts w:ascii="Times New Roman" w:hAnsi="Times New Roman" w:cs="Times New Roman"/>
          <w:noProof/>
          <w:sz w:val="24"/>
        </w:rPr>
        <w:sectPr w:rsidR="00356CBA" w:rsidRPr="00AD4052" w:rsidSect="00271D33">
          <w:headerReference w:type="even" r:id="rId374"/>
          <w:headerReference w:type="default" r:id="rId375"/>
          <w:footerReference w:type="even" r:id="rId376"/>
          <w:footerReference w:type="default" r:id="rId377"/>
          <w:headerReference w:type="first" r:id="rId378"/>
          <w:footerReference w:type="first" r:id="rId379"/>
          <w:pgSz w:w="11907" w:h="16839"/>
          <w:pgMar w:top="1134" w:right="1417" w:bottom="1134" w:left="1417" w:header="709" w:footer="709" w:gutter="0"/>
          <w:cols w:space="720"/>
          <w:docGrid w:linePitch="360"/>
        </w:sectPr>
      </w:pPr>
    </w:p>
    <w:p w14:paraId="141924C6" w14:textId="77777777" w:rsidR="00356CBA" w:rsidRPr="00E02B5D" w:rsidRDefault="00356CBA" w:rsidP="00645BC7">
      <w:pPr>
        <w:spacing w:before="120" w:after="120" w:line="240" w:lineRule="auto"/>
        <w:ind w:left="709"/>
        <w:jc w:val="both"/>
        <w:rPr>
          <w:rFonts w:ascii="Times New Roman" w:hAnsi="Times New Roman" w:cs="Times New Roman"/>
          <w:b/>
          <w:noProof/>
          <w:sz w:val="24"/>
          <w:u w:val="single"/>
        </w:rPr>
      </w:pPr>
      <w:r>
        <w:rPr>
          <w:rFonts w:ascii="Times New Roman" w:hAnsi="Times New Roman"/>
          <w:b/>
          <w:noProof/>
          <w:sz w:val="24"/>
          <w:u w:val="single"/>
        </w:rPr>
        <w:t xml:space="preserve">R.2. </w:t>
      </w:r>
      <w:r>
        <w:rPr>
          <w:noProof/>
        </w:rPr>
        <w:tab/>
      </w:r>
      <w:r>
        <w:rPr>
          <w:rFonts w:ascii="Times New Roman" w:hAnsi="Times New Roman"/>
          <w:b/>
          <w:noProof/>
          <w:sz w:val="24"/>
          <w:u w:val="single"/>
        </w:rPr>
        <w:t>Tagastamatu rahalise toetuse eesmärgid, sihid, näitajad ning seire ja rakendamise ajakava</w:t>
      </w:r>
    </w:p>
    <w:p w14:paraId="23A46B2A" w14:textId="77777777" w:rsidR="00356CBA" w:rsidRPr="00AD4052" w:rsidRDefault="00356CBA" w:rsidP="0092204B">
      <w:pPr>
        <w:rPr>
          <w:noProof/>
        </w:rPr>
      </w:pPr>
    </w:p>
    <w:p w14:paraId="75AFFCAD" w14:textId="77777777" w:rsidR="00356CBA" w:rsidRDefault="00356CBA" w:rsidP="00645BC7">
      <w:pPr>
        <w:keepNext/>
        <w:keepLines/>
        <w:spacing w:before="40" w:after="0" w:line="240" w:lineRule="auto"/>
        <w:jc w:val="both"/>
        <w:outlineLvl w:val="4"/>
        <w:rPr>
          <w:rFonts w:ascii="Cambria" w:hAnsi="Cambria"/>
          <w:noProof/>
          <w:color w:val="365F91"/>
          <w:sz w:val="24"/>
        </w:rPr>
      </w:pPr>
      <w:r>
        <w:rPr>
          <w:rFonts w:ascii="Cambria" w:hAnsi="Cambria"/>
          <w:noProof/>
          <w:color w:val="365F91"/>
          <w:sz w:val="24"/>
        </w:rPr>
        <w:t>Põhireform 10: Meetmed ettevõtluskeskkonna lihtsustamiseks ning selle kvaliteedi ja ohutuse parandamiseks – Ettevõtluskeskkond</w:t>
      </w:r>
    </w:p>
    <w:p w14:paraId="7B7D718E" w14:textId="77777777" w:rsidR="00E2773E" w:rsidRPr="00AD4052" w:rsidRDefault="00E2773E" w:rsidP="00645BC7">
      <w:pPr>
        <w:keepNext/>
        <w:keepLines/>
        <w:spacing w:before="40" w:after="0" w:line="240" w:lineRule="auto"/>
        <w:jc w:val="both"/>
        <w:outlineLvl w:val="4"/>
        <w:rPr>
          <w:rFonts w:ascii="Cambria" w:eastAsia="Times New Roman" w:hAnsi="Cambria"/>
          <w:noProof/>
          <w:color w:val="365F91"/>
          <w:sz w:val="24"/>
          <w:szCs w:val="24"/>
        </w:rPr>
      </w:pPr>
    </w:p>
    <w:tbl>
      <w:tblPr>
        <w:tblW w:w="15502" w:type="dxa"/>
        <w:jc w:val="center"/>
        <w:tblLook w:val="04A0" w:firstRow="1" w:lastRow="0" w:firstColumn="1" w:lastColumn="0" w:noHBand="0" w:noVBand="1"/>
      </w:tblPr>
      <w:tblGrid>
        <w:gridCol w:w="1129"/>
        <w:gridCol w:w="1735"/>
        <w:gridCol w:w="966"/>
        <w:gridCol w:w="1733"/>
        <w:gridCol w:w="1780"/>
        <w:gridCol w:w="983"/>
        <w:gridCol w:w="966"/>
        <w:gridCol w:w="906"/>
        <w:gridCol w:w="987"/>
        <w:gridCol w:w="707"/>
        <w:gridCol w:w="4449"/>
      </w:tblGrid>
      <w:tr w:rsidR="00356CBA" w:rsidRPr="003B132A" w14:paraId="4EEE6104" w14:textId="77777777" w:rsidTr="00E2773E">
        <w:trPr>
          <w:trHeight w:val="685"/>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67A4668" w14:textId="68653ED9"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w:t>
            </w:r>
            <w:r w:rsidR="005D5392">
              <w:rPr>
                <w:rFonts w:ascii="Times New Roman" w:hAnsi="Times New Roman"/>
                <w:b/>
                <w:noProof/>
                <w:sz w:val="18"/>
              </w:rPr>
              <w:t>-</w:t>
            </w:r>
            <w:r>
              <w:rPr>
                <w:rFonts w:ascii="Times New Roman" w:hAnsi="Times New Roman"/>
                <w:b/>
                <w:noProof/>
                <w:sz w:val="18"/>
              </w:rPr>
              <w:t>number</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BEBB3F5"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63B657"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592" w:type="dxa"/>
            <w:vMerge w:val="restart"/>
            <w:tcBorders>
              <w:top w:val="single" w:sz="4" w:space="0" w:color="auto"/>
              <w:left w:val="nil"/>
              <w:bottom w:val="single" w:sz="4" w:space="0" w:color="auto"/>
              <w:right w:val="single" w:sz="4" w:space="0" w:color="auto"/>
            </w:tcBorders>
            <w:shd w:val="clear" w:color="auto" w:fill="BDD7EE"/>
            <w:vAlign w:val="center"/>
            <w:hideMark/>
          </w:tcPr>
          <w:p w14:paraId="2856F6A8"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4156B6"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667" w:type="dxa"/>
            <w:gridSpan w:val="3"/>
            <w:tcBorders>
              <w:top w:val="single" w:sz="4" w:space="0" w:color="auto"/>
              <w:left w:val="nil"/>
              <w:bottom w:val="single" w:sz="4" w:space="0" w:color="auto"/>
              <w:right w:val="single" w:sz="4" w:space="0" w:color="auto"/>
            </w:tcBorders>
            <w:shd w:val="clear" w:color="auto" w:fill="BDD7EE"/>
            <w:vAlign w:val="center"/>
            <w:hideMark/>
          </w:tcPr>
          <w:p w14:paraId="04A84921"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694" w:type="dxa"/>
            <w:gridSpan w:val="2"/>
            <w:tcBorders>
              <w:top w:val="single" w:sz="4" w:space="0" w:color="auto"/>
              <w:left w:val="nil"/>
              <w:bottom w:val="single" w:sz="4" w:space="0" w:color="auto"/>
              <w:right w:val="single" w:sz="4" w:space="0" w:color="auto"/>
            </w:tcBorders>
            <w:shd w:val="clear" w:color="auto" w:fill="BDD7EE"/>
            <w:vAlign w:val="center"/>
            <w:hideMark/>
          </w:tcPr>
          <w:p w14:paraId="470A35A1"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4449" w:type="dxa"/>
            <w:vMerge w:val="restart"/>
            <w:tcBorders>
              <w:top w:val="single" w:sz="4" w:space="0" w:color="auto"/>
              <w:left w:val="single" w:sz="4" w:space="0" w:color="auto"/>
              <w:right w:val="single" w:sz="4" w:space="0" w:color="auto"/>
            </w:tcBorders>
            <w:shd w:val="clear" w:color="auto" w:fill="BDD7EE"/>
            <w:vAlign w:val="center"/>
            <w:hideMark/>
          </w:tcPr>
          <w:p w14:paraId="6DB835A1"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356CBA" w:rsidRPr="00E02B5D" w14:paraId="2FD958E1" w14:textId="77777777" w:rsidTr="00E2773E">
        <w:trPr>
          <w:trHeight w:val="458"/>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A0CB64A"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44B9F49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2CE86E04"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592" w:type="dxa"/>
            <w:vMerge/>
            <w:tcBorders>
              <w:top w:val="single" w:sz="4" w:space="0" w:color="auto"/>
              <w:left w:val="nil"/>
              <w:bottom w:val="single" w:sz="4" w:space="0" w:color="auto"/>
              <w:right w:val="single" w:sz="4" w:space="0" w:color="auto"/>
            </w:tcBorders>
            <w:vAlign w:val="center"/>
            <w:hideMark/>
          </w:tcPr>
          <w:p w14:paraId="6BD15549"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58C1B67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83" w:type="dxa"/>
            <w:tcBorders>
              <w:top w:val="single" w:sz="4" w:space="0" w:color="auto"/>
              <w:left w:val="nil"/>
              <w:bottom w:val="single" w:sz="4" w:space="0" w:color="auto"/>
              <w:right w:val="single" w:sz="4" w:space="0" w:color="auto"/>
            </w:tcBorders>
            <w:shd w:val="clear" w:color="auto" w:fill="BDD7EE"/>
            <w:vAlign w:val="center"/>
            <w:hideMark/>
          </w:tcPr>
          <w:p w14:paraId="1A812708"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14:paraId="67C31BCB"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827" w:type="dxa"/>
            <w:tcBorders>
              <w:top w:val="single" w:sz="4" w:space="0" w:color="auto"/>
              <w:left w:val="nil"/>
              <w:bottom w:val="single" w:sz="4" w:space="0" w:color="auto"/>
              <w:right w:val="single" w:sz="4" w:space="0" w:color="auto"/>
            </w:tcBorders>
            <w:shd w:val="clear" w:color="auto" w:fill="BDD7EE"/>
            <w:vAlign w:val="center"/>
            <w:hideMark/>
          </w:tcPr>
          <w:p w14:paraId="430E3C4C"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987" w:type="dxa"/>
            <w:tcBorders>
              <w:top w:val="single" w:sz="4" w:space="0" w:color="auto"/>
              <w:left w:val="nil"/>
              <w:bottom w:val="single" w:sz="4" w:space="0" w:color="auto"/>
              <w:right w:val="single" w:sz="4" w:space="0" w:color="auto"/>
            </w:tcBorders>
            <w:shd w:val="clear" w:color="auto" w:fill="BDD7EE"/>
            <w:vAlign w:val="center"/>
            <w:hideMark/>
          </w:tcPr>
          <w:p w14:paraId="142C0BA0"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07" w:type="dxa"/>
            <w:tcBorders>
              <w:top w:val="single" w:sz="4" w:space="0" w:color="auto"/>
              <w:left w:val="nil"/>
              <w:bottom w:val="single" w:sz="4" w:space="0" w:color="auto"/>
              <w:right w:val="single" w:sz="4" w:space="0" w:color="auto"/>
            </w:tcBorders>
            <w:shd w:val="clear" w:color="auto" w:fill="BDD7EE"/>
            <w:vAlign w:val="center"/>
            <w:hideMark/>
          </w:tcPr>
          <w:p w14:paraId="78C6AEB2" w14:textId="77777777" w:rsidR="00356CBA" w:rsidRPr="00E02B5D" w:rsidRDefault="00356CBA">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4449" w:type="dxa"/>
            <w:vMerge/>
            <w:tcBorders>
              <w:left w:val="single" w:sz="4" w:space="0" w:color="auto"/>
              <w:bottom w:val="single" w:sz="4" w:space="0" w:color="auto"/>
              <w:right w:val="single" w:sz="4" w:space="0" w:color="auto"/>
            </w:tcBorders>
            <w:vAlign w:val="center"/>
            <w:hideMark/>
          </w:tcPr>
          <w:p w14:paraId="7928DDFE"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356CBA" w:rsidRPr="003B132A" w14:paraId="62A7FB74" w14:textId="77777777" w:rsidTr="0098678B">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033701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317</w:t>
            </w:r>
          </w:p>
        </w:tc>
        <w:tc>
          <w:tcPr>
            <w:tcW w:w="1311" w:type="dxa"/>
            <w:tcBorders>
              <w:top w:val="single" w:sz="4" w:space="0" w:color="auto"/>
              <w:left w:val="nil"/>
              <w:bottom w:val="single" w:sz="4" w:space="0" w:color="auto"/>
              <w:right w:val="single" w:sz="4" w:space="0" w:color="auto"/>
            </w:tcBorders>
            <w:shd w:val="clear" w:color="auto" w:fill="C6EFCE"/>
            <w:noWrap/>
          </w:tcPr>
          <w:p w14:paraId="1060706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18-4.7. Parandada konkurentsivõimet ning edendada erainvesteeringuid ja eksporti – 16543_Meetmed ettevõtluskeskkonna lihtsustamiseks ning selle kvaliteedi ja ohutuse parandamiseks</w:t>
            </w:r>
          </w:p>
        </w:tc>
        <w:tc>
          <w:tcPr>
            <w:tcW w:w="966" w:type="dxa"/>
            <w:tcBorders>
              <w:top w:val="single" w:sz="4" w:space="0" w:color="auto"/>
              <w:left w:val="nil"/>
              <w:bottom w:val="single" w:sz="4" w:space="0" w:color="auto"/>
              <w:right w:val="single" w:sz="4" w:space="0" w:color="auto"/>
            </w:tcBorders>
            <w:shd w:val="clear" w:color="auto" w:fill="C6EFCE"/>
            <w:noWrap/>
          </w:tcPr>
          <w:p w14:paraId="5EC5334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592" w:type="dxa"/>
            <w:tcBorders>
              <w:top w:val="single" w:sz="4" w:space="0" w:color="auto"/>
              <w:left w:val="nil"/>
              <w:bottom w:val="single" w:sz="4" w:space="0" w:color="auto"/>
              <w:right w:val="single" w:sz="4" w:space="0" w:color="auto"/>
            </w:tcBorders>
            <w:shd w:val="clear" w:color="auto" w:fill="C6EFCE"/>
            <w:noWrap/>
          </w:tcPr>
          <w:p w14:paraId="4E4C068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Kvaliteedipoliitika ja uue reguleeriva raamistiku kehtestamine kvaliteetse infrastruktuuri jaoks </w:t>
            </w:r>
          </w:p>
        </w:tc>
        <w:tc>
          <w:tcPr>
            <w:tcW w:w="1694" w:type="dxa"/>
            <w:tcBorders>
              <w:top w:val="single" w:sz="4" w:space="0" w:color="auto"/>
              <w:left w:val="nil"/>
              <w:bottom w:val="single" w:sz="4" w:space="0" w:color="auto"/>
              <w:right w:val="single" w:sz="4" w:space="0" w:color="auto"/>
            </w:tcBorders>
            <w:shd w:val="clear" w:color="auto" w:fill="C6EFCE"/>
            <w:noWrap/>
          </w:tcPr>
          <w:p w14:paraId="55A4231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Võtta vastu Kreeka riiklik strateegia kvaliteedi infrastruktuuri kohta ning võtta vajalike õigusaktide abil vastu vajalikke volitusi andev määrus standardimise, metroloogia, akrediteerimise ja vastavushindamise kohta (esitada viide Euroopa Liidu Teatajale); ning võtta vastu seaduse 3325/2005 (B osa, mis käsitleb tootmistegevuse alustamist, laiendamist ja ajakohastamist Atika piirkonnas) seadusemuudatused.</w:t>
            </w:r>
          </w:p>
        </w:tc>
        <w:tc>
          <w:tcPr>
            <w:tcW w:w="983" w:type="dxa"/>
            <w:tcBorders>
              <w:top w:val="single" w:sz="4" w:space="0" w:color="auto"/>
              <w:left w:val="nil"/>
              <w:bottom w:val="single" w:sz="4" w:space="0" w:color="auto"/>
              <w:right w:val="single" w:sz="4" w:space="0" w:color="auto"/>
            </w:tcBorders>
            <w:shd w:val="clear" w:color="auto" w:fill="C6EFCE"/>
            <w:noWrap/>
          </w:tcPr>
          <w:p w14:paraId="14E226D5" w14:textId="77777777" w:rsidR="00356CBA" w:rsidRPr="00AD4052" w:rsidRDefault="00356CBA">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14:paraId="42F8832F" w14:textId="77777777" w:rsidR="00356CBA" w:rsidRPr="00AD4052" w:rsidRDefault="00356CBA">
            <w:pPr>
              <w:spacing w:after="0" w:line="240" w:lineRule="auto"/>
              <w:rPr>
                <w:rFonts w:eastAsia="Times New Roman" w:cs="Calibri"/>
                <w:noProof/>
                <w:color w:val="006100"/>
                <w:sz w:val="18"/>
                <w:szCs w:val="18"/>
                <w:lang w:eastAsia="en-GB"/>
              </w:rPr>
            </w:pPr>
          </w:p>
        </w:tc>
        <w:tc>
          <w:tcPr>
            <w:tcW w:w="827" w:type="dxa"/>
            <w:tcBorders>
              <w:top w:val="single" w:sz="4" w:space="0" w:color="auto"/>
              <w:left w:val="nil"/>
              <w:bottom w:val="single" w:sz="4" w:space="0" w:color="auto"/>
              <w:right w:val="single" w:sz="4" w:space="0" w:color="auto"/>
            </w:tcBorders>
            <w:shd w:val="clear" w:color="auto" w:fill="C6EFCE"/>
            <w:noWrap/>
          </w:tcPr>
          <w:p w14:paraId="52CD78B1" w14:textId="77777777" w:rsidR="00356CBA" w:rsidRPr="00AD4052" w:rsidRDefault="00356CBA">
            <w:pPr>
              <w:spacing w:after="0" w:line="240" w:lineRule="auto"/>
              <w:rPr>
                <w:rFonts w:eastAsia="Times New Roman" w:cs="Calibri"/>
                <w:noProof/>
                <w:color w:val="006100"/>
                <w:sz w:val="18"/>
                <w:szCs w:val="18"/>
                <w:lang w:eastAsia="en-GB"/>
              </w:rPr>
            </w:pPr>
          </w:p>
        </w:tc>
        <w:tc>
          <w:tcPr>
            <w:tcW w:w="987" w:type="dxa"/>
            <w:tcBorders>
              <w:top w:val="single" w:sz="4" w:space="0" w:color="auto"/>
              <w:left w:val="nil"/>
              <w:bottom w:val="single" w:sz="4" w:space="0" w:color="auto"/>
              <w:right w:val="single" w:sz="4" w:space="0" w:color="auto"/>
            </w:tcBorders>
            <w:shd w:val="clear" w:color="auto" w:fill="C6EFCE"/>
            <w:noWrap/>
          </w:tcPr>
          <w:p w14:paraId="2F9BF73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707" w:type="dxa"/>
            <w:tcBorders>
              <w:top w:val="single" w:sz="4" w:space="0" w:color="auto"/>
              <w:left w:val="nil"/>
              <w:bottom w:val="single" w:sz="4" w:space="0" w:color="auto"/>
              <w:right w:val="single" w:sz="4" w:space="0" w:color="auto"/>
            </w:tcBorders>
            <w:shd w:val="clear" w:color="auto" w:fill="C6EFCE"/>
            <w:noWrap/>
          </w:tcPr>
          <w:p w14:paraId="0D68D04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4449" w:type="dxa"/>
            <w:tcBorders>
              <w:top w:val="single" w:sz="4" w:space="0" w:color="auto"/>
              <w:left w:val="nil"/>
              <w:bottom w:val="single" w:sz="4" w:space="0" w:color="auto"/>
              <w:right w:val="single" w:sz="4" w:space="0" w:color="auto"/>
            </w:tcBorders>
            <w:shd w:val="clear" w:color="auto" w:fill="C6EFCE"/>
            <w:noWrap/>
          </w:tcPr>
          <w:p w14:paraId="090BFE7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 töötada Kreekas välja kvaliteeditaristu nüüdisaegne regulatiivne, organisatsiooniline ja tegevusraamistik kooskõlas määrusega 765/2008 vastavushindamisasutuste akrediteerimise kohta; ning b) õigusaktide jõustumine, et reformida Atika tootmistegevuse alustamist reguleerivat raamistikku eesmärgiga kõrvaldada liiga suured piirangud, mis ei ole poliitikaeesmärkidega proportsionaalsed.</w:t>
            </w:r>
          </w:p>
          <w:p w14:paraId="2C2D71DF" w14:textId="77777777" w:rsidR="00356CBA" w:rsidRPr="00AD4052" w:rsidRDefault="00356CBA">
            <w:pPr>
              <w:spacing w:after="0" w:line="240" w:lineRule="auto"/>
              <w:rPr>
                <w:rFonts w:eastAsia="Times New Roman" w:cs="Calibri"/>
                <w:noProof/>
                <w:color w:val="006100"/>
                <w:sz w:val="18"/>
                <w:szCs w:val="18"/>
                <w:lang w:eastAsia="en-GB"/>
              </w:rPr>
            </w:pPr>
          </w:p>
          <w:p w14:paraId="667647A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Punkti b reguleerimisala hõlmab uute tööstusüksuste loomist ja Atikas tegutsevate olemasolevate moderniseerimist, samuti olemasolevate rajatiste ümberpaigutamist ja laiendamist Atikas.</w:t>
            </w:r>
          </w:p>
        </w:tc>
      </w:tr>
      <w:tr w:rsidR="00356CBA" w:rsidRPr="003B132A" w14:paraId="5C4E3E76" w14:textId="77777777" w:rsidTr="0098678B">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14:paraId="616681E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318</w:t>
            </w:r>
          </w:p>
        </w:tc>
        <w:tc>
          <w:tcPr>
            <w:tcW w:w="1311" w:type="dxa"/>
            <w:tcBorders>
              <w:top w:val="nil"/>
              <w:left w:val="nil"/>
              <w:bottom w:val="single" w:sz="4" w:space="0" w:color="auto"/>
              <w:right w:val="single" w:sz="4" w:space="0" w:color="auto"/>
            </w:tcBorders>
            <w:shd w:val="clear" w:color="auto" w:fill="C6EFCE"/>
            <w:noWrap/>
          </w:tcPr>
          <w:p w14:paraId="3492894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18-4.7. Konkurentsivõime parandamine ning erainvesteeringute ja ekspordi edendamine – 16591_Ettevõtluse lihtsus</w:t>
            </w:r>
          </w:p>
        </w:tc>
        <w:tc>
          <w:tcPr>
            <w:tcW w:w="966" w:type="dxa"/>
            <w:tcBorders>
              <w:top w:val="nil"/>
              <w:left w:val="nil"/>
              <w:bottom w:val="single" w:sz="4" w:space="0" w:color="auto"/>
              <w:right w:val="single" w:sz="4" w:space="0" w:color="auto"/>
            </w:tcBorders>
            <w:shd w:val="clear" w:color="auto" w:fill="C6EFCE"/>
            <w:noWrap/>
          </w:tcPr>
          <w:p w14:paraId="74A96D7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592" w:type="dxa"/>
            <w:tcBorders>
              <w:top w:val="nil"/>
              <w:left w:val="nil"/>
              <w:bottom w:val="single" w:sz="4" w:space="0" w:color="auto"/>
              <w:right w:val="single" w:sz="4" w:space="0" w:color="auto"/>
            </w:tcBorders>
            <w:shd w:val="clear" w:color="auto" w:fill="C6EFCE"/>
            <w:noWrap/>
          </w:tcPr>
          <w:p w14:paraId="22DA488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Ettevõtluskeskkonna parandamine – äritegevuse lihtsustamine</w:t>
            </w:r>
          </w:p>
        </w:tc>
        <w:tc>
          <w:tcPr>
            <w:tcW w:w="1694" w:type="dxa"/>
            <w:tcBorders>
              <w:top w:val="nil"/>
              <w:left w:val="nil"/>
              <w:bottom w:val="single" w:sz="4" w:space="0" w:color="auto"/>
              <w:right w:val="single" w:sz="4" w:space="0" w:color="auto"/>
            </w:tcBorders>
            <w:shd w:val="clear" w:color="auto" w:fill="C6EFCE"/>
            <w:noWrap/>
          </w:tcPr>
          <w:p w14:paraId="2B1E11AE" w14:textId="77777777" w:rsidR="00356CBA" w:rsidRPr="00E02B5D" w:rsidRDefault="00356CBA">
            <w:pPr>
              <w:spacing w:after="0" w:line="259" w:lineRule="auto"/>
              <w:rPr>
                <w:rFonts w:ascii="Times New Roman" w:hAnsi="Times New Roman" w:cs="Times New Roman"/>
                <w:noProof/>
                <w:color w:val="006100"/>
                <w:sz w:val="18"/>
                <w:szCs w:val="18"/>
              </w:rPr>
            </w:pPr>
            <w:r>
              <w:rPr>
                <w:rFonts w:ascii="Times New Roman" w:hAnsi="Times New Roman"/>
                <w:noProof/>
                <w:sz w:val="24"/>
              </w:rPr>
              <w:t>-</w:t>
            </w:r>
            <w:r>
              <w:rPr>
                <w:noProof/>
              </w:rPr>
              <w:t xml:space="preserve"> </w:t>
            </w:r>
            <w:r>
              <w:rPr>
                <w:noProof/>
                <w:color w:val="006100"/>
                <w:sz w:val="18"/>
              </w:rPr>
              <w:t>Õigusakte nõudvate meetmete puhul: Õigusaktide avaldamine Euroopa Liidu Teatajas (Euroopa Liidu Teataja viide)</w:t>
            </w:r>
          </w:p>
          <w:p w14:paraId="3B990C7D" w14:textId="77777777" w:rsidR="00356CBA" w:rsidRPr="00E02B5D" w:rsidRDefault="00356CBA">
            <w:pPr>
              <w:spacing w:after="0" w:line="259" w:lineRule="auto"/>
              <w:rPr>
                <w:rFonts w:ascii="Times New Roman" w:hAnsi="Times New Roman" w:cs="Times New Roman"/>
                <w:noProof/>
                <w:color w:val="006100"/>
                <w:sz w:val="18"/>
                <w:szCs w:val="18"/>
              </w:rPr>
            </w:pPr>
            <w:r>
              <w:rPr>
                <w:rFonts w:ascii="Times New Roman" w:hAnsi="Times New Roman"/>
                <w:noProof/>
                <w:sz w:val="24"/>
              </w:rPr>
              <w:t>-</w:t>
            </w:r>
            <w:r>
              <w:rPr>
                <w:noProof/>
              </w:rPr>
              <w:t xml:space="preserve"> </w:t>
            </w:r>
            <w:r>
              <w:rPr>
                <w:noProof/>
                <w:color w:val="006100"/>
                <w:sz w:val="18"/>
              </w:rPr>
              <w:t xml:space="preserve">Koostalitlusvõime funktsioonide, platvormide ja registrite puhul: Süsteemide kasutuselevõtmine (tõendatud aruandega) </w:t>
            </w:r>
          </w:p>
          <w:p w14:paraId="7980EDCD" w14:textId="77777777" w:rsidR="00356CBA" w:rsidRPr="00E02B5D" w:rsidRDefault="00356CBA">
            <w:pPr>
              <w:spacing w:after="0" w:line="259" w:lineRule="auto"/>
              <w:rPr>
                <w:rFonts w:ascii="Times New Roman" w:hAnsi="Times New Roman" w:cs="Times New Roman"/>
                <w:noProof/>
                <w:color w:val="006100"/>
                <w:sz w:val="18"/>
                <w:szCs w:val="18"/>
              </w:rPr>
            </w:pPr>
            <w:r>
              <w:rPr>
                <w:rFonts w:ascii="Times New Roman" w:hAnsi="Times New Roman"/>
                <w:noProof/>
                <w:sz w:val="24"/>
              </w:rPr>
              <w:t>-</w:t>
            </w:r>
            <w:r>
              <w:rPr>
                <w:noProof/>
              </w:rPr>
              <w:t xml:space="preserve"> </w:t>
            </w:r>
            <w:r>
              <w:rPr>
                <w:noProof/>
                <w:color w:val="006100"/>
                <w:sz w:val="18"/>
              </w:rPr>
              <w:t>Varustuse tarnimine (tõendatuna ostuaruande ja -tõendiga)</w:t>
            </w:r>
          </w:p>
          <w:p w14:paraId="622FBBDE" w14:textId="77777777" w:rsidR="00356CBA" w:rsidRPr="00E02B5D" w:rsidRDefault="00356CBA">
            <w:pPr>
              <w:spacing w:after="0" w:line="240" w:lineRule="auto"/>
              <w:rPr>
                <w:rFonts w:eastAsia="Times New Roman" w:cs="Calibri"/>
                <w:noProof/>
                <w:color w:val="006100"/>
                <w:sz w:val="18"/>
                <w:szCs w:val="18"/>
              </w:rPr>
            </w:pPr>
            <w:r>
              <w:rPr>
                <w:rFonts w:ascii="Times New Roman" w:hAnsi="Times New Roman"/>
                <w:noProof/>
                <w:sz w:val="24"/>
              </w:rPr>
              <w:t>-</w:t>
            </w:r>
            <w:r>
              <w:rPr>
                <w:noProof/>
              </w:rPr>
              <w:t xml:space="preserve"> </w:t>
            </w:r>
            <w:r>
              <w:rPr>
                <w:noProof/>
                <w:color w:val="006100"/>
                <w:sz w:val="18"/>
              </w:rPr>
              <w:t>Kampaaniate lõpuleviimine ja suuniste väljaandmine (mida tõendavad välja antud suunised/ringlused)</w:t>
            </w:r>
            <w:r>
              <w:rPr>
                <w:rFonts w:ascii="Times New Roman" w:hAnsi="Times New Roman"/>
                <w:noProof/>
                <w:sz w:val="24"/>
              </w:rPr>
              <w:t xml:space="preserve"> </w:t>
            </w:r>
          </w:p>
        </w:tc>
        <w:tc>
          <w:tcPr>
            <w:tcW w:w="983" w:type="dxa"/>
            <w:tcBorders>
              <w:top w:val="nil"/>
              <w:left w:val="nil"/>
              <w:bottom w:val="single" w:sz="4" w:space="0" w:color="auto"/>
              <w:right w:val="single" w:sz="4" w:space="0" w:color="auto"/>
            </w:tcBorders>
            <w:shd w:val="clear" w:color="auto" w:fill="C6EFCE"/>
            <w:noWrap/>
          </w:tcPr>
          <w:p w14:paraId="5C473127" w14:textId="77777777" w:rsidR="00356CBA" w:rsidRPr="00AD4052" w:rsidRDefault="00356CBA">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14:paraId="32358886" w14:textId="77777777" w:rsidR="00356CBA" w:rsidRPr="00AD4052" w:rsidRDefault="00356CBA">
            <w:pPr>
              <w:spacing w:after="0" w:line="240" w:lineRule="auto"/>
              <w:rPr>
                <w:rFonts w:eastAsia="Times New Roman" w:cs="Calibri"/>
                <w:noProof/>
                <w:color w:val="006100"/>
                <w:sz w:val="18"/>
                <w:szCs w:val="18"/>
                <w:lang w:eastAsia="en-GB"/>
              </w:rPr>
            </w:pPr>
          </w:p>
        </w:tc>
        <w:tc>
          <w:tcPr>
            <w:tcW w:w="827" w:type="dxa"/>
            <w:tcBorders>
              <w:top w:val="nil"/>
              <w:left w:val="nil"/>
              <w:bottom w:val="single" w:sz="4" w:space="0" w:color="auto"/>
              <w:right w:val="single" w:sz="4" w:space="0" w:color="auto"/>
            </w:tcBorders>
            <w:shd w:val="clear" w:color="auto" w:fill="C6EFCE"/>
            <w:noWrap/>
          </w:tcPr>
          <w:p w14:paraId="4AC350F9" w14:textId="77777777" w:rsidR="00356CBA" w:rsidRPr="00AD4052" w:rsidRDefault="00356CBA">
            <w:pPr>
              <w:spacing w:after="0" w:line="240" w:lineRule="auto"/>
              <w:rPr>
                <w:rFonts w:eastAsia="Times New Roman" w:cs="Calibri"/>
                <w:noProof/>
                <w:color w:val="006100"/>
                <w:sz w:val="18"/>
                <w:szCs w:val="18"/>
                <w:lang w:eastAsia="en-GB"/>
              </w:rPr>
            </w:pPr>
          </w:p>
        </w:tc>
        <w:tc>
          <w:tcPr>
            <w:tcW w:w="987" w:type="dxa"/>
            <w:tcBorders>
              <w:top w:val="nil"/>
              <w:left w:val="nil"/>
              <w:bottom w:val="single" w:sz="4" w:space="0" w:color="auto"/>
              <w:right w:val="single" w:sz="4" w:space="0" w:color="auto"/>
            </w:tcBorders>
            <w:shd w:val="clear" w:color="auto" w:fill="C6EFCE"/>
            <w:noWrap/>
          </w:tcPr>
          <w:p w14:paraId="4206478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kv</w:t>
            </w:r>
          </w:p>
        </w:tc>
        <w:tc>
          <w:tcPr>
            <w:tcW w:w="707" w:type="dxa"/>
            <w:tcBorders>
              <w:top w:val="nil"/>
              <w:left w:val="nil"/>
              <w:bottom w:val="single" w:sz="4" w:space="0" w:color="auto"/>
              <w:right w:val="single" w:sz="4" w:space="0" w:color="auto"/>
            </w:tcBorders>
            <w:shd w:val="clear" w:color="auto" w:fill="C6EFCE"/>
            <w:noWrap/>
          </w:tcPr>
          <w:p w14:paraId="05F4106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2024</w:t>
            </w:r>
          </w:p>
        </w:tc>
        <w:tc>
          <w:tcPr>
            <w:tcW w:w="4449" w:type="dxa"/>
            <w:tcBorders>
              <w:top w:val="nil"/>
              <w:left w:val="nil"/>
              <w:bottom w:val="single" w:sz="4" w:space="0" w:color="auto"/>
              <w:right w:val="single" w:sz="4" w:space="0" w:color="auto"/>
            </w:tcBorders>
            <w:shd w:val="clear" w:color="auto" w:fill="C6EFCE"/>
            <w:noWrap/>
          </w:tcPr>
          <w:p w14:paraId="7F25A53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Viia lõpule reform, et vähendada menetluste keerukust, aega ja kulusid neljas allvaldkonnas: laenu saamine, elektriühenduse saamine, kinnisvara registreerimine ja ehitusloa saamine</w:t>
            </w:r>
          </w:p>
          <w:p w14:paraId="623F32F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Reform hõlmab eelkõige järgmisi allprojekte ja meetmeid:</w:t>
            </w:r>
          </w:p>
          <w:p w14:paraId="2D93632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Krediidi saamine</w:t>
            </w:r>
          </w:p>
          <w:p w14:paraId="0A4EDFA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Luua moodne ja usaldusväärne reguleeriv raamistik vallasvaraväärtpaberite kohta</w:t>
            </w:r>
          </w:p>
          <w:p w14:paraId="0EE7BEE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Turvaliste tehingute registri loomine</w:t>
            </w:r>
          </w:p>
          <w:p w14:paraId="6B93493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 Ehitusloa saamine</w:t>
            </w:r>
          </w:p>
          <w:p w14:paraId="0C6D47C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Saavutada ehituslubade e-keskuste süsteemi koostalitlusvõime muude avalike süsteemidega</w:t>
            </w:r>
          </w:p>
          <w:p w14:paraId="57688EE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Viia läbi teavituskampaaniaid erasektori sidusrühmadega</w:t>
            </w:r>
          </w:p>
          <w:p w14:paraId="613F821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Personali varustamine ja koolitamine </w:t>
            </w:r>
          </w:p>
          <w:p w14:paraId="5C6FB44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Suunised on veebis kättesaadavad</w:t>
            </w:r>
          </w:p>
          <w:p w14:paraId="4464F46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Tasugraafik on veebis kättesaadav</w:t>
            </w:r>
          </w:p>
          <w:p w14:paraId="70009B4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Tuletõrjeosakonna riiklikud digitaalsed kontrollifunktsioonid</w:t>
            </w:r>
          </w:p>
          <w:p w14:paraId="62521C2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Elektri saamine</w:t>
            </w:r>
          </w:p>
          <w:p w14:paraId="030E0B5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Lihtsustada/vähendada HEDNO-le esitatava taotluse nõudeid ja ühtlustada omavalitsustele ruutmeetrite deklareerimise süsteemi.</w:t>
            </w:r>
          </w:p>
          <w:p w14:paraId="4CD4B01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Vara registreerimine</w:t>
            </w:r>
          </w:p>
          <w:p w14:paraId="167331E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Luua e-platvorm, mis võimaldab ostjatel täita kõik nõuded vara üleandmiseks internetis.</w:t>
            </w:r>
          </w:p>
        </w:tc>
      </w:tr>
      <w:tr w:rsidR="00356CBA" w:rsidRPr="003B132A" w14:paraId="66BCE9BC" w14:textId="77777777" w:rsidTr="0098678B">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14:paraId="40BF230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319</w:t>
            </w:r>
          </w:p>
        </w:tc>
        <w:tc>
          <w:tcPr>
            <w:tcW w:w="1311" w:type="dxa"/>
            <w:tcBorders>
              <w:top w:val="nil"/>
              <w:left w:val="nil"/>
              <w:bottom w:val="single" w:sz="4" w:space="0" w:color="auto"/>
              <w:right w:val="single" w:sz="4" w:space="0" w:color="auto"/>
            </w:tcBorders>
            <w:shd w:val="clear" w:color="auto" w:fill="C6EFCE"/>
            <w:noWrap/>
          </w:tcPr>
          <w:p w14:paraId="7FAF046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18-4.7. Parandada konkurentsivõimet ning edendada erainvesteeringuid ja eksporti – 16543_Meetmed ettevõtluskeskkonna lihtsustamiseks ning selle kvaliteedi ja ohutuse parandamiseks</w:t>
            </w:r>
          </w:p>
        </w:tc>
        <w:tc>
          <w:tcPr>
            <w:tcW w:w="966" w:type="dxa"/>
            <w:tcBorders>
              <w:top w:val="nil"/>
              <w:left w:val="nil"/>
              <w:bottom w:val="single" w:sz="4" w:space="0" w:color="auto"/>
              <w:right w:val="single" w:sz="4" w:space="0" w:color="auto"/>
            </w:tcBorders>
            <w:shd w:val="clear" w:color="auto" w:fill="C6EFCE"/>
            <w:noWrap/>
          </w:tcPr>
          <w:p w14:paraId="7847D25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592" w:type="dxa"/>
            <w:tcBorders>
              <w:top w:val="nil"/>
              <w:left w:val="nil"/>
              <w:bottom w:val="single" w:sz="4" w:space="0" w:color="auto"/>
              <w:right w:val="single" w:sz="4" w:space="0" w:color="auto"/>
            </w:tcBorders>
            <w:shd w:val="clear" w:color="auto" w:fill="C6EFCE"/>
            <w:noWrap/>
          </w:tcPr>
          <w:p w14:paraId="765DD41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Ettevõtluskeskkonna parandamine – lubade andmine lihtsustamiseks ja turujärelevalveks</w:t>
            </w:r>
          </w:p>
        </w:tc>
        <w:tc>
          <w:tcPr>
            <w:tcW w:w="1694" w:type="dxa"/>
            <w:tcBorders>
              <w:top w:val="nil"/>
              <w:left w:val="nil"/>
              <w:bottom w:val="single" w:sz="4" w:space="0" w:color="auto"/>
              <w:right w:val="single" w:sz="4" w:space="0" w:color="auto"/>
            </w:tcBorders>
            <w:shd w:val="clear" w:color="auto" w:fill="C6EFCE"/>
            <w:noWrap/>
          </w:tcPr>
          <w:p w14:paraId="089E208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Õigusaktide avaldamine Euroopa Liidu Teatajas (Euroopa Liidu Teataja viide)</w:t>
            </w:r>
          </w:p>
          <w:p w14:paraId="3553322A" w14:textId="77777777" w:rsidR="00356CBA" w:rsidRPr="00AD4052" w:rsidRDefault="00356CBA">
            <w:pPr>
              <w:spacing w:after="0" w:line="240" w:lineRule="auto"/>
              <w:rPr>
                <w:rFonts w:eastAsia="Times New Roman" w:cs="Calibri"/>
                <w:noProof/>
                <w:color w:val="006100"/>
                <w:sz w:val="18"/>
                <w:szCs w:val="18"/>
                <w:lang w:eastAsia="en-GB"/>
              </w:rPr>
            </w:pPr>
          </w:p>
        </w:tc>
        <w:tc>
          <w:tcPr>
            <w:tcW w:w="983" w:type="dxa"/>
            <w:tcBorders>
              <w:top w:val="nil"/>
              <w:left w:val="nil"/>
              <w:bottom w:val="single" w:sz="4" w:space="0" w:color="auto"/>
              <w:right w:val="single" w:sz="4" w:space="0" w:color="auto"/>
            </w:tcBorders>
            <w:shd w:val="clear" w:color="auto" w:fill="C6EFCE"/>
            <w:noWrap/>
          </w:tcPr>
          <w:p w14:paraId="53B83B8A" w14:textId="77777777" w:rsidR="00356CBA" w:rsidRPr="00AD4052" w:rsidRDefault="00356CBA">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14:paraId="5DD10582" w14:textId="77777777" w:rsidR="00356CBA" w:rsidRPr="00AD4052" w:rsidRDefault="00356CBA">
            <w:pPr>
              <w:spacing w:after="0" w:line="240" w:lineRule="auto"/>
              <w:rPr>
                <w:rFonts w:eastAsia="Times New Roman" w:cs="Calibri"/>
                <w:noProof/>
                <w:color w:val="006100"/>
                <w:sz w:val="18"/>
                <w:szCs w:val="18"/>
                <w:lang w:eastAsia="en-GB"/>
              </w:rPr>
            </w:pPr>
          </w:p>
        </w:tc>
        <w:tc>
          <w:tcPr>
            <w:tcW w:w="827" w:type="dxa"/>
            <w:tcBorders>
              <w:top w:val="nil"/>
              <w:left w:val="nil"/>
              <w:bottom w:val="single" w:sz="4" w:space="0" w:color="auto"/>
              <w:right w:val="single" w:sz="4" w:space="0" w:color="auto"/>
            </w:tcBorders>
            <w:shd w:val="clear" w:color="auto" w:fill="C6EFCE"/>
            <w:noWrap/>
          </w:tcPr>
          <w:p w14:paraId="36CD270A" w14:textId="77777777" w:rsidR="00356CBA" w:rsidRPr="00AD4052" w:rsidRDefault="00356CBA">
            <w:pPr>
              <w:spacing w:after="0" w:line="240" w:lineRule="auto"/>
              <w:rPr>
                <w:rFonts w:eastAsia="Times New Roman" w:cs="Calibri"/>
                <w:noProof/>
                <w:color w:val="006100"/>
                <w:sz w:val="18"/>
                <w:szCs w:val="18"/>
                <w:lang w:eastAsia="en-GB"/>
              </w:rPr>
            </w:pPr>
          </w:p>
        </w:tc>
        <w:tc>
          <w:tcPr>
            <w:tcW w:w="987" w:type="dxa"/>
            <w:tcBorders>
              <w:top w:val="nil"/>
              <w:left w:val="nil"/>
              <w:bottom w:val="single" w:sz="4" w:space="0" w:color="auto"/>
              <w:right w:val="single" w:sz="4" w:space="0" w:color="auto"/>
            </w:tcBorders>
            <w:shd w:val="clear" w:color="auto" w:fill="C6EFCE"/>
            <w:noWrap/>
          </w:tcPr>
          <w:p w14:paraId="775F8A2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707" w:type="dxa"/>
            <w:tcBorders>
              <w:top w:val="nil"/>
              <w:left w:val="nil"/>
              <w:bottom w:val="single" w:sz="4" w:space="0" w:color="auto"/>
              <w:right w:val="single" w:sz="4" w:space="0" w:color="auto"/>
            </w:tcBorders>
            <w:shd w:val="clear" w:color="auto" w:fill="C6EFCE"/>
            <w:noWrap/>
          </w:tcPr>
          <w:p w14:paraId="27445DC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2025</w:t>
            </w:r>
          </w:p>
        </w:tc>
        <w:tc>
          <w:tcPr>
            <w:tcW w:w="4449" w:type="dxa"/>
            <w:tcBorders>
              <w:top w:val="nil"/>
              <w:left w:val="nil"/>
              <w:bottom w:val="single" w:sz="4" w:space="0" w:color="auto"/>
              <w:right w:val="single" w:sz="4" w:space="0" w:color="auto"/>
            </w:tcBorders>
            <w:shd w:val="clear" w:color="auto" w:fill="C6EFCE"/>
            <w:noWrap/>
          </w:tcPr>
          <w:p w14:paraId="04CF54B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Selliste õigusaktide jõustumine, millega reformitakse ja võetakse vajalikke meetmeid, et veelgi parandada tegevuslubade andmise ja ettevõtete tõhusa järelevalve õigusraamistikku:</w:t>
            </w:r>
          </w:p>
          <w:p w14:paraId="20F1E91E" w14:textId="77777777" w:rsidR="00356CBA" w:rsidRPr="00E02B5D" w:rsidRDefault="00356CBA">
            <w:pPr>
              <w:spacing w:before="120" w:after="0" w:line="240" w:lineRule="auto"/>
              <w:jc w:val="both"/>
              <w:rPr>
                <w:rFonts w:eastAsia="Times New Roman" w:cs="Calibri"/>
                <w:noProof/>
                <w:color w:val="006100"/>
                <w:sz w:val="18"/>
                <w:szCs w:val="18"/>
              </w:rPr>
            </w:pPr>
            <w:r>
              <w:rPr>
                <w:noProof/>
                <w:color w:val="006100"/>
                <w:sz w:val="18"/>
              </w:rPr>
              <w:t>– viia läbi 2024. aasta esimeseks kvartaliks toimunud litsentsimisreformi mõju järelhindamine ja rakendada poliitikasoovitusi;</w:t>
            </w:r>
          </w:p>
          <w:p w14:paraId="7B88E84E" w14:textId="77777777" w:rsidR="00356CBA" w:rsidRPr="00E02B5D" w:rsidRDefault="00356CBA">
            <w:pPr>
              <w:spacing w:after="0" w:line="259" w:lineRule="auto"/>
              <w:ind w:left="12"/>
              <w:contextualSpacing/>
              <w:rPr>
                <w:rFonts w:eastAsia="Times New Roman" w:cs="Calibri"/>
                <w:noProof/>
                <w:color w:val="006100"/>
                <w:sz w:val="18"/>
                <w:szCs w:val="18"/>
              </w:rPr>
            </w:pPr>
            <w:r>
              <w:rPr>
                <w:noProof/>
                <w:color w:val="006100"/>
                <w:sz w:val="18"/>
              </w:rPr>
              <w:t xml:space="preserve">– vaadata läbi ja lihtsustada uute majandustegevusalade litsentsimismenetlusi, mis määratakse kindlaks seadusega 4442/16, vähendades nõudeid ja sertifikaate, kõrvaldades protsessi mittelisandväärtuslikud etapid, lühendades taotluste menetlemise aega ning piirates eelkontrolli ainult suure riskiga tegevustega kooskõlas seaduste 4442/2016 ja 4512/2018 põhimõtetega; </w:t>
            </w:r>
          </w:p>
          <w:p w14:paraId="4E44F25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seaduste 3325/2005, 3982/2011, 4302/2014 ja 4442/2016 kodifitseerimine; </w:t>
            </w:r>
          </w:p>
          <w:p w14:paraId="4611028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 töötada välja turujärelevalve strateegia kooskõlas määrusega (EL) nr 1020/2019 ning </w:t>
            </w:r>
          </w:p>
          <w:p w14:paraId="159B3E4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majandustegevuse uue järelevalvesüsteemi tõhus rakendamine vastavalt 4512/18 õigusaktile, võttes vastu asjakohased õigusaktid ja kehtestades kontrolliasutuste hindamissüsteemi;</w:t>
            </w:r>
          </w:p>
          <w:p w14:paraId="7FB1E57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rakendada ja võtta kasutusele IT-vahendid, et hõlbustada turujärelevalve toiminguid</w:t>
            </w:r>
          </w:p>
        </w:tc>
      </w:tr>
    </w:tbl>
    <w:p w14:paraId="785FB386" w14:textId="77777777" w:rsidR="00356CBA" w:rsidRPr="00AD4052" w:rsidRDefault="00356CBA" w:rsidP="00645BC7">
      <w:pPr>
        <w:spacing w:before="120" w:after="120" w:line="240" w:lineRule="auto"/>
        <w:ind w:left="709"/>
        <w:jc w:val="both"/>
        <w:rPr>
          <w:rFonts w:ascii="Times New Roman" w:hAnsi="Times New Roman" w:cs="Times New Roman"/>
          <w:noProof/>
          <w:sz w:val="24"/>
          <w:szCs w:val="24"/>
        </w:rPr>
      </w:pPr>
    </w:p>
    <w:p w14:paraId="645818CE" w14:textId="77777777" w:rsidR="00356CBA" w:rsidRPr="00AD4052" w:rsidRDefault="00356CBA" w:rsidP="00645BC7">
      <w:pPr>
        <w:spacing w:before="120" w:after="120" w:line="240" w:lineRule="auto"/>
        <w:ind w:left="709"/>
        <w:jc w:val="both"/>
        <w:rPr>
          <w:rFonts w:ascii="Times New Roman" w:hAnsi="Times New Roman" w:cs="Times New Roman"/>
          <w:noProof/>
          <w:sz w:val="24"/>
        </w:rPr>
        <w:sectPr w:rsidR="00356CBA" w:rsidRPr="00AD4052" w:rsidSect="00271D33">
          <w:headerReference w:type="even" r:id="rId380"/>
          <w:headerReference w:type="default" r:id="rId381"/>
          <w:footerReference w:type="even" r:id="rId382"/>
          <w:footerReference w:type="default" r:id="rId383"/>
          <w:headerReference w:type="first" r:id="rId384"/>
          <w:footerReference w:type="first" r:id="rId385"/>
          <w:pgSz w:w="16839" w:h="11907" w:orient="landscape"/>
          <w:pgMar w:top="720" w:right="720" w:bottom="720" w:left="720" w:header="709" w:footer="217" w:gutter="0"/>
          <w:cols w:space="720"/>
          <w:docGrid w:linePitch="360"/>
        </w:sectPr>
      </w:pPr>
    </w:p>
    <w:p w14:paraId="22BC940B" w14:textId="77777777" w:rsidR="00356CBA" w:rsidRPr="00E02B5D" w:rsidRDefault="00356CBA" w:rsidP="00645BC7">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R.3. </w:t>
      </w:r>
      <w:r>
        <w:rPr>
          <w:noProof/>
        </w:rPr>
        <w:tab/>
      </w:r>
      <w:r>
        <w:rPr>
          <w:rFonts w:ascii="Times New Roman" w:hAnsi="Times New Roman"/>
          <w:b/>
          <w:noProof/>
          <w:sz w:val="24"/>
          <w:u w:val="single"/>
        </w:rPr>
        <w:t xml:space="preserve">Laenuga seotud reformide ja investeeringute kirjeldus </w:t>
      </w:r>
    </w:p>
    <w:p w14:paraId="3788317B"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Laenuvahend (meetme ID 16980)</w:t>
      </w:r>
    </w:p>
    <w:p w14:paraId="7EDEFA18" w14:textId="39174EA8" w:rsidR="00356CBA" w:rsidRPr="00E02B5D" w:rsidRDefault="30A4CC0A" w:rsidP="008AECE0">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Investeeringud on seotud taaste ja vastupidavuse rahastamisvahendist antava laenutoetuse kasutamisega, et hõlbustada erasektorile rahaliste stiimulite andmist ja edendada erainvesteeringuid. Laenurahastus kasutatakse erinevaid jaotuskanaleid, nimelt finantseerimisasutusi (äriühingu võlakirjade ostmise või sündikaatlaenude kaudu, 15 428 miljonit eurot), omakapitali platvormi (500 miljonit eurot) ja InvestEU programmi liikmesriigi osa (500 miljonit eurot). </w:t>
      </w:r>
    </w:p>
    <w:p w14:paraId="4B2D76AF" w14:textId="77777777" w:rsidR="00356CBA" w:rsidRPr="00E02B5D" w:rsidRDefault="00356CBA" w:rsidP="00645BC7">
      <w:pPr>
        <w:tabs>
          <w:tab w:val="left" w:pos="0"/>
        </w:tabs>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Finantseerimisasutuste turustuskanali puhul antakse laene rahvusvaheliste finantsasutuste (IFI) ja kommertspankade (CB) kaudu. Riigi antud laenud katavad maksimaalselt 50 % investeerimiskuludest, kusjuures finantseerimisasutuste osalus peab olema vähemalt 30 % ja võlgnike osalus vähemalt 20 %. </w:t>
      </w:r>
    </w:p>
    <w:p w14:paraId="2A2EFD1B" w14:textId="77777777" w:rsidR="00356CBA" w:rsidRPr="00E02B5D" w:rsidRDefault="00356CBA" w:rsidP="00645BC7">
      <w:pPr>
        <w:tabs>
          <w:tab w:val="left" w:pos="0"/>
        </w:tabs>
        <w:spacing w:before="120" w:after="120" w:line="240" w:lineRule="auto"/>
        <w:jc w:val="both"/>
        <w:rPr>
          <w:rFonts w:ascii="Times New Roman" w:hAnsi="Times New Roman" w:cs="Times New Roman"/>
          <w:noProof/>
          <w:sz w:val="24"/>
          <w:szCs w:val="24"/>
        </w:rPr>
      </w:pPr>
      <w:r>
        <w:rPr>
          <w:rFonts w:ascii="Times New Roman" w:hAnsi="Times New Roman"/>
          <w:noProof/>
          <w:sz w:val="24"/>
        </w:rPr>
        <w:t>Laenurahastu raames antud laene, mis on tagasi makstud esimese kolme aasta jooksul alates laenurahastu loomisest, võib uuesti kasutada uute laenurahastu laenude väljamaksmiseks. Vastasel juhul suunatakse kõik laenurahastu tagasimaksed eraldi kontole, mida kasutatakse üksnes riigivõla teenindamiseks ja seega riigi rahanduse jätkusuutlikkuse toetamiseks.</w:t>
      </w:r>
    </w:p>
    <w:p w14:paraId="67B0AD01" w14:textId="77777777" w:rsidR="00356CBA" w:rsidRPr="00E02B5D" w:rsidRDefault="00356CBA" w:rsidP="00645BC7">
      <w:pPr>
        <w:tabs>
          <w:tab w:val="left" w:pos="0"/>
        </w:tabs>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Laenurahastust rahastatakse ainult rahastamiskõlblikke projekte. Täpsemalt tagavad IFI ja sertifitseerimisasutus, et rahastatud investeeringud: </w:t>
      </w:r>
    </w:p>
    <w:p w14:paraId="7FE9E20A" w14:textId="77777777" w:rsidR="00356CBA" w:rsidRPr="00E02B5D" w:rsidRDefault="00356CBA" w:rsidP="00DE1EE5">
      <w:pPr>
        <w:numPr>
          <w:ilvl w:val="0"/>
          <w:numId w:val="69"/>
        </w:numPr>
        <w:tabs>
          <w:tab w:val="left" w:pos="0"/>
        </w:tabs>
        <w:spacing w:before="120" w:after="120" w:line="240" w:lineRule="auto"/>
        <w:jc w:val="both"/>
        <w:rPr>
          <w:rFonts w:ascii="Times New Roman" w:hAnsi="Times New Roman" w:cs="Times New Roman"/>
          <w:noProof/>
          <w:sz w:val="24"/>
          <w:szCs w:val="24"/>
        </w:rPr>
      </w:pPr>
      <w:r>
        <w:rPr>
          <w:rFonts w:ascii="Times New Roman" w:hAnsi="Times New Roman"/>
          <w:noProof/>
          <w:sz w:val="24"/>
        </w:rPr>
        <w:t>mille nüüdispuhasväärtus on positiivne, tagades, et rahastamisotsus põhineb kindlatel majanduslikel kriteeriumidel;</w:t>
      </w:r>
    </w:p>
    <w:p w14:paraId="4A91A24D" w14:textId="77777777" w:rsidR="00356CBA" w:rsidRPr="00E02B5D" w:rsidRDefault="00356CBA" w:rsidP="00DE1EE5">
      <w:pPr>
        <w:numPr>
          <w:ilvl w:val="0"/>
          <w:numId w:val="69"/>
        </w:numPr>
        <w:tabs>
          <w:tab w:val="left" w:pos="0"/>
        </w:tabs>
        <w:spacing w:before="120" w:after="120" w:line="240" w:lineRule="auto"/>
        <w:jc w:val="both"/>
        <w:rPr>
          <w:rFonts w:ascii="Times New Roman" w:hAnsi="Times New Roman" w:cs="Times New Roman"/>
          <w:noProof/>
          <w:sz w:val="24"/>
          <w:szCs w:val="24"/>
        </w:rPr>
      </w:pPr>
      <w:r>
        <w:rPr>
          <w:rFonts w:ascii="Times New Roman" w:hAnsi="Times New Roman"/>
          <w:noProof/>
          <w:sz w:val="24"/>
        </w:rPr>
        <w:t>on kooskõlas laenurahastu viie strateegilise sambaga, milleks on rohepööre, digiüleminek, ekstroversioon, mastaabisääst ühinemiste ja omandamiste kaudu, innovatsioon;</w:t>
      </w:r>
    </w:p>
    <w:p w14:paraId="500C49CD" w14:textId="77777777" w:rsidR="00356CBA" w:rsidRPr="00E02B5D" w:rsidRDefault="00356CBA" w:rsidP="00DE1EE5">
      <w:pPr>
        <w:numPr>
          <w:ilvl w:val="0"/>
          <w:numId w:val="69"/>
        </w:numPr>
        <w:tabs>
          <w:tab w:val="left" w:pos="0"/>
        </w:tabs>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olema kooskõlas riigiabi eeskirjadega. </w:t>
      </w:r>
    </w:p>
    <w:p w14:paraId="0278118C"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Selleks et tagada meetme vastavus tehnilistele suunistele põhimõtte „ei kahjusta oluliselt“ (edaspidi „DNSH-põhimõte“) kohaldamise kohta (2021/C58/01), peavad laenurahastuga seotud lepingud:</w:t>
      </w:r>
    </w:p>
    <w:p w14:paraId="5345D3B1"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 </w:t>
      </w:r>
      <w:r>
        <w:rPr>
          <w:noProof/>
        </w:rPr>
        <w:tab/>
      </w:r>
      <w:r>
        <w:rPr>
          <w:rFonts w:ascii="Times New Roman" w:hAnsi="Times New Roman"/>
          <w:noProof/>
          <w:sz w:val="24"/>
        </w:rPr>
        <w:t>nõuet, et InvestEU fondi kestlikkuskontrolli suhtes kohaldataks komisjoni tehnilist suunist;</w:t>
      </w:r>
    </w:p>
    <w:p w14:paraId="38D7111C" w14:textId="77777777" w:rsidR="00356CBA" w:rsidRPr="00E02B5D" w:rsidRDefault="30A4CC0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ii. </w:t>
      </w:r>
      <w:r>
        <w:rPr>
          <w:noProof/>
        </w:rPr>
        <w:tab/>
      </w:r>
      <w:r>
        <w:rPr>
          <w:rFonts w:ascii="Times New Roman" w:hAnsi="Times New Roman"/>
          <w:noProof/>
          <w:sz w:val="24"/>
        </w:rPr>
        <w:t>järgmiste rahastamiskõlblike tegevuste ja varade väljajätmine toetuskõlbliku tegevuse ja vara alt: i) fossiilkütustega seotud tegevus ja varad, sealhulgas allkasutus tootmisahela järgmistes etappides</w:t>
      </w:r>
      <w:r w:rsidR="00356CBA" w:rsidRPr="008AECE0">
        <w:rPr>
          <w:rFonts w:ascii="Times New Roman" w:hAnsi="Times New Roman" w:cs="Times New Roman"/>
          <w:noProof/>
          <w:sz w:val="24"/>
          <w:szCs w:val="24"/>
          <w:vertAlign w:val="superscript"/>
          <w:lang w:val="en-GB"/>
        </w:rPr>
        <w:footnoteReference w:id="43"/>
      </w:r>
      <w:r>
        <w:rPr>
          <w:rFonts w:ascii="Times New Roman" w:hAnsi="Times New Roman"/>
          <w:noProof/>
          <w:sz w:val="24"/>
        </w:rPr>
        <w:t>; ii) ELi heitkogustega kauplemise süsteemi (HKS) raames toimuv tegevus ja varad, mille prognoositav kasvuhoonegaaside heide ei ole asjaomastest võrdlusalustest</w:t>
      </w:r>
      <w:r w:rsidR="00356CBA" w:rsidRPr="008AECE0">
        <w:rPr>
          <w:rFonts w:ascii="Times New Roman" w:hAnsi="Times New Roman" w:cs="Times New Roman"/>
          <w:noProof/>
          <w:sz w:val="24"/>
          <w:szCs w:val="24"/>
          <w:vertAlign w:val="superscript"/>
          <w:lang w:val="en-GB"/>
        </w:rPr>
        <w:footnoteReference w:id="44"/>
      </w:r>
      <w:r>
        <w:rPr>
          <w:rFonts w:ascii="Times New Roman" w:hAnsi="Times New Roman"/>
          <w:noProof/>
          <w:sz w:val="24"/>
        </w:rPr>
        <w:t xml:space="preserve"> madalam; iii) prügilate, jäätmepõletustehaste</w:t>
      </w:r>
      <w:r w:rsidR="00356CBA" w:rsidRPr="008AECE0">
        <w:rPr>
          <w:rFonts w:ascii="Times New Roman" w:hAnsi="Times New Roman" w:cs="Times New Roman"/>
          <w:noProof/>
          <w:sz w:val="24"/>
          <w:szCs w:val="24"/>
          <w:vertAlign w:val="superscript"/>
          <w:lang w:val="en-GB"/>
        </w:rPr>
        <w:footnoteReference w:id="45"/>
      </w:r>
      <w:r>
        <w:rPr>
          <w:rFonts w:ascii="Times New Roman" w:hAnsi="Times New Roman"/>
          <w:noProof/>
          <w:sz w:val="24"/>
        </w:rPr>
        <w:t xml:space="preserve"> ja mehhaanilis-bioloogilise töötlemise jaamadega</w:t>
      </w:r>
      <w:r w:rsidR="00356CBA" w:rsidRPr="008AECE0">
        <w:rPr>
          <w:rFonts w:ascii="Times New Roman" w:hAnsi="Times New Roman" w:cs="Times New Roman"/>
          <w:noProof/>
          <w:sz w:val="24"/>
          <w:szCs w:val="24"/>
          <w:vertAlign w:val="superscript"/>
          <w:lang w:val="en-GB"/>
        </w:rPr>
        <w:footnoteReference w:id="46"/>
      </w:r>
      <w:r>
        <w:rPr>
          <w:rFonts w:ascii="Times New Roman" w:hAnsi="Times New Roman"/>
          <w:noProof/>
          <w:sz w:val="24"/>
        </w:rPr>
        <w:t xml:space="preserve"> seotud tegevus ja varad; iv) tegevus ja varad, mille puhul jäätmete pikaajaline kõrvaldamine võib kahjustada keskkonda; ning</w:t>
      </w:r>
    </w:p>
    <w:p w14:paraId="74270A3E"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iii. </w:t>
      </w:r>
      <w:r>
        <w:rPr>
          <w:noProof/>
        </w:rPr>
        <w:tab/>
      </w:r>
      <w:r>
        <w:rPr>
          <w:rFonts w:ascii="Times New Roman" w:hAnsi="Times New Roman"/>
          <w:noProof/>
          <w:sz w:val="24"/>
        </w:rPr>
        <w:t>nõudma, et kõigi tehingute puhul, sealhulgas nende puhul, mis on vabastatud jätkusuutlikkuse hindamisest, kontrollitaks projektide vastavust asjakohastele ELi ja riiklikele keskkonnaalastele õigusaktidele.</w:t>
      </w:r>
    </w:p>
    <w:p w14:paraId="18C0EB74" w14:textId="28EAFABD"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Lisaks nähakse laenurahastuga ette kohustus, et finantseerimisasutuste jaotuskanal investeerib vähemalt 41,5 % vahenditest kliimamuutustega seotud ülemineku toetamiseks ja 20,8 % vahenditest digipöörde toetamiseks, kasutades taaste- ja vastupidavusrahastu määruse VI ja VII lisas esitatud metoodikat. </w:t>
      </w:r>
    </w:p>
    <w:p w14:paraId="3C158F97" w14:textId="59A1DA4F"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Sõltumatud audiitorid kontrollivad enne väljamaksetaotluse esitamist vastavust DNSH-põhimõttele ning kliimaeesmärgile 41,5 % ja digieesmärgile 20,8 %.</w:t>
      </w:r>
    </w:p>
    <w:p w14:paraId="2232748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Investeeringu rakendamine viiakse lõpule 30. juuniks 2026.</w:t>
      </w:r>
    </w:p>
    <w:p w14:paraId="04ACAB92" w14:textId="77777777" w:rsidR="00356CBA" w:rsidRPr="00AD4052" w:rsidRDefault="00356CBA" w:rsidP="00645BC7">
      <w:pPr>
        <w:spacing w:before="120" w:after="120" w:line="240" w:lineRule="auto"/>
        <w:jc w:val="both"/>
        <w:rPr>
          <w:rFonts w:ascii="Times New Roman" w:hAnsi="Times New Roman" w:cs="Times New Roman"/>
          <w:i/>
          <w:noProof/>
          <w:sz w:val="24"/>
          <w:u w:val="single"/>
        </w:rPr>
      </w:pPr>
    </w:p>
    <w:p w14:paraId="6F3EBBAE" w14:textId="77777777" w:rsidR="00356CBA" w:rsidRPr="00AD4052" w:rsidRDefault="00356CBA" w:rsidP="00645BC7">
      <w:pPr>
        <w:spacing w:before="120" w:after="120" w:line="240" w:lineRule="auto"/>
        <w:jc w:val="both"/>
        <w:rPr>
          <w:rFonts w:ascii="Times New Roman" w:hAnsi="Times New Roman" w:cs="Times New Roman"/>
          <w:i/>
          <w:noProof/>
          <w:sz w:val="24"/>
          <w:u w:val="single"/>
        </w:rPr>
      </w:pPr>
    </w:p>
    <w:p w14:paraId="54B2F287" w14:textId="77777777" w:rsidR="00356CBA" w:rsidRPr="00AD4052" w:rsidRDefault="00356CBA" w:rsidP="00645BC7">
      <w:pPr>
        <w:spacing w:after="160" w:line="259" w:lineRule="auto"/>
        <w:ind w:left="709"/>
        <w:contextualSpacing/>
        <w:jc w:val="both"/>
        <w:rPr>
          <w:noProof/>
        </w:rPr>
      </w:pPr>
    </w:p>
    <w:p w14:paraId="22C8E1E5" w14:textId="77777777" w:rsidR="00A07277" w:rsidRPr="00AD4052" w:rsidRDefault="00A07277" w:rsidP="00645BC7">
      <w:pPr>
        <w:spacing w:after="160" w:line="259" w:lineRule="auto"/>
        <w:ind w:left="709"/>
        <w:contextualSpacing/>
        <w:jc w:val="both"/>
        <w:rPr>
          <w:noProof/>
        </w:rPr>
        <w:sectPr w:rsidR="00A07277" w:rsidRPr="00AD4052" w:rsidSect="00271D33">
          <w:headerReference w:type="even" r:id="rId386"/>
          <w:headerReference w:type="default" r:id="rId387"/>
          <w:footerReference w:type="even" r:id="rId388"/>
          <w:footerReference w:type="default" r:id="rId389"/>
          <w:headerReference w:type="first" r:id="rId390"/>
          <w:footerReference w:type="first" r:id="rId391"/>
          <w:pgSz w:w="11907" w:h="16839"/>
          <w:pgMar w:top="1134" w:right="1417" w:bottom="1134" w:left="1417" w:header="709" w:footer="326" w:gutter="0"/>
          <w:cols w:space="720"/>
          <w:docGrid w:linePitch="360"/>
        </w:sectPr>
      </w:pPr>
    </w:p>
    <w:p w14:paraId="0F8EC1AC" w14:textId="77777777" w:rsidR="00356CBA" w:rsidRPr="00E02B5D" w:rsidRDefault="00356CBA" w:rsidP="00645BC7">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R.4. </w:t>
      </w:r>
      <w:r>
        <w:rPr>
          <w:noProof/>
        </w:rPr>
        <w:tab/>
      </w:r>
      <w:r>
        <w:rPr>
          <w:rFonts w:ascii="Times New Roman" w:hAnsi="Times New Roman"/>
          <w:b/>
          <w:noProof/>
          <w:sz w:val="24"/>
          <w:u w:val="single"/>
        </w:rPr>
        <w:t xml:space="preserve">Laenu eesmärgid, sihid, näitajad ning seire ja rakendamise ajakava </w:t>
      </w:r>
    </w:p>
    <w:p w14:paraId="72A88ECA" w14:textId="3140E4A3" w:rsidR="00356CBA" w:rsidRPr="00E02B5D" w:rsidRDefault="00356CBA" w:rsidP="00645BC7">
      <w:pPr>
        <w:keepNext/>
        <w:keepLines/>
        <w:spacing w:before="40" w:after="240" w:line="240" w:lineRule="auto"/>
        <w:jc w:val="both"/>
        <w:outlineLvl w:val="4"/>
        <w:rPr>
          <w:rFonts w:ascii="Cambria" w:eastAsia="Times New Roman" w:hAnsi="Cambria"/>
          <w:noProof/>
          <w:color w:val="365F91"/>
          <w:sz w:val="24"/>
        </w:rPr>
      </w:pPr>
      <w:r>
        <w:rPr>
          <w:rFonts w:ascii="Cambria" w:hAnsi="Cambria"/>
          <w:noProof/>
          <w:color w:val="365F91"/>
          <w:sz w:val="24"/>
        </w:rPr>
        <w:t>Laenuvahend (16980)</w:t>
      </w:r>
    </w:p>
    <w:tbl>
      <w:tblPr>
        <w:tblW w:w="15883" w:type="dxa"/>
        <w:jc w:val="center"/>
        <w:tblLayout w:type="fixed"/>
        <w:tblLook w:val="04A0" w:firstRow="1" w:lastRow="0" w:firstColumn="1" w:lastColumn="0" w:noHBand="0" w:noVBand="1"/>
      </w:tblPr>
      <w:tblGrid>
        <w:gridCol w:w="846"/>
        <w:gridCol w:w="1701"/>
        <w:gridCol w:w="992"/>
        <w:gridCol w:w="1276"/>
        <w:gridCol w:w="1276"/>
        <w:gridCol w:w="1134"/>
        <w:gridCol w:w="850"/>
        <w:gridCol w:w="851"/>
        <w:gridCol w:w="574"/>
        <w:gridCol w:w="653"/>
        <w:gridCol w:w="5730"/>
      </w:tblGrid>
      <w:tr w:rsidR="007B4D63" w:rsidRPr="003B132A" w14:paraId="459DB7F9" w14:textId="77777777" w:rsidTr="00E82BDD">
        <w:trPr>
          <w:trHeight w:val="810"/>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7ADB23" w14:textId="77777777" w:rsidR="00356CBA" w:rsidRPr="00E02B5D" w:rsidRDefault="00356CBA" w:rsidP="00D14590">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Järjekorranumber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359C04" w14:textId="77777777" w:rsidR="00356CBA" w:rsidRPr="00E02B5D" w:rsidRDefault="00356CBA" w:rsidP="00D14590">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Seotud meede (reform või investeering)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AF182C" w14:textId="77777777" w:rsidR="00356CBA" w:rsidRPr="00E02B5D" w:rsidRDefault="00356CBA" w:rsidP="00D14590">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Eesmärk / siht</w:t>
            </w:r>
          </w:p>
        </w:tc>
        <w:tc>
          <w:tcPr>
            <w:tcW w:w="1276" w:type="dxa"/>
            <w:vMerge w:val="restart"/>
            <w:tcBorders>
              <w:top w:val="single" w:sz="4" w:space="0" w:color="auto"/>
              <w:left w:val="nil"/>
              <w:bottom w:val="single" w:sz="4" w:space="0" w:color="auto"/>
              <w:right w:val="single" w:sz="4" w:space="0" w:color="auto"/>
            </w:tcBorders>
            <w:shd w:val="clear" w:color="auto" w:fill="BDD7EE"/>
            <w:vAlign w:val="center"/>
            <w:hideMark/>
          </w:tcPr>
          <w:p w14:paraId="163F3E35" w14:textId="77777777" w:rsidR="00356CBA" w:rsidRPr="00E02B5D" w:rsidRDefault="00356CBA" w:rsidP="00D14590">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Nimi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423227" w14:textId="77777777" w:rsidR="00356CBA" w:rsidRPr="00E02B5D" w:rsidRDefault="00356CBA" w:rsidP="00D14590">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Kvalitatiivsed näitajad (eesmärkide puhul)</w:t>
            </w:r>
          </w:p>
        </w:tc>
        <w:tc>
          <w:tcPr>
            <w:tcW w:w="2835" w:type="dxa"/>
            <w:gridSpan w:val="3"/>
            <w:tcBorders>
              <w:top w:val="single" w:sz="4" w:space="0" w:color="auto"/>
              <w:left w:val="nil"/>
              <w:bottom w:val="single" w:sz="4" w:space="0" w:color="auto"/>
              <w:right w:val="single" w:sz="4" w:space="0" w:color="auto"/>
            </w:tcBorders>
            <w:shd w:val="clear" w:color="auto" w:fill="BDD7EE"/>
            <w:vAlign w:val="center"/>
            <w:hideMark/>
          </w:tcPr>
          <w:p w14:paraId="6D8AACCD" w14:textId="77777777" w:rsidR="00356CBA" w:rsidRPr="00E02B5D" w:rsidRDefault="00356CBA" w:rsidP="00D14590">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Kvantitatiivsed näitajad (sihtide puhul)</w:t>
            </w:r>
          </w:p>
        </w:tc>
        <w:tc>
          <w:tcPr>
            <w:tcW w:w="1227" w:type="dxa"/>
            <w:gridSpan w:val="2"/>
            <w:tcBorders>
              <w:top w:val="single" w:sz="4" w:space="0" w:color="auto"/>
              <w:left w:val="nil"/>
              <w:bottom w:val="single" w:sz="4" w:space="0" w:color="auto"/>
              <w:right w:val="single" w:sz="4" w:space="0" w:color="auto"/>
            </w:tcBorders>
            <w:shd w:val="clear" w:color="auto" w:fill="BDD7EE"/>
            <w:vAlign w:val="center"/>
            <w:hideMark/>
          </w:tcPr>
          <w:p w14:paraId="7C141BDF" w14:textId="77777777" w:rsidR="00356CBA" w:rsidRPr="00E02B5D" w:rsidRDefault="00356CBA" w:rsidP="00D14590">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Lõpuleviimise soovituslik ajakava</w:t>
            </w:r>
          </w:p>
        </w:tc>
        <w:tc>
          <w:tcPr>
            <w:tcW w:w="57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7E2D54" w14:textId="77777777" w:rsidR="00356CBA" w:rsidRPr="00E02B5D" w:rsidRDefault="00356CBA">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Iga eesmärgi ja sihi kirjeldus</w:t>
            </w:r>
          </w:p>
        </w:tc>
      </w:tr>
      <w:tr w:rsidR="006E0EA2" w:rsidRPr="00E02B5D" w14:paraId="66222D1C" w14:textId="77777777" w:rsidTr="00E82BDD">
        <w:trPr>
          <w:trHeight w:val="581"/>
          <w:tblHeade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EA797BC" w14:textId="77777777" w:rsidR="00356CBA" w:rsidRPr="00AD4052" w:rsidRDefault="00356CBA">
            <w:pPr>
              <w:spacing w:after="0" w:line="240" w:lineRule="auto"/>
              <w:rPr>
                <w:rFonts w:ascii="Times New Roman" w:eastAsia="Times New Roman" w:hAnsi="Times New Roman" w:cs="Times New Roman"/>
                <w:b/>
                <w:bCs/>
                <w:noProof/>
                <w:sz w:val="24"/>
                <w:szCs w:val="24"/>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74DDB1" w14:textId="77777777" w:rsidR="00356CBA" w:rsidRPr="00AD4052" w:rsidRDefault="00356CBA">
            <w:pPr>
              <w:spacing w:after="0" w:line="240" w:lineRule="auto"/>
              <w:rPr>
                <w:rFonts w:ascii="Times New Roman" w:eastAsia="Times New Roman" w:hAnsi="Times New Roman" w:cs="Times New Roman"/>
                <w:b/>
                <w:bCs/>
                <w:noProof/>
                <w:sz w:val="24"/>
                <w:szCs w:val="24"/>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699356" w14:textId="77777777" w:rsidR="00356CBA" w:rsidRPr="00AD4052" w:rsidRDefault="00356CBA">
            <w:pPr>
              <w:spacing w:after="0" w:line="240" w:lineRule="auto"/>
              <w:rPr>
                <w:rFonts w:ascii="Times New Roman" w:eastAsia="Times New Roman" w:hAnsi="Times New Roman" w:cs="Times New Roman"/>
                <w:b/>
                <w:bCs/>
                <w:noProof/>
                <w:sz w:val="24"/>
                <w:szCs w:val="24"/>
                <w:lang w:eastAsia="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462162" w14:textId="77777777" w:rsidR="00356CBA" w:rsidRPr="00AD4052" w:rsidRDefault="00356CBA">
            <w:pPr>
              <w:spacing w:after="0" w:line="240" w:lineRule="auto"/>
              <w:rPr>
                <w:rFonts w:ascii="Times New Roman" w:eastAsia="Times New Roman" w:hAnsi="Times New Roman" w:cs="Times New Roman"/>
                <w:b/>
                <w:bCs/>
                <w:noProof/>
                <w:sz w:val="24"/>
                <w:szCs w:val="24"/>
                <w:lang w:eastAsia="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7B8FF6" w14:textId="77777777" w:rsidR="00356CBA" w:rsidRPr="00AD4052" w:rsidRDefault="00356CBA">
            <w:pPr>
              <w:spacing w:after="0" w:line="240" w:lineRule="auto"/>
              <w:rPr>
                <w:rFonts w:ascii="Times New Roman" w:eastAsia="Times New Roman" w:hAnsi="Times New Roman" w:cs="Times New Roman"/>
                <w:b/>
                <w:bCs/>
                <w:noProof/>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14E7E4C" w14:textId="77777777" w:rsidR="00356CBA" w:rsidRPr="00E02B5D" w:rsidRDefault="00356CBA" w:rsidP="00EF74AB">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B5010B5" w14:textId="77777777" w:rsidR="00356CBA" w:rsidRPr="00E02B5D" w:rsidRDefault="00356CBA" w:rsidP="00EF74AB">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Lähtetase</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99DED8F" w14:textId="77777777" w:rsidR="00356CBA" w:rsidRPr="00E02B5D" w:rsidRDefault="00356CBA" w:rsidP="00EF74AB">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w:t>
            </w:r>
          </w:p>
        </w:tc>
        <w:tc>
          <w:tcPr>
            <w:tcW w:w="57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AAF5FE4" w14:textId="77777777" w:rsidR="00356CBA" w:rsidRPr="00E02B5D" w:rsidRDefault="00356CBA" w:rsidP="00EF74AB">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65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4FE789B" w14:textId="77777777" w:rsidR="00356CBA" w:rsidRPr="00E02B5D" w:rsidRDefault="00356CBA" w:rsidP="00EF74AB">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5730" w:type="dxa"/>
            <w:vMerge/>
            <w:tcBorders>
              <w:top w:val="single" w:sz="4" w:space="0" w:color="auto"/>
              <w:left w:val="single" w:sz="4" w:space="0" w:color="auto"/>
              <w:bottom w:val="single" w:sz="4" w:space="0" w:color="auto"/>
              <w:right w:val="single" w:sz="4" w:space="0" w:color="auto"/>
            </w:tcBorders>
            <w:vAlign w:val="center"/>
            <w:hideMark/>
          </w:tcPr>
          <w:p w14:paraId="7165B6C9" w14:textId="77777777" w:rsidR="00356CBA" w:rsidRPr="00E02B5D" w:rsidRDefault="00356CBA">
            <w:pPr>
              <w:spacing w:after="0" w:line="240" w:lineRule="auto"/>
              <w:rPr>
                <w:rFonts w:ascii="Times New Roman" w:eastAsia="Times New Roman" w:hAnsi="Times New Roman" w:cs="Times New Roman"/>
                <w:b/>
                <w:bCs/>
                <w:noProof/>
                <w:sz w:val="24"/>
                <w:szCs w:val="24"/>
                <w:lang w:val="en-GB" w:eastAsia="en-GB"/>
              </w:rPr>
            </w:pPr>
          </w:p>
        </w:tc>
      </w:tr>
      <w:tr w:rsidR="007B4D63" w:rsidRPr="003B132A" w14:paraId="019A9153"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4829812F" w14:textId="77777777" w:rsidR="00356CBA" w:rsidRPr="00E02B5D" w:rsidRDefault="00356CBA">
            <w:pPr>
              <w:spacing w:after="0" w:line="240" w:lineRule="auto"/>
              <w:rPr>
                <w:rFonts w:eastAsia="Times New Roman" w:cs="Calibri"/>
                <w:noProof/>
                <w:color w:val="006100"/>
              </w:rPr>
            </w:pPr>
            <w:r>
              <w:rPr>
                <w:noProof/>
                <w:color w:val="006100"/>
                <w:sz w:val="18"/>
              </w:rPr>
              <w:t>320</w:t>
            </w:r>
          </w:p>
        </w:tc>
        <w:tc>
          <w:tcPr>
            <w:tcW w:w="1701" w:type="dxa"/>
            <w:tcBorders>
              <w:top w:val="single" w:sz="4" w:space="0" w:color="auto"/>
              <w:left w:val="nil"/>
              <w:bottom w:val="single" w:sz="4" w:space="0" w:color="auto"/>
              <w:right w:val="single" w:sz="4" w:space="0" w:color="auto"/>
            </w:tcBorders>
            <w:shd w:val="clear" w:color="auto" w:fill="C6EFCE"/>
            <w:noWrap/>
          </w:tcPr>
          <w:p w14:paraId="7B4DC52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71909A1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276" w:type="dxa"/>
            <w:tcBorders>
              <w:top w:val="single" w:sz="4" w:space="0" w:color="auto"/>
              <w:left w:val="nil"/>
              <w:bottom w:val="single" w:sz="4" w:space="0" w:color="auto"/>
              <w:right w:val="single" w:sz="4" w:space="0" w:color="auto"/>
            </w:tcBorders>
            <w:shd w:val="clear" w:color="auto" w:fill="C6EFCE"/>
            <w:noWrap/>
          </w:tcPr>
          <w:p w14:paraId="537558F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Tegevuskokkulepped rahvusvaheliste finantsasutustega</w:t>
            </w:r>
          </w:p>
        </w:tc>
        <w:tc>
          <w:tcPr>
            <w:tcW w:w="1276" w:type="dxa"/>
            <w:tcBorders>
              <w:top w:val="single" w:sz="4" w:space="0" w:color="auto"/>
              <w:left w:val="nil"/>
              <w:bottom w:val="single" w:sz="4" w:space="0" w:color="auto"/>
              <w:right w:val="single" w:sz="4" w:space="0" w:color="auto"/>
            </w:tcBorders>
            <w:shd w:val="clear" w:color="auto" w:fill="C6EFCE"/>
            <w:noWrap/>
          </w:tcPr>
          <w:p w14:paraId="57E32DD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Ühe rahvusvahelise finantsasutusega sõlmitud tegevusleping</w:t>
            </w:r>
          </w:p>
        </w:tc>
        <w:tc>
          <w:tcPr>
            <w:tcW w:w="1134" w:type="dxa"/>
            <w:tcBorders>
              <w:top w:val="single" w:sz="4" w:space="0" w:color="auto"/>
              <w:left w:val="nil"/>
              <w:bottom w:val="single" w:sz="4" w:space="0" w:color="auto"/>
              <w:right w:val="single" w:sz="4" w:space="0" w:color="auto"/>
            </w:tcBorders>
            <w:shd w:val="clear" w:color="auto" w:fill="C6EFCE"/>
            <w:noWrap/>
          </w:tcPr>
          <w:p w14:paraId="41623B5E" w14:textId="77777777" w:rsidR="00356CBA" w:rsidRPr="00AD4052" w:rsidRDefault="00356CBA">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708C49B5" w14:textId="77777777" w:rsidR="00356CBA" w:rsidRPr="00AD4052" w:rsidRDefault="00356CBA">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50F4864F" w14:textId="77777777" w:rsidR="00356CBA" w:rsidRPr="00AD4052" w:rsidRDefault="00356CBA">
            <w:pPr>
              <w:spacing w:after="0" w:line="240" w:lineRule="auto"/>
              <w:rPr>
                <w:rFonts w:eastAsia="Times New Roman" w:cs="Calibri"/>
                <w:noProof/>
                <w:color w:val="006100"/>
                <w:sz w:val="18"/>
                <w:szCs w:val="18"/>
                <w:lang w:eastAsia="en-GB"/>
              </w:rPr>
            </w:pPr>
          </w:p>
        </w:tc>
        <w:tc>
          <w:tcPr>
            <w:tcW w:w="574" w:type="dxa"/>
            <w:tcBorders>
              <w:top w:val="single" w:sz="4" w:space="0" w:color="auto"/>
              <w:left w:val="nil"/>
              <w:bottom w:val="single" w:sz="4" w:space="0" w:color="auto"/>
              <w:right w:val="single" w:sz="4" w:space="0" w:color="auto"/>
            </w:tcBorders>
            <w:shd w:val="clear" w:color="auto" w:fill="C6EFCE"/>
            <w:noWrap/>
          </w:tcPr>
          <w:p w14:paraId="4FD171B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653" w:type="dxa"/>
            <w:tcBorders>
              <w:top w:val="single" w:sz="4" w:space="0" w:color="auto"/>
              <w:left w:val="nil"/>
              <w:bottom w:val="single" w:sz="4" w:space="0" w:color="auto"/>
              <w:right w:val="single" w:sz="4" w:space="0" w:color="auto"/>
            </w:tcBorders>
            <w:shd w:val="clear" w:color="auto" w:fill="C6EFCE"/>
            <w:noWrap/>
          </w:tcPr>
          <w:p w14:paraId="310484B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2021</w:t>
            </w:r>
          </w:p>
        </w:tc>
        <w:tc>
          <w:tcPr>
            <w:tcW w:w="5730" w:type="dxa"/>
            <w:tcBorders>
              <w:top w:val="single" w:sz="4" w:space="0" w:color="auto"/>
              <w:left w:val="nil"/>
              <w:bottom w:val="single" w:sz="4" w:space="0" w:color="auto"/>
              <w:right w:val="single" w:sz="4" w:space="0" w:color="auto"/>
            </w:tcBorders>
            <w:shd w:val="clear" w:color="auto" w:fill="C6EFCE"/>
            <w:noWrap/>
          </w:tcPr>
          <w:p w14:paraId="15638D3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Võtab vastu tegevusraamistiku, mida kasutatakse kõigi laenulepingute puhul rahvusvaheliste finantsasutustega, ning kirjutab alla rahandusministeeriumi ja vähemalt ühe rahvusvahelise finantsasutuse vahelistele tegevuslepingutele. Raamtegevuskorras sätestatakse:</w:t>
            </w:r>
          </w:p>
          <w:p w14:paraId="272E183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 xml:space="preserve">a) Juhtimis-, valiku-, järelevalve- ja auditikriteeriumid ning kahjumi jagamine järgmiselt: </w:t>
            </w:r>
          </w:p>
          <w:p w14:paraId="2E6361D3" w14:textId="77777777" w:rsidR="00356CBA" w:rsidRPr="00E02B5D" w:rsidRDefault="00356CBA" w:rsidP="00DE1EE5">
            <w:pPr>
              <w:numPr>
                <w:ilvl w:val="0"/>
                <w:numId w:val="70"/>
              </w:numPr>
              <w:tabs>
                <w:tab w:val="left" w:pos="0"/>
              </w:tabs>
              <w:spacing w:after="0" w:line="240" w:lineRule="auto"/>
              <w:jc w:val="both"/>
              <w:rPr>
                <w:rFonts w:eastAsia="Times New Roman" w:cs="Calibri"/>
                <w:noProof/>
                <w:color w:val="006100"/>
                <w:sz w:val="18"/>
                <w:szCs w:val="18"/>
              </w:rPr>
            </w:pPr>
            <w:r>
              <w:rPr>
                <w:noProof/>
                <w:color w:val="006100"/>
                <w:sz w:val="18"/>
              </w:rPr>
              <w:t>Juhtimisraamistik:</w:t>
            </w:r>
          </w:p>
          <w:p w14:paraId="35ACBAD0" w14:textId="77777777" w:rsidR="00356CBA" w:rsidRPr="00E02B5D" w:rsidRDefault="00356CBA" w:rsidP="00DE1EE5">
            <w:pPr>
              <w:numPr>
                <w:ilvl w:val="1"/>
                <w:numId w:val="70"/>
              </w:numPr>
              <w:tabs>
                <w:tab w:val="left" w:pos="0"/>
              </w:tabs>
              <w:spacing w:after="0" w:line="240" w:lineRule="auto"/>
              <w:jc w:val="both"/>
              <w:rPr>
                <w:rFonts w:eastAsia="Times New Roman" w:cs="Calibri"/>
                <w:noProof/>
                <w:color w:val="006100"/>
                <w:sz w:val="18"/>
                <w:szCs w:val="18"/>
              </w:rPr>
            </w:pPr>
            <w:r>
              <w:rPr>
                <w:noProof/>
                <w:color w:val="006100"/>
                <w:sz w:val="18"/>
              </w:rPr>
              <w:t>Otsuste tegemine põhineb usaldusväärsetel majanduslikel kriteeriumidel ja on valitsusest sõltumatu.</w:t>
            </w:r>
          </w:p>
          <w:p w14:paraId="3E878B43" w14:textId="77777777" w:rsidR="00356CBA" w:rsidRPr="00E02B5D" w:rsidRDefault="00356CBA" w:rsidP="00DE1EE5">
            <w:pPr>
              <w:numPr>
                <w:ilvl w:val="1"/>
                <w:numId w:val="70"/>
              </w:numPr>
              <w:tabs>
                <w:tab w:val="left" w:pos="0"/>
              </w:tabs>
              <w:spacing w:after="0" w:line="240" w:lineRule="auto"/>
              <w:jc w:val="both"/>
              <w:rPr>
                <w:rFonts w:eastAsia="Times New Roman" w:cs="Calibri"/>
                <w:noProof/>
                <w:color w:val="006100"/>
                <w:sz w:val="18"/>
                <w:szCs w:val="18"/>
              </w:rPr>
            </w:pPr>
            <w:r>
              <w:rPr>
                <w:noProof/>
                <w:color w:val="006100"/>
                <w:sz w:val="18"/>
              </w:rPr>
              <w:t>IFI hindab rahastamistaotlusi ja teeb otsuse oma sisekriteeriumide alusel. IFI tagab, et rahastatud investeeringute nüüdispuhasväärtus on positiivne, et need on kooskõlas laenurahastu strateegiliste sammastega ja vastavad riigiabi eeskirjadele.</w:t>
            </w:r>
          </w:p>
          <w:p w14:paraId="70F6710A" w14:textId="77777777" w:rsidR="00356CBA" w:rsidRPr="00E02B5D" w:rsidRDefault="00356CBA" w:rsidP="00DE1EE5">
            <w:pPr>
              <w:numPr>
                <w:ilvl w:val="1"/>
                <w:numId w:val="70"/>
              </w:numPr>
              <w:tabs>
                <w:tab w:val="left" w:pos="0"/>
              </w:tabs>
              <w:spacing w:after="0" w:line="240" w:lineRule="auto"/>
              <w:jc w:val="both"/>
              <w:rPr>
                <w:rFonts w:eastAsia="Times New Roman" w:cs="Calibri"/>
                <w:noProof/>
                <w:color w:val="006100"/>
                <w:sz w:val="18"/>
                <w:szCs w:val="18"/>
              </w:rPr>
            </w:pPr>
            <w:r>
              <w:rPr>
                <w:noProof/>
                <w:color w:val="006100"/>
                <w:sz w:val="18"/>
              </w:rPr>
              <w:t xml:space="preserve">Spetsiaalne investeerimisnõukogu komitee jälgib rakendamist, ilma et ta oleks kaasatud valikuprotsessi. IFI annab investeerimisnõukogu komiteele korrapäraselt aru. </w:t>
            </w:r>
          </w:p>
          <w:p w14:paraId="395B7575" w14:textId="77777777" w:rsidR="00356CBA" w:rsidRPr="00E02B5D" w:rsidRDefault="00356CBA" w:rsidP="00DE1EE5">
            <w:pPr>
              <w:numPr>
                <w:ilvl w:val="0"/>
                <w:numId w:val="70"/>
              </w:numPr>
              <w:tabs>
                <w:tab w:val="left" w:pos="0"/>
              </w:tabs>
              <w:spacing w:after="0" w:line="240" w:lineRule="auto"/>
              <w:jc w:val="both"/>
              <w:rPr>
                <w:rFonts w:eastAsia="Times New Roman" w:cs="Calibri"/>
                <w:noProof/>
                <w:color w:val="006100"/>
                <w:sz w:val="18"/>
                <w:szCs w:val="18"/>
              </w:rPr>
            </w:pPr>
            <w:r>
              <w:rPr>
                <w:noProof/>
                <w:color w:val="006100"/>
                <w:sz w:val="18"/>
              </w:rPr>
              <w:t>Osamaksetena tehtava väljamakse summa ning järelevalve ja auditeerimise kord:</w:t>
            </w:r>
          </w:p>
          <w:p w14:paraId="04B5E7D8" w14:textId="77777777" w:rsidR="00356CBA" w:rsidRPr="00E02B5D" w:rsidRDefault="00356CBA" w:rsidP="00DE1EE5">
            <w:pPr>
              <w:numPr>
                <w:ilvl w:val="1"/>
                <w:numId w:val="70"/>
              </w:numPr>
              <w:tabs>
                <w:tab w:val="left" w:pos="0"/>
              </w:tabs>
              <w:spacing w:after="0" w:line="240" w:lineRule="auto"/>
              <w:jc w:val="both"/>
              <w:rPr>
                <w:rFonts w:eastAsia="Times New Roman" w:cs="Calibri"/>
                <w:noProof/>
                <w:color w:val="006100"/>
                <w:sz w:val="18"/>
                <w:szCs w:val="18"/>
              </w:rPr>
            </w:pPr>
            <w:r>
              <w:rPr>
                <w:noProof/>
                <w:color w:val="006100"/>
                <w:sz w:val="18"/>
              </w:rPr>
              <w:t>Väljamakstud laenude jälgimiseks kehtestatakse peamised tulemusnäitajad, mida saab kasutada ka edasiste osamaksete tingimusliku väljaandmise võrdlusalusena.</w:t>
            </w:r>
          </w:p>
          <w:p w14:paraId="518BF0E1" w14:textId="77777777" w:rsidR="00356CBA" w:rsidRPr="00E02B5D" w:rsidRDefault="00356CBA" w:rsidP="00DE1EE5">
            <w:pPr>
              <w:numPr>
                <w:ilvl w:val="1"/>
                <w:numId w:val="70"/>
              </w:numPr>
              <w:tabs>
                <w:tab w:val="left" w:pos="0"/>
              </w:tabs>
              <w:spacing w:after="0" w:line="240" w:lineRule="auto"/>
              <w:jc w:val="both"/>
              <w:rPr>
                <w:rFonts w:eastAsia="Times New Roman" w:cs="Calibri"/>
                <w:noProof/>
                <w:color w:val="006100"/>
                <w:sz w:val="18"/>
                <w:szCs w:val="18"/>
              </w:rPr>
            </w:pPr>
            <w:r>
              <w:rPr>
                <w:noProof/>
                <w:color w:val="006100"/>
                <w:sz w:val="18"/>
              </w:rPr>
              <w:t>Abikõlblikkuse kontrollimiseks on ette nähtud kolm tasandit: i) rahastava finantseerimisasutuse hinnang; ii) sõltumatu sertifitseeritud audiitori tehtud hindamine enne rahastamise andmist; ning iii) sõltumatu sertifitseeritud audiitori tehtud järelhindamine.</w:t>
            </w:r>
            <w:r>
              <w:rPr>
                <w:noProof/>
                <w:color w:val="006100"/>
                <w:sz w:val="18"/>
                <w:highlight w:val="yellow"/>
              </w:rPr>
              <w:t xml:space="preserve"> </w:t>
            </w:r>
            <w:r>
              <w:rPr>
                <w:noProof/>
                <w:color w:val="006100"/>
                <w:sz w:val="18"/>
              </w:rPr>
              <w:t xml:space="preserve">Sõltumatud audiitorid hindavad investeeringute abikõlblikkust valikukriteeriumide alusel ja vastavust asjakohastele riigiabi eeskirjadele. </w:t>
            </w:r>
          </w:p>
          <w:p w14:paraId="00A4D669" w14:textId="77777777" w:rsidR="00356CBA" w:rsidRPr="00E02B5D" w:rsidRDefault="00356CBA" w:rsidP="00DE1EE5">
            <w:pPr>
              <w:numPr>
                <w:ilvl w:val="0"/>
                <w:numId w:val="70"/>
              </w:numPr>
              <w:tabs>
                <w:tab w:val="left" w:pos="0"/>
              </w:tabs>
              <w:spacing w:after="0" w:line="240" w:lineRule="auto"/>
              <w:jc w:val="both"/>
              <w:rPr>
                <w:rFonts w:eastAsia="Times New Roman" w:cs="Calibri"/>
                <w:noProof/>
                <w:color w:val="006100"/>
                <w:sz w:val="18"/>
                <w:szCs w:val="18"/>
              </w:rPr>
            </w:pPr>
            <w:r>
              <w:rPr>
                <w:noProof/>
                <w:color w:val="006100"/>
                <w:sz w:val="18"/>
              </w:rPr>
              <w:t xml:space="preserve">Kahjum laenudelt (võlakirjad või sündikaatlaenud): Riik ja IFI osalevad pari passu. Kõik restruktureerimist käsitlevad otsused määratakse finantseerimisasutustele. </w:t>
            </w:r>
          </w:p>
          <w:p w14:paraId="4EC2387C" w14:textId="77777777" w:rsidR="00356CBA" w:rsidRPr="00E02B5D" w:rsidRDefault="00356CBA" w:rsidP="00DE1EE5">
            <w:pPr>
              <w:numPr>
                <w:ilvl w:val="0"/>
                <w:numId w:val="70"/>
              </w:numPr>
              <w:tabs>
                <w:tab w:val="left" w:pos="0"/>
              </w:tabs>
              <w:spacing w:after="0" w:line="240" w:lineRule="auto"/>
              <w:jc w:val="both"/>
              <w:rPr>
                <w:rFonts w:eastAsia="Times New Roman" w:cs="Calibri"/>
                <w:noProof/>
                <w:color w:val="006100"/>
                <w:sz w:val="18"/>
                <w:szCs w:val="18"/>
              </w:rPr>
            </w:pPr>
            <w:r>
              <w:rPr>
                <w:noProof/>
                <w:color w:val="006100"/>
                <w:sz w:val="18"/>
              </w:rPr>
              <w:t xml:space="preserve">Tagasimaksmata laenude refinantseerimine jäetakse välja. </w:t>
            </w:r>
          </w:p>
          <w:p w14:paraId="0BFDCBB0" w14:textId="3B89EF22" w:rsidR="00356CBA" w:rsidRPr="00E02B5D" w:rsidRDefault="0012568E">
            <w:pPr>
              <w:tabs>
                <w:tab w:val="left" w:pos="0"/>
              </w:tabs>
              <w:spacing w:after="0" w:line="240" w:lineRule="auto"/>
              <w:jc w:val="both"/>
              <w:rPr>
                <w:rFonts w:eastAsia="Times New Roman" w:cs="Calibri"/>
                <w:noProof/>
                <w:color w:val="006100"/>
                <w:sz w:val="18"/>
                <w:szCs w:val="18"/>
              </w:rPr>
            </w:pPr>
            <w:r>
              <w:rPr>
                <w:noProof/>
                <w:color w:val="006100"/>
                <w:sz w:val="18"/>
              </w:rPr>
              <w:t>b) toetatavate tegevuste DNSH-põhimõtet käsitlevatele tehnilistele suunistele (2021/C58/01) vastavuse valikukriteeriumid, mille puhul tuleb kasutada jätkusuutlikkuse hindamist, kõrvalejätmise loetelu ja kohustuslikku õiguspärasuse kontrolli tehingute puhul, mille puhul sõltumatu audiitor ei pea jätkusuutlikkuse hindamist tegema.</w:t>
            </w:r>
          </w:p>
          <w:p w14:paraId="227BC753" w14:textId="7F33A6C1" w:rsidR="00356CBA" w:rsidRPr="00E02B5D" w:rsidRDefault="0012568E">
            <w:pPr>
              <w:spacing w:after="0" w:line="240" w:lineRule="auto"/>
              <w:rPr>
                <w:rFonts w:eastAsia="Times New Roman" w:cs="Calibri"/>
                <w:noProof/>
                <w:color w:val="006100"/>
                <w:sz w:val="18"/>
                <w:szCs w:val="18"/>
              </w:rPr>
            </w:pPr>
            <w:r>
              <w:rPr>
                <w:noProof/>
                <w:color w:val="006100"/>
                <w:sz w:val="18"/>
              </w:rPr>
              <w:t>c) Kohustus investeerida vähemalt 38,5 % vahenditest kliimamuutustega seotud ülemineku toetamiseks ja 20,8 % vahenditest digiülemineku toetamiseks, kasutades kriisilahendusfondi määruse VI ja VII lisas esitatud metoodikat.</w:t>
            </w:r>
          </w:p>
        </w:tc>
      </w:tr>
      <w:tr w:rsidR="007B4D63" w:rsidRPr="003B132A" w14:paraId="4904AD25" w14:textId="77777777" w:rsidTr="00E82BDD">
        <w:trPr>
          <w:trHeight w:val="314"/>
          <w:jc w:val="center"/>
        </w:trPr>
        <w:tc>
          <w:tcPr>
            <w:tcW w:w="846" w:type="dxa"/>
            <w:tcBorders>
              <w:top w:val="nil"/>
              <w:left w:val="single" w:sz="4" w:space="0" w:color="auto"/>
              <w:bottom w:val="single" w:sz="4" w:space="0" w:color="auto"/>
              <w:right w:val="single" w:sz="4" w:space="0" w:color="auto"/>
            </w:tcBorders>
            <w:shd w:val="clear" w:color="auto" w:fill="C6EFCE"/>
            <w:noWrap/>
          </w:tcPr>
          <w:p w14:paraId="21C5CC49" w14:textId="77777777" w:rsidR="00356CBA" w:rsidRPr="00E02B5D" w:rsidRDefault="00356CBA">
            <w:pPr>
              <w:spacing w:after="0" w:line="240" w:lineRule="auto"/>
              <w:rPr>
                <w:rFonts w:eastAsia="Times New Roman" w:cs="Calibri"/>
                <w:noProof/>
                <w:color w:val="006100"/>
              </w:rPr>
            </w:pPr>
            <w:r>
              <w:rPr>
                <w:noProof/>
                <w:color w:val="006100"/>
                <w:sz w:val="18"/>
              </w:rPr>
              <w:t>321</w:t>
            </w:r>
          </w:p>
        </w:tc>
        <w:tc>
          <w:tcPr>
            <w:tcW w:w="1701" w:type="dxa"/>
            <w:tcBorders>
              <w:top w:val="nil"/>
              <w:left w:val="nil"/>
              <w:bottom w:val="single" w:sz="4" w:space="0" w:color="auto"/>
              <w:right w:val="single" w:sz="4" w:space="0" w:color="auto"/>
            </w:tcBorders>
            <w:shd w:val="clear" w:color="auto" w:fill="C6EFCE"/>
            <w:noWrap/>
          </w:tcPr>
          <w:p w14:paraId="3C3AC9A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4.7. Parandada konkurentsivõimet ning edendada erainvesteeringuid ja eksporti – 16980_RRP laenurahastu</w:t>
            </w:r>
          </w:p>
        </w:tc>
        <w:tc>
          <w:tcPr>
            <w:tcW w:w="992" w:type="dxa"/>
            <w:tcBorders>
              <w:top w:val="nil"/>
              <w:left w:val="nil"/>
              <w:bottom w:val="single" w:sz="4" w:space="0" w:color="auto"/>
              <w:right w:val="single" w:sz="4" w:space="0" w:color="auto"/>
            </w:tcBorders>
            <w:shd w:val="clear" w:color="auto" w:fill="C6EFCE"/>
            <w:noWrap/>
          </w:tcPr>
          <w:p w14:paraId="3657462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276" w:type="dxa"/>
            <w:tcBorders>
              <w:top w:val="nil"/>
              <w:left w:val="nil"/>
              <w:bottom w:val="single" w:sz="4" w:space="0" w:color="auto"/>
              <w:right w:val="single" w:sz="4" w:space="0" w:color="auto"/>
            </w:tcBorders>
            <w:shd w:val="clear" w:color="auto" w:fill="C6EFCE"/>
            <w:noWrap/>
          </w:tcPr>
          <w:p w14:paraId="4D2A272B"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Kommertspankade projektikonkursi algatamine</w:t>
            </w:r>
          </w:p>
        </w:tc>
        <w:tc>
          <w:tcPr>
            <w:tcW w:w="1276" w:type="dxa"/>
            <w:tcBorders>
              <w:top w:val="nil"/>
              <w:left w:val="nil"/>
              <w:bottom w:val="single" w:sz="4" w:space="0" w:color="auto"/>
              <w:right w:val="single" w:sz="4" w:space="0" w:color="auto"/>
            </w:tcBorders>
            <w:shd w:val="clear" w:color="auto" w:fill="C6EFCE"/>
            <w:noWrap/>
          </w:tcPr>
          <w:p w14:paraId="652D8BE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Projektikonkursi algatamine</w:t>
            </w:r>
          </w:p>
        </w:tc>
        <w:tc>
          <w:tcPr>
            <w:tcW w:w="1134" w:type="dxa"/>
            <w:tcBorders>
              <w:top w:val="nil"/>
              <w:left w:val="nil"/>
              <w:bottom w:val="single" w:sz="4" w:space="0" w:color="auto"/>
              <w:right w:val="single" w:sz="4" w:space="0" w:color="auto"/>
            </w:tcBorders>
            <w:shd w:val="clear" w:color="auto" w:fill="C6EFCE"/>
            <w:noWrap/>
          </w:tcPr>
          <w:p w14:paraId="1F5C798E"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0" w:type="dxa"/>
            <w:tcBorders>
              <w:top w:val="nil"/>
              <w:left w:val="nil"/>
              <w:bottom w:val="single" w:sz="4" w:space="0" w:color="auto"/>
              <w:right w:val="single" w:sz="4" w:space="0" w:color="auto"/>
            </w:tcBorders>
            <w:shd w:val="clear" w:color="auto" w:fill="C6EFCE"/>
            <w:noWrap/>
          </w:tcPr>
          <w:p w14:paraId="39AFFA41"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tcPr>
          <w:p w14:paraId="2F2055E6"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574" w:type="dxa"/>
            <w:tcBorders>
              <w:top w:val="nil"/>
              <w:left w:val="nil"/>
              <w:bottom w:val="single" w:sz="4" w:space="0" w:color="auto"/>
              <w:right w:val="single" w:sz="4" w:space="0" w:color="auto"/>
            </w:tcBorders>
            <w:shd w:val="clear" w:color="auto" w:fill="C6EFCE"/>
            <w:noWrap/>
          </w:tcPr>
          <w:p w14:paraId="068C1A9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 kv</w:t>
            </w:r>
          </w:p>
        </w:tc>
        <w:tc>
          <w:tcPr>
            <w:tcW w:w="653" w:type="dxa"/>
            <w:tcBorders>
              <w:top w:val="nil"/>
              <w:left w:val="nil"/>
              <w:bottom w:val="single" w:sz="4" w:space="0" w:color="auto"/>
              <w:right w:val="single" w:sz="4" w:space="0" w:color="auto"/>
            </w:tcBorders>
            <w:shd w:val="clear" w:color="auto" w:fill="C6EFCE"/>
            <w:noWrap/>
          </w:tcPr>
          <w:p w14:paraId="47E4077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2021</w:t>
            </w:r>
          </w:p>
        </w:tc>
        <w:tc>
          <w:tcPr>
            <w:tcW w:w="5730" w:type="dxa"/>
            <w:tcBorders>
              <w:top w:val="nil"/>
              <w:left w:val="nil"/>
              <w:bottom w:val="single" w:sz="4" w:space="0" w:color="auto"/>
              <w:right w:val="single" w:sz="4" w:space="0" w:color="auto"/>
            </w:tcBorders>
            <w:shd w:val="clear" w:color="auto" w:fill="C6EFCE"/>
            <w:noWrap/>
          </w:tcPr>
          <w:p w14:paraId="120025F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Võtta vastu raamtegevuskord, mida kasutatakse kõigi kommertspankadega sõlmitavate laenulepingute puhul, ning kuulutab välja kommertspankade valimise kutse, mis hõlmab järgmist:</w:t>
            </w:r>
          </w:p>
          <w:p w14:paraId="2ABC7F1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 Juhtimis-, valiku-, järelevalve- ja auditikriteeriumid ning kahjumi jagamine, järgides samu põhimõtteid nagu eespool kirjeldatud IFI kaudu antavate laenude puhul (eesmärk nr 320). Laenurahastu raames kommertspankade antud laenudele ei anta riigitagatist.</w:t>
            </w:r>
          </w:p>
          <w:p w14:paraId="1C648ED1"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b) toetatavate tegevuste DNSH-põhimõtet käsitlevatele tehnilistele suunistele (2021/C58/01) vastavuse valikukriteeriumid, mille puhul tuleb kasutada jätkusuutlikkuse hindamist, kõrvalejätmise loetelu ja kohustuslikku õiguspärasuse kontrolli tehingute puhul, mille puhul sõltumatu audiitor ei pea jätkusuutlikkuse hindamist tegema.</w:t>
            </w:r>
          </w:p>
          <w:p w14:paraId="58C7AC4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c) Kohustus investeerida vähemalt 38,5 % vahenditest kliimamuutustega seotud ülemineku toetamiseks ja 20,8 % vahenditest digiülemineku toetamiseks, kasutades kriisilahendusfondi määruse VI ja VII lisas esitatud metoodikat.</w:t>
            </w:r>
          </w:p>
          <w:p w14:paraId="7F2852FD" w14:textId="77777777" w:rsidR="00356CBA" w:rsidRPr="00AD4052" w:rsidRDefault="00356CBA">
            <w:pPr>
              <w:spacing w:after="0" w:line="240" w:lineRule="auto"/>
              <w:rPr>
                <w:rFonts w:eastAsia="Times New Roman" w:cs="Calibri"/>
                <w:noProof/>
                <w:color w:val="006100"/>
                <w:sz w:val="18"/>
                <w:szCs w:val="18"/>
                <w:lang w:eastAsia="en-GB"/>
              </w:rPr>
            </w:pPr>
          </w:p>
        </w:tc>
      </w:tr>
      <w:tr w:rsidR="007B4D63" w:rsidRPr="003B132A" w14:paraId="1AB8AD13" w14:textId="77777777" w:rsidTr="00E82BDD">
        <w:trPr>
          <w:trHeight w:val="314"/>
          <w:jc w:val="center"/>
        </w:trPr>
        <w:tc>
          <w:tcPr>
            <w:tcW w:w="846" w:type="dxa"/>
            <w:tcBorders>
              <w:top w:val="nil"/>
              <w:left w:val="single" w:sz="4" w:space="0" w:color="auto"/>
              <w:bottom w:val="single" w:sz="4" w:space="0" w:color="auto"/>
              <w:right w:val="single" w:sz="4" w:space="0" w:color="auto"/>
            </w:tcBorders>
            <w:shd w:val="clear" w:color="auto" w:fill="C6EFCE"/>
            <w:noWrap/>
            <w:hideMark/>
          </w:tcPr>
          <w:p w14:paraId="53733A62" w14:textId="77777777" w:rsidR="00356CBA" w:rsidRPr="00E02B5D" w:rsidRDefault="00356CBA">
            <w:pPr>
              <w:spacing w:after="0" w:line="240" w:lineRule="auto"/>
              <w:rPr>
                <w:noProof/>
                <w:color w:val="006100"/>
                <w:sz w:val="18"/>
              </w:rPr>
            </w:pPr>
            <w:r>
              <w:rPr>
                <w:noProof/>
                <w:color w:val="006100"/>
                <w:sz w:val="18"/>
              </w:rPr>
              <w:t>322</w:t>
            </w:r>
          </w:p>
        </w:tc>
        <w:tc>
          <w:tcPr>
            <w:tcW w:w="1701" w:type="dxa"/>
            <w:tcBorders>
              <w:top w:val="nil"/>
              <w:left w:val="nil"/>
              <w:bottom w:val="single" w:sz="4" w:space="0" w:color="auto"/>
              <w:right w:val="single" w:sz="4" w:space="0" w:color="auto"/>
            </w:tcBorders>
            <w:shd w:val="clear" w:color="auto" w:fill="C6EFCE"/>
            <w:noWrap/>
            <w:hideMark/>
          </w:tcPr>
          <w:p w14:paraId="0693A88F" w14:textId="4DF3EBB1" w:rsidR="00356CBA" w:rsidRPr="00E02B5D" w:rsidRDefault="00356CBA">
            <w:pPr>
              <w:spacing w:after="0" w:line="240" w:lineRule="auto"/>
              <w:rPr>
                <w:rFonts w:eastAsia="Times New Roman" w:cs="Calibri"/>
                <w:noProof/>
                <w:color w:val="006100"/>
                <w:sz w:val="18"/>
                <w:szCs w:val="18"/>
              </w:rPr>
            </w:pPr>
            <w:r>
              <w:rPr>
                <w:noProof/>
                <w:color w:val="006100"/>
                <w:sz w:val="18"/>
              </w:rPr>
              <w:t>4.7. Parandada konkurentsivõimet ning edendada erainvesteeringuid ja eksporti – 16980_RRP laenurahastu</w:t>
            </w:r>
          </w:p>
        </w:tc>
        <w:tc>
          <w:tcPr>
            <w:tcW w:w="992" w:type="dxa"/>
            <w:tcBorders>
              <w:top w:val="nil"/>
              <w:left w:val="nil"/>
              <w:bottom w:val="single" w:sz="4" w:space="0" w:color="auto"/>
              <w:right w:val="single" w:sz="4" w:space="0" w:color="auto"/>
            </w:tcBorders>
            <w:shd w:val="clear" w:color="auto" w:fill="C6EFCE"/>
            <w:noWrap/>
            <w:hideMark/>
          </w:tcPr>
          <w:p w14:paraId="69B6191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276" w:type="dxa"/>
            <w:tcBorders>
              <w:top w:val="nil"/>
              <w:left w:val="nil"/>
              <w:bottom w:val="single" w:sz="4" w:space="0" w:color="auto"/>
              <w:right w:val="single" w:sz="4" w:space="0" w:color="auto"/>
            </w:tcBorders>
            <w:shd w:val="clear" w:color="auto" w:fill="C6EFCE"/>
            <w:noWrap/>
            <w:hideMark/>
          </w:tcPr>
          <w:p w14:paraId="09ED687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Omakapitali platvormi leping</w:t>
            </w:r>
          </w:p>
        </w:tc>
        <w:tc>
          <w:tcPr>
            <w:tcW w:w="1276" w:type="dxa"/>
            <w:tcBorders>
              <w:top w:val="nil"/>
              <w:left w:val="nil"/>
              <w:bottom w:val="single" w:sz="4" w:space="0" w:color="auto"/>
              <w:right w:val="single" w:sz="4" w:space="0" w:color="auto"/>
            </w:tcBorders>
            <w:shd w:val="clear" w:color="auto" w:fill="C6EFCE"/>
            <w:noWrap/>
            <w:hideMark/>
          </w:tcPr>
          <w:p w14:paraId="73CD604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Volituse leping on allkirjastatud</w:t>
            </w:r>
          </w:p>
        </w:tc>
        <w:tc>
          <w:tcPr>
            <w:tcW w:w="1134" w:type="dxa"/>
            <w:tcBorders>
              <w:top w:val="nil"/>
              <w:left w:val="nil"/>
              <w:bottom w:val="single" w:sz="4" w:space="0" w:color="auto"/>
              <w:right w:val="single" w:sz="4" w:space="0" w:color="auto"/>
            </w:tcBorders>
            <w:shd w:val="clear" w:color="auto" w:fill="C6EFCE"/>
            <w:noWrap/>
            <w:hideMark/>
          </w:tcPr>
          <w:p w14:paraId="28F3E687"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0" w:type="dxa"/>
            <w:tcBorders>
              <w:top w:val="nil"/>
              <w:left w:val="nil"/>
              <w:bottom w:val="single" w:sz="4" w:space="0" w:color="auto"/>
              <w:right w:val="single" w:sz="4" w:space="0" w:color="auto"/>
            </w:tcBorders>
            <w:shd w:val="clear" w:color="auto" w:fill="C6EFCE"/>
            <w:noWrap/>
            <w:hideMark/>
          </w:tcPr>
          <w:p w14:paraId="2FDF956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hideMark/>
          </w:tcPr>
          <w:p w14:paraId="2F73210E"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574" w:type="dxa"/>
            <w:tcBorders>
              <w:top w:val="nil"/>
              <w:left w:val="nil"/>
              <w:bottom w:val="single" w:sz="4" w:space="0" w:color="auto"/>
              <w:right w:val="single" w:sz="4" w:space="0" w:color="auto"/>
            </w:tcBorders>
            <w:shd w:val="clear" w:color="auto" w:fill="C6EFCE"/>
            <w:noWrap/>
            <w:hideMark/>
          </w:tcPr>
          <w:p w14:paraId="6EC7D5FF"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kv</w:t>
            </w:r>
          </w:p>
        </w:tc>
        <w:tc>
          <w:tcPr>
            <w:tcW w:w="653" w:type="dxa"/>
            <w:tcBorders>
              <w:top w:val="nil"/>
              <w:left w:val="nil"/>
              <w:bottom w:val="single" w:sz="4" w:space="0" w:color="auto"/>
              <w:right w:val="single" w:sz="4" w:space="0" w:color="auto"/>
            </w:tcBorders>
            <w:shd w:val="clear" w:color="auto" w:fill="C6EFCE"/>
            <w:noWrap/>
            <w:hideMark/>
          </w:tcPr>
          <w:p w14:paraId="0369958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5730" w:type="dxa"/>
            <w:tcBorders>
              <w:top w:val="nil"/>
              <w:left w:val="nil"/>
              <w:bottom w:val="single" w:sz="4" w:space="0" w:color="auto"/>
              <w:right w:val="single" w:sz="4" w:space="0" w:color="auto"/>
            </w:tcBorders>
            <w:shd w:val="clear" w:color="auto" w:fill="C6EFCE"/>
            <w:noWrap/>
            <w:hideMark/>
          </w:tcPr>
          <w:p w14:paraId="0499C8C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Volituse lepingu allkirjastamine rahandusministeeriumi ja Kreeka investeerimisarengupanga vahel, mis haldab Mezzanine’i fondifondi ja Innovate Now Equifund’i. Volitusleping sisaldab toetatavate äriühingute DNSH-põhimõtet käsitlevatele tehniliste suuniste (2021/C58/01) täitmise valikukriteeriume, milles nõutakse jätkusuutlikkuse hindamist, kõrvalejätmise loetelu ja kohustuslikku õigusnormidele vastavuse kontrolli tehingute puhul, mille puhul sõltumatu audiitor ei pea jätkusuutlikkuse tõendeid esitama.</w:t>
            </w:r>
          </w:p>
        </w:tc>
      </w:tr>
      <w:tr w:rsidR="007B4D63" w:rsidRPr="003B132A" w14:paraId="1EEE08EB" w14:textId="77777777" w:rsidTr="00E82BDD">
        <w:trPr>
          <w:trHeight w:val="314"/>
          <w:jc w:val="center"/>
        </w:trPr>
        <w:tc>
          <w:tcPr>
            <w:tcW w:w="846" w:type="dxa"/>
            <w:tcBorders>
              <w:top w:val="nil"/>
              <w:left w:val="single" w:sz="4" w:space="0" w:color="auto"/>
              <w:bottom w:val="single" w:sz="4" w:space="0" w:color="auto"/>
              <w:right w:val="single" w:sz="4" w:space="0" w:color="auto"/>
            </w:tcBorders>
            <w:shd w:val="clear" w:color="auto" w:fill="C6EFCE"/>
            <w:noWrap/>
            <w:hideMark/>
          </w:tcPr>
          <w:p w14:paraId="39D47484" w14:textId="77777777" w:rsidR="00356CBA" w:rsidRPr="00E02B5D" w:rsidRDefault="00356CBA">
            <w:pPr>
              <w:spacing w:after="0" w:line="240" w:lineRule="auto"/>
              <w:rPr>
                <w:noProof/>
                <w:color w:val="006100"/>
                <w:sz w:val="18"/>
              </w:rPr>
            </w:pPr>
            <w:r>
              <w:rPr>
                <w:noProof/>
                <w:color w:val="006100"/>
                <w:sz w:val="18"/>
              </w:rPr>
              <w:t>323</w:t>
            </w:r>
          </w:p>
        </w:tc>
        <w:tc>
          <w:tcPr>
            <w:tcW w:w="1701" w:type="dxa"/>
            <w:tcBorders>
              <w:top w:val="nil"/>
              <w:left w:val="nil"/>
              <w:bottom w:val="single" w:sz="4" w:space="0" w:color="auto"/>
              <w:right w:val="single" w:sz="4" w:space="0" w:color="auto"/>
            </w:tcBorders>
            <w:shd w:val="clear" w:color="auto" w:fill="C6EFCE"/>
            <w:noWrap/>
            <w:hideMark/>
          </w:tcPr>
          <w:p w14:paraId="2686B1CA" w14:textId="21A5D253" w:rsidR="00356CBA" w:rsidRPr="00E02B5D" w:rsidRDefault="00356CBA">
            <w:pPr>
              <w:spacing w:after="0" w:line="240" w:lineRule="auto"/>
              <w:rPr>
                <w:rFonts w:eastAsia="Times New Roman" w:cs="Calibri"/>
                <w:noProof/>
                <w:color w:val="006100"/>
                <w:sz w:val="18"/>
                <w:szCs w:val="18"/>
              </w:rPr>
            </w:pPr>
            <w:r>
              <w:rPr>
                <w:noProof/>
                <w:color w:val="006100"/>
                <w:sz w:val="18"/>
              </w:rPr>
              <w:t>4.7. Parandada konkurentsivõimet ning edendada erainvesteeringuid ja eksporti – 16980_RRP laenurahastu</w:t>
            </w:r>
          </w:p>
        </w:tc>
        <w:tc>
          <w:tcPr>
            <w:tcW w:w="992" w:type="dxa"/>
            <w:tcBorders>
              <w:top w:val="nil"/>
              <w:left w:val="nil"/>
              <w:bottom w:val="single" w:sz="4" w:space="0" w:color="auto"/>
              <w:right w:val="single" w:sz="4" w:space="0" w:color="auto"/>
            </w:tcBorders>
            <w:shd w:val="clear" w:color="auto" w:fill="C6EFCE"/>
            <w:noWrap/>
            <w:hideMark/>
          </w:tcPr>
          <w:p w14:paraId="185F50F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Eesmärk</w:t>
            </w:r>
          </w:p>
        </w:tc>
        <w:tc>
          <w:tcPr>
            <w:tcW w:w="1276" w:type="dxa"/>
            <w:tcBorders>
              <w:top w:val="nil"/>
              <w:left w:val="nil"/>
              <w:bottom w:val="single" w:sz="4" w:space="0" w:color="auto"/>
              <w:right w:val="single" w:sz="4" w:space="0" w:color="auto"/>
            </w:tcBorders>
            <w:shd w:val="clear" w:color="auto" w:fill="C6EFCE"/>
            <w:noWrap/>
            <w:hideMark/>
          </w:tcPr>
          <w:p w14:paraId="1BB1477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InvestEU toetusleping</w:t>
            </w:r>
          </w:p>
        </w:tc>
        <w:tc>
          <w:tcPr>
            <w:tcW w:w="1276" w:type="dxa"/>
            <w:tcBorders>
              <w:top w:val="nil"/>
              <w:left w:val="nil"/>
              <w:bottom w:val="single" w:sz="4" w:space="0" w:color="auto"/>
              <w:right w:val="single" w:sz="4" w:space="0" w:color="auto"/>
            </w:tcBorders>
            <w:shd w:val="clear" w:color="auto" w:fill="C6EFCE"/>
            <w:noWrap/>
            <w:hideMark/>
          </w:tcPr>
          <w:p w14:paraId="7B0F0A6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Allkirjastatud toetusleping</w:t>
            </w:r>
          </w:p>
        </w:tc>
        <w:tc>
          <w:tcPr>
            <w:tcW w:w="1134" w:type="dxa"/>
            <w:tcBorders>
              <w:top w:val="nil"/>
              <w:left w:val="nil"/>
              <w:bottom w:val="single" w:sz="4" w:space="0" w:color="auto"/>
              <w:right w:val="single" w:sz="4" w:space="0" w:color="auto"/>
            </w:tcBorders>
            <w:shd w:val="clear" w:color="auto" w:fill="C6EFCE"/>
            <w:noWrap/>
            <w:hideMark/>
          </w:tcPr>
          <w:p w14:paraId="0B0FD6E9"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0" w:type="dxa"/>
            <w:tcBorders>
              <w:top w:val="nil"/>
              <w:left w:val="nil"/>
              <w:bottom w:val="single" w:sz="4" w:space="0" w:color="auto"/>
              <w:right w:val="single" w:sz="4" w:space="0" w:color="auto"/>
            </w:tcBorders>
            <w:shd w:val="clear" w:color="auto" w:fill="C6EFCE"/>
            <w:noWrap/>
            <w:hideMark/>
          </w:tcPr>
          <w:p w14:paraId="79B45DEA"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851" w:type="dxa"/>
            <w:tcBorders>
              <w:top w:val="nil"/>
              <w:left w:val="nil"/>
              <w:bottom w:val="single" w:sz="4" w:space="0" w:color="auto"/>
              <w:right w:val="single" w:sz="4" w:space="0" w:color="auto"/>
            </w:tcBorders>
            <w:shd w:val="clear" w:color="auto" w:fill="C6EFCE"/>
            <w:noWrap/>
            <w:hideMark/>
          </w:tcPr>
          <w:p w14:paraId="1783DFD5"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574" w:type="dxa"/>
            <w:tcBorders>
              <w:top w:val="nil"/>
              <w:left w:val="nil"/>
              <w:bottom w:val="single" w:sz="4" w:space="0" w:color="auto"/>
              <w:right w:val="single" w:sz="4" w:space="0" w:color="auto"/>
            </w:tcBorders>
            <w:shd w:val="clear" w:color="auto" w:fill="C6EFCE"/>
            <w:noWrap/>
            <w:hideMark/>
          </w:tcPr>
          <w:p w14:paraId="392EB1BD"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1. kv</w:t>
            </w:r>
          </w:p>
        </w:tc>
        <w:tc>
          <w:tcPr>
            <w:tcW w:w="653" w:type="dxa"/>
            <w:tcBorders>
              <w:top w:val="nil"/>
              <w:left w:val="nil"/>
              <w:bottom w:val="single" w:sz="4" w:space="0" w:color="auto"/>
              <w:right w:val="single" w:sz="4" w:space="0" w:color="auto"/>
            </w:tcBorders>
            <w:shd w:val="clear" w:color="auto" w:fill="C6EFCE"/>
            <w:noWrap/>
            <w:hideMark/>
          </w:tcPr>
          <w:p w14:paraId="4F6584D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5730" w:type="dxa"/>
            <w:tcBorders>
              <w:top w:val="nil"/>
              <w:left w:val="nil"/>
              <w:bottom w:val="single" w:sz="4" w:space="0" w:color="auto"/>
              <w:right w:val="single" w:sz="4" w:space="0" w:color="auto"/>
            </w:tcBorders>
            <w:shd w:val="clear" w:color="auto" w:fill="C6EFCE"/>
            <w:noWrap/>
            <w:hideMark/>
          </w:tcPr>
          <w:p w14:paraId="04A501A6" w14:textId="77777777" w:rsidR="00356CBA" w:rsidRPr="00E02B5D" w:rsidDel="00FB5963" w:rsidRDefault="00356CBA">
            <w:pPr>
              <w:spacing w:after="0" w:line="240" w:lineRule="auto"/>
              <w:rPr>
                <w:rFonts w:eastAsia="Times New Roman" w:cs="Calibri"/>
                <w:noProof/>
                <w:color w:val="006100"/>
                <w:sz w:val="18"/>
                <w:szCs w:val="18"/>
              </w:rPr>
            </w:pPr>
            <w:r>
              <w:rPr>
                <w:noProof/>
                <w:color w:val="006100"/>
                <w:sz w:val="18"/>
              </w:rPr>
              <w:t>Programmi „InvestEU“ toetuslepingu allkirjastamine rahandusministeeriumi ja Euroopa Komisjoni vahel, sealhulgas:</w:t>
            </w:r>
          </w:p>
          <w:p w14:paraId="493CE7DD" w14:textId="77777777" w:rsidR="00356CBA" w:rsidRPr="00E02B5D" w:rsidDel="00A80D05" w:rsidRDefault="00356CBA">
            <w:pPr>
              <w:spacing w:after="0" w:line="240" w:lineRule="auto"/>
              <w:rPr>
                <w:rFonts w:eastAsia="Times New Roman" w:cs="Calibri"/>
                <w:noProof/>
                <w:color w:val="006100"/>
                <w:sz w:val="18"/>
                <w:szCs w:val="18"/>
              </w:rPr>
            </w:pPr>
            <w:r>
              <w:rPr>
                <w:noProof/>
                <w:color w:val="006100"/>
                <w:sz w:val="18"/>
              </w:rPr>
              <w:t>a) toetatavate äriühingute DNSH-põhimõtet käsitlevatele tehnilistele suunistele (2021/C58/01) vastavuse valikukriteeriumid, mille kohaselt tuleb kasutada jätkusuutlikkuse hindamist, kõrvalejätmise loetelu ja kohustuslikku õiguspärasuse kontrolli tehingute puhul, mille puhul sõltumatu audiitor on vabastanud jätkusuutlikkuse tõendamisest.</w:t>
            </w:r>
          </w:p>
          <w:p w14:paraId="4097E9B8"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b) Kohustus investeerida vähemalt 38,5 % vahenditest kliimamuutustega seotud ülemineku toetamiseks ja 20,8 % vahenditest digiülemineku toetamiseks, kasutades kriisilahendusfondi määruse VI ja VII lisas esitatud metoodikat.</w:t>
            </w:r>
          </w:p>
        </w:tc>
      </w:tr>
      <w:tr w:rsidR="007B4D63" w:rsidRPr="003B132A" w14:paraId="616848FD"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2CD8E761" w14:textId="77777777" w:rsidR="00356CBA" w:rsidRPr="00E02B5D" w:rsidRDefault="00356CBA">
            <w:pPr>
              <w:spacing w:after="0" w:line="240" w:lineRule="auto"/>
              <w:rPr>
                <w:noProof/>
                <w:color w:val="006100"/>
                <w:sz w:val="18"/>
              </w:rPr>
            </w:pPr>
            <w:r>
              <w:rPr>
                <w:noProof/>
                <w:color w:val="006100"/>
                <w:sz w:val="18"/>
              </w:rPr>
              <w:t>324</w:t>
            </w:r>
          </w:p>
        </w:tc>
        <w:tc>
          <w:tcPr>
            <w:tcW w:w="1701" w:type="dxa"/>
            <w:tcBorders>
              <w:top w:val="single" w:sz="4" w:space="0" w:color="auto"/>
              <w:left w:val="nil"/>
              <w:bottom w:val="single" w:sz="4" w:space="0" w:color="auto"/>
              <w:right w:val="single" w:sz="4" w:space="0" w:color="auto"/>
            </w:tcBorders>
            <w:shd w:val="clear" w:color="auto" w:fill="C6EFCE"/>
            <w:noWrap/>
          </w:tcPr>
          <w:p w14:paraId="18313D12" w14:textId="77777777" w:rsidR="00356CBA" w:rsidRPr="00E02B5D" w:rsidRDefault="00356CBA">
            <w:pPr>
              <w:spacing w:after="0" w:line="240" w:lineRule="auto"/>
              <w:rPr>
                <w:rFonts w:eastAsia="Times New Roman" w:cs="Calibri"/>
                <w:noProof/>
                <w:color w:val="006100"/>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3400A44C"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Siht</w:t>
            </w:r>
          </w:p>
        </w:tc>
        <w:tc>
          <w:tcPr>
            <w:tcW w:w="1276" w:type="dxa"/>
            <w:tcBorders>
              <w:top w:val="single" w:sz="4" w:space="0" w:color="auto"/>
              <w:left w:val="nil"/>
              <w:bottom w:val="single" w:sz="4" w:space="0" w:color="auto"/>
              <w:right w:val="single" w:sz="4" w:space="0" w:color="auto"/>
            </w:tcBorders>
            <w:shd w:val="clear" w:color="auto" w:fill="C6EFCE"/>
            <w:noWrap/>
          </w:tcPr>
          <w:p w14:paraId="17ABB966"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586,4 miljonit eurot finantsinstitutsioonide vahendeid, mis on allkirjastatud lõplike abisaajatega</w:t>
            </w:r>
          </w:p>
        </w:tc>
        <w:tc>
          <w:tcPr>
            <w:tcW w:w="1276" w:type="dxa"/>
            <w:tcBorders>
              <w:top w:val="single" w:sz="4" w:space="0" w:color="auto"/>
              <w:left w:val="nil"/>
              <w:bottom w:val="single" w:sz="4" w:space="0" w:color="auto"/>
              <w:right w:val="single" w:sz="4" w:space="0" w:color="auto"/>
            </w:tcBorders>
            <w:shd w:val="clear" w:color="auto" w:fill="C6EFCE"/>
            <w:noWrap/>
          </w:tcPr>
          <w:p w14:paraId="31F443F7"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02E0204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Allkirjastatud rahaliste vahendite protsent</w:t>
            </w:r>
          </w:p>
        </w:tc>
        <w:tc>
          <w:tcPr>
            <w:tcW w:w="850" w:type="dxa"/>
            <w:tcBorders>
              <w:top w:val="single" w:sz="4" w:space="0" w:color="auto"/>
              <w:left w:val="nil"/>
              <w:bottom w:val="single" w:sz="4" w:space="0" w:color="auto"/>
              <w:right w:val="single" w:sz="4" w:space="0" w:color="auto"/>
            </w:tcBorders>
            <w:shd w:val="clear" w:color="auto" w:fill="C6EFCE"/>
            <w:noWrap/>
          </w:tcPr>
          <w:p w14:paraId="6B4299C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0</w:t>
            </w:r>
          </w:p>
        </w:tc>
        <w:tc>
          <w:tcPr>
            <w:tcW w:w="851" w:type="dxa"/>
            <w:tcBorders>
              <w:top w:val="single" w:sz="4" w:space="0" w:color="auto"/>
              <w:left w:val="nil"/>
              <w:bottom w:val="single" w:sz="4" w:space="0" w:color="auto"/>
              <w:right w:val="single" w:sz="4" w:space="0" w:color="auto"/>
            </w:tcBorders>
            <w:shd w:val="clear" w:color="auto" w:fill="C6EFCE"/>
            <w:noWrap/>
          </w:tcPr>
          <w:p w14:paraId="7511852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5</w:t>
            </w:r>
          </w:p>
        </w:tc>
        <w:tc>
          <w:tcPr>
            <w:tcW w:w="574" w:type="dxa"/>
            <w:tcBorders>
              <w:top w:val="single" w:sz="4" w:space="0" w:color="auto"/>
              <w:left w:val="nil"/>
              <w:bottom w:val="single" w:sz="4" w:space="0" w:color="auto"/>
              <w:right w:val="single" w:sz="4" w:space="0" w:color="auto"/>
            </w:tcBorders>
            <w:shd w:val="clear" w:color="auto" w:fill="C6EFCE"/>
            <w:noWrap/>
          </w:tcPr>
          <w:p w14:paraId="3C2D8295"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53" w:type="dxa"/>
            <w:tcBorders>
              <w:top w:val="single" w:sz="4" w:space="0" w:color="auto"/>
              <w:left w:val="nil"/>
              <w:bottom w:val="single" w:sz="4" w:space="0" w:color="auto"/>
              <w:right w:val="single" w:sz="4" w:space="0" w:color="auto"/>
            </w:tcBorders>
            <w:shd w:val="clear" w:color="auto" w:fill="C6EFCE"/>
            <w:noWrap/>
          </w:tcPr>
          <w:p w14:paraId="38F75323"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2022</w:t>
            </w:r>
          </w:p>
        </w:tc>
        <w:tc>
          <w:tcPr>
            <w:tcW w:w="5730" w:type="dxa"/>
            <w:tcBorders>
              <w:top w:val="single" w:sz="4" w:space="0" w:color="auto"/>
              <w:left w:val="nil"/>
              <w:bottom w:val="single" w:sz="4" w:space="0" w:color="auto"/>
              <w:right w:val="single" w:sz="4" w:space="0" w:color="auto"/>
            </w:tcBorders>
            <w:shd w:val="clear" w:color="auto" w:fill="C6EFCE"/>
            <w:noWrap/>
          </w:tcPr>
          <w:p w14:paraId="033D4AB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Rahvusvaheliste finantsasutuste ja kommertspankadega seotud taaste- ja vastupidavusrahastu laenurahastu vahenditest on allkirjastatud 586,4 miljonit eurot (sh haldustasud) lõplike abisaajatega kooskõlas eesmärgis kindlaks määratud volitustega ning pärast seda, kui sõltumatud audiitorid on teinud eelkontrolli juhtimise, valiku-, seire-, auditi- ja kahjumijagamise kriteeriumide, olulise kahju ärahoidmise tehniliste suuniste (2021/C58/01) ning 38,5 % kliimaeesmärgi ja 20,8 % digieesmärgi täitmise kohta.</w:t>
            </w:r>
          </w:p>
        </w:tc>
      </w:tr>
      <w:tr w:rsidR="007B4D63" w:rsidRPr="003B132A" w14:paraId="6B5ED77C"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78C4EB13" w14:textId="77777777" w:rsidR="00356CBA" w:rsidRPr="00E02B5D" w:rsidRDefault="00356CBA">
            <w:pPr>
              <w:spacing w:after="0" w:line="240" w:lineRule="auto"/>
              <w:rPr>
                <w:rFonts w:eastAsia="Times New Roman" w:cs="Calibri"/>
                <w:noProof/>
                <w:color w:val="006100"/>
              </w:rPr>
            </w:pPr>
            <w:r>
              <w:rPr>
                <w:noProof/>
                <w:color w:val="006100"/>
                <w:sz w:val="18"/>
              </w:rPr>
              <w:t>325</w:t>
            </w:r>
          </w:p>
        </w:tc>
        <w:tc>
          <w:tcPr>
            <w:tcW w:w="1701" w:type="dxa"/>
            <w:tcBorders>
              <w:top w:val="single" w:sz="4" w:space="0" w:color="auto"/>
              <w:left w:val="nil"/>
              <w:bottom w:val="single" w:sz="4" w:space="0" w:color="auto"/>
              <w:right w:val="single" w:sz="4" w:space="0" w:color="auto"/>
            </w:tcBorders>
            <w:shd w:val="clear" w:color="auto" w:fill="C6EFCE"/>
            <w:noWrap/>
          </w:tcPr>
          <w:p w14:paraId="357B2E97" w14:textId="77777777" w:rsidR="00356CBA" w:rsidRPr="00E02B5D" w:rsidRDefault="00356CBA">
            <w:pPr>
              <w:spacing w:after="0" w:line="240" w:lineRule="auto"/>
              <w:rPr>
                <w:rFonts w:eastAsia="Times New Roman" w:cs="Calibri"/>
                <w:noProof/>
                <w:color w:val="006100"/>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51B725E7"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Siht</w:t>
            </w:r>
          </w:p>
        </w:tc>
        <w:tc>
          <w:tcPr>
            <w:tcW w:w="1276" w:type="dxa"/>
            <w:tcBorders>
              <w:top w:val="single" w:sz="4" w:space="0" w:color="auto"/>
              <w:left w:val="nil"/>
              <w:bottom w:val="single" w:sz="4" w:space="0" w:color="auto"/>
              <w:right w:val="single" w:sz="4" w:space="0" w:color="auto"/>
            </w:tcBorders>
            <w:shd w:val="clear" w:color="auto" w:fill="C6EFCE"/>
            <w:noWrap/>
          </w:tcPr>
          <w:p w14:paraId="7A3600F5" w14:textId="4A635419" w:rsidR="00356CBA" w:rsidRPr="00E02B5D" w:rsidRDefault="00356CBA">
            <w:pPr>
              <w:spacing w:after="0" w:line="240" w:lineRule="auto"/>
              <w:rPr>
                <w:rFonts w:eastAsia="Times New Roman" w:cs="Calibri"/>
                <w:noProof/>
                <w:color w:val="006100"/>
                <w:sz w:val="18"/>
                <w:szCs w:val="18"/>
              </w:rPr>
            </w:pPr>
            <w:r>
              <w:rPr>
                <w:noProof/>
                <w:color w:val="006100"/>
                <w:sz w:val="18"/>
              </w:rPr>
              <w:t>3 518,4 miljonit eurot finantsinstitutsioonide vahendeid, mis on allkirjastatud lõplike abisaajatega</w:t>
            </w:r>
          </w:p>
        </w:tc>
        <w:tc>
          <w:tcPr>
            <w:tcW w:w="1276" w:type="dxa"/>
            <w:tcBorders>
              <w:top w:val="single" w:sz="4" w:space="0" w:color="auto"/>
              <w:left w:val="nil"/>
              <w:bottom w:val="single" w:sz="4" w:space="0" w:color="auto"/>
              <w:right w:val="single" w:sz="4" w:space="0" w:color="auto"/>
            </w:tcBorders>
            <w:shd w:val="clear" w:color="auto" w:fill="C6EFCE"/>
            <w:noWrap/>
          </w:tcPr>
          <w:p w14:paraId="04CFA261" w14:textId="77777777" w:rsidR="00356CBA" w:rsidRPr="00E02B5D" w:rsidRDefault="00356CBA">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2C9521F4"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Allkirjastatud rahaliste vahendite protsent</w:t>
            </w:r>
          </w:p>
        </w:tc>
        <w:tc>
          <w:tcPr>
            <w:tcW w:w="850" w:type="dxa"/>
            <w:tcBorders>
              <w:top w:val="single" w:sz="4" w:space="0" w:color="auto"/>
              <w:left w:val="nil"/>
              <w:bottom w:val="single" w:sz="4" w:space="0" w:color="auto"/>
              <w:right w:val="single" w:sz="4" w:space="0" w:color="auto"/>
            </w:tcBorders>
            <w:shd w:val="clear" w:color="auto" w:fill="C6EFCE"/>
            <w:noWrap/>
          </w:tcPr>
          <w:p w14:paraId="704468C0"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5</w:t>
            </w:r>
          </w:p>
        </w:tc>
        <w:tc>
          <w:tcPr>
            <w:tcW w:w="851" w:type="dxa"/>
            <w:tcBorders>
              <w:top w:val="single" w:sz="4" w:space="0" w:color="auto"/>
              <w:left w:val="nil"/>
              <w:bottom w:val="single" w:sz="4" w:space="0" w:color="auto"/>
              <w:right w:val="single" w:sz="4" w:space="0" w:color="auto"/>
            </w:tcBorders>
            <w:shd w:val="clear" w:color="auto" w:fill="C6EFCE"/>
            <w:noWrap/>
          </w:tcPr>
          <w:p w14:paraId="0B73892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30</w:t>
            </w:r>
          </w:p>
        </w:tc>
        <w:tc>
          <w:tcPr>
            <w:tcW w:w="574" w:type="dxa"/>
            <w:tcBorders>
              <w:top w:val="single" w:sz="4" w:space="0" w:color="auto"/>
              <w:left w:val="nil"/>
              <w:bottom w:val="single" w:sz="4" w:space="0" w:color="auto"/>
              <w:right w:val="single" w:sz="4" w:space="0" w:color="auto"/>
            </w:tcBorders>
            <w:shd w:val="clear" w:color="auto" w:fill="C6EFCE"/>
            <w:noWrap/>
          </w:tcPr>
          <w:p w14:paraId="6A61A3A9"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4. kv</w:t>
            </w:r>
          </w:p>
        </w:tc>
        <w:tc>
          <w:tcPr>
            <w:tcW w:w="653" w:type="dxa"/>
            <w:tcBorders>
              <w:top w:val="single" w:sz="4" w:space="0" w:color="auto"/>
              <w:left w:val="nil"/>
              <w:bottom w:val="single" w:sz="4" w:space="0" w:color="auto"/>
              <w:right w:val="single" w:sz="4" w:space="0" w:color="auto"/>
            </w:tcBorders>
            <w:shd w:val="clear" w:color="auto" w:fill="C6EFCE"/>
            <w:noWrap/>
          </w:tcPr>
          <w:p w14:paraId="3ED08C52"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2023</w:t>
            </w:r>
          </w:p>
        </w:tc>
        <w:tc>
          <w:tcPr>
            <w:tcW w:w="5730" w:type="dxa"/>
            <w:tcBorders>
              <w:top w:val="single" w:sz="4" w:space="0" w:color="auto"/>
              <w:left w:val="nil"/>
              <w:bottom w:val="single" w:sz="4" w:space="0" w:color="auto"/>
              <w:right w:val="single" w:sz="4" w:space="0" w:color="auto"/>
            </w:tcBorders>
            <w:shd w:val="clear" w:color="auto" w:fill="C6EFCE"/>
            <w:noWrap/>
          </w:tcPr>
          <w:p w14:paraId="61A3FE47" w14:textId="2D8913F9" w:rsidR="00356CBA" w:rsidRPr="00E02B5D" w:rsidRDefault="00356CBA">
            <w:pPr>
              <w:spacing w:after="0" w:line="240" w:lineRule="auto"/>
              <w:rPr>
                <w:rFonts w:eastAsia="Times New Roman" w:cs="Calibri"/>
                <w:noProof/>
                <w:color w:val="006100"/>
                <w:sz w:val="18"/>
                <w:szCs w:val="18"/>
              </w:rPr>
            </w:pPr>
            <w:r>
              <w:rPr>
                <w:noProof/>
                <w:color w:val="006100"/>
                <w:sz w:val="18"/>
              </w:rPr>
              <w:t>Rahvusvaheliste finantsasutuste ja kommertspankadega seotud taaste- ja vastupidavusrahastu laenurahastu vahenditest on allkirjastatud 3 518,4 miljonit eurot (sh haldustasud) lõplike abisaajatega kooskõlas eesmärgis kindlaks määratud volitustega ning pärast seda, kui sõltumatud audiitorid on teinud eelkontrolli juhtimise, valiku-, seire-, auditi- ja kahjumijagamise kriteeriumide, olulise kahju ärahoidmise tehniliste suuniste (2021/C58/01) ning 38,5 % kliimaeesmärgi ja 20,8 % digieesmärgi täitmise kohta.</w:t>
            </w:r>
          </w:p>
        </w:tc>
      </w:tr>
      <w:tr w:rsidR="007B4D63" w:rsidRPr="003B132A" w14:paraId="7430F3D2"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307DAD41" w14:textId="77777777" w:rsidR="00356CBA" w:rsidRPr="00E02B5D" w:rsidRDefault="00356CBA" w:rsidP="00D16F13">
            <w:pPr>
              <w:spacing w:after="0" w:line="240" w:lineRule="auto"/>
              <w:rPr>
                <w:rFonts w:eastAsia="Times New Roman" w:cs="Calibri"/>
                <w:noProof/>
                <w:color w:val="006100"/>
              </w:rPr>
            </w:pPr>
            <w:r>
              <w:rPr>
                <w:noProof/>
                <w:color w:val="006100"/>
                <w:sz w:val="18"/>
              </w:rPr>
              <w:t>325a</w:t>
            </w:r>
          </w:p>
        </w:tc>
        <w:tc>
          <w:tcPr>
            <w:tcW w:w="1701" w:type="dxa"/>
            <w:tcBorders>
              <w:top w:val="single" w:sz="4" w:space="0" w:color="auto"/>
              <w:left w:val="nil"/>
              <w:bottom w:val="single" w:sz="4" w:space="0" w:color="auto"/>
              <w:right w:val="single" w:sz="4" w:space="0" w:color="auto"/>
            </w:tcBorders>
            <w:shd w:val="clear" w:color="auto" w:fill="C6EFCE"/>
            <w:noWrap/>
          </w:tcPr>
          <w:p w14:paraId="606C5E2B" w14:textId="77777777" w:rsidR="00356CBA" w:rsidRPr="00E02B5D" w:rsidRDefault="00356CBA" w:rsidP="00D16F13">
            <w:pPr>
              <w:spacing w:after="0" w:line="240" w:lineRule="auto"/>
              <w:rPr>
                <w:noProof/>
                <w:color w:val="006100"/>
                <w:sz w:val="18"/>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3865835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Siht</w:t>
            </w:r>
          </w:p>
        </w:tc>
        <w:tc>
          <w:tcPr>
            <w:tcW w:w="1276" w:type="dxa"/>
            <w:tcBorders>
              <w:top w:val="single" w:sz="4" w:space="0" w:color="auto"/>
              <w:left w:val="nil"/>
              <w:bottom w:val="single" w:sz="4" w:space="0" w:color="auto"/>
              <w:right w:val="single" w:sz="4" w:space="0" w:color="auto"/>
            </w:tcBorders>
            <w:shd w:val="clear" w:color="auto" w:fill="C6EFCE"/>
            <w:noWrap/>
          </w:tcPr>
          <w:p w14:paraId="296D8EA2" w14:textId="4F60E010"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4 518,4 miljonit eurot finantsinstitutsioonide vahendeid, mis on allkirjastatud lõplike abisaajatega</w:t>
            </w:r>
          </w:p>
        </w:tc>
        <w:tc>
          <w:tcPr>
            <w:tcW w:w="1276" w:type="dxa"/>
            <w:tcBorders>
              <w:top w:val="single" w:sz="4" w:space="0" w:color="auto"/>
              <w:left w:val="nil"/>
              <w:bottom w:val="single" w:sz="4" w:space="0" w:color="auto"/>
              <w:right w:val="single" w:sz="4" w:space="0" w:color="auto"/>
            </w:tcBorders>
            <w:shd w:val="clear" w:color="auto" w:fill="C6EFCE"/>
            <w:noWrap/>
          </w:tcPr>
          <w:p w14:paraId="6B059C63"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514D835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Allkirjastatud rahaliste vahendite summa (eurodes)</w:t>
            </w:r>
          </w:p>
        </w:tc>
        <w:tc>
          <w:tcPr>
            <w:tcW w:w="850" w:type="dxa"/>
            <w:tcBorders>
              <w:top w:val="single" w:sz="4" w:space="0" w:color="auto"/>
              <w:left w:val="nil"/>
              <w:bottom w:val="single" w:sz="4" w:space="0" w:color="auto"/>
              <w:right w:val="single" w:sz="4" w:space="0" w:color="auto"/>
            </w:tcBorders>
            <w:shd w:val="clear" w:color="auto" w:fill="C6EFCE"/>
            <w:noWrap/>
          </w:tcPr>
          <w:p w14:paraId="25B57B4D" w14:textId="2AA4E4E9" w:rsidR="00356CBA" w:rsidRPr="00E02B5D" w:rsidRDefault="00356CBA" w:rsidP="00D16F13">
            <w:pPr>
              <w:spacing w:after="0" w:line="240" w:lineRule="auto"/>
              <w:rPr>
                <w:rFonts w:eastAsia="Times New Roman" w:cs="Calibri"/>
                <w:noProof/>
                <w:color w:val="006100"/>
                <w:sz w:val="18"/>
                <w:szCs w:val="18"/>
              </w:rPr>
            </w:pPr>
            <w:r>
              <w:rPr>
                <w:noProof/>
                <w:color w:val="006100"/>
                <w:sz w:val="18"/>
              </w:rPr>
              <w:t>3 518,4</w:t>
            </w:r>
          </w:p>
        </w:tc>
        <w:tc>
          <w:tcPr>
            <w:tcW w:w="851" w:type="dxa"/>
            <w:tcBorders>
              <w:top w:val="single" w:sz="4" w:space="0" w:color="auto"/>
              <w:left w:val="nil"/>
              <w:bottom w:val="single" w:sz="4" w:space="0" w:color="auto"/>
              <w:right w:val="single" w:sz="4" w:space="0" w:color="auto"/>
            </w:tcBorders>
            <w:shd w:val="clear" w:color="auto" w:fill="C6EFCE"/>
            <w:noWrap/>
          </w:tcPr>
          <w:p w14:paraId="3E47FDC2" w14:textId="6600A2DB"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4 518,4</w:t>
            </w:r>
          </w:p>
        </w:tc>
        <w:tc>
          <w:tcPr>
            <w:tcW w:w="574" w:type="dxa"/>
            <w:tcBorders>
              <w:top w:val="single" w:sz="4" w:space="0" w:color="auto"/>
              <w:left w:val="nil"/>
              <w:bottom w:val="single" w:sz="4" w:space="0" w:color="auto"/>
              <w:right w:val="single" w:sz="4" w:space="0" w:color="auto"/>
            </w:tcBorders>
            <w:shd w:val="clear" w:color="auto" w:fill="C6EFCE"/>
            <w:noWrap/>
          </w:tcPr>
          <w:p w14:paraId="6ADECB93"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kv</w:t>
            </w:r>
          </w:p>
        </w:tc>
        <w:tc>
          <w:tcPr>
            <w:tcW w:w="653" w:type="dxa"/>
            <w:tcBorders>
              <w:top w:val="single" w:sz="4" w:space="0" w:color="auto"/>
              <w:left w:val="nil"/>
              <w:bottom w:val="single" w:sz="4" w:space="0" w:color="auto"/>
              <w:right w:val="single" w:sz="4" w:space="0" w:color="auto"/>
            </w:tcBorders>
            <w:shd w:val="clear" w:color="auto" w:fill="C6EFCE"/>
            <w:noWrap/>
          </w:tcPr>
          <w:p w14:paraId="0034A6EA"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2024</w:t>
            </w:r>
          </w:p>
        </w:tc>
        <w:tc>
          <w:tcPr>
            <w:tcW w:w="5730" w:type="dxa"/>
            <w:tcBorders>
              <w:top w:val="single" w:sz="4" w:space="0" w:color="auto"/>
              <w:left w:val="nil"/>
              <w:bottom w:val="single" w:sz="4" w:space="0" w:color="auto"/>
              <w:right w:val="single" w:sz="4" w:space="0" w:color="auto"/>
            </w:tcBorders>
            <w:shd w:val="clear" w:color="auto" w:fill="C6EFCE"/>
            <w:noWrap/>
          </w:tcPr>
          <w:p w14:paraId="7EF410AF" w14:textId="0FE0DA86" w:rsidR="00356CBA" w:rsidRPr="00E02B5D" w:rsidRDefault="00356CBA" w:rsidP="00D16F13">
            <w:pPr>
              <w:spacing w:after="0" w:line="240" w:lineRule="auto"/>
              <w:rPr>
                <w:rFonts w:eastAsia="Times New Roman" w:cs="Calibri"/>
                <w:noProof/>
                <w:color w:val="006100"/>
                <w:sz w:val="18"/>
                <w:szCs w:val="18"/>
              </w:rPr>
            </w:pPr>
            <w:r>
              <w:rPr>
                <w:noProof/>
                <w:color w:val="006100"/>
                <w:sz w:val="18"/>
              </w:rPr>
              <w:t>Rahvusvaheliste finantsasutuste ja kommertspankadega seotud taaste- ja vastupidavusrahastu laenurahastu vahenditest on allkirjastatud 4 518,4 miljonit eurot (sh haldustasud) lõplike abisaajatega kooskõlas eesmärgis kindlaks määratud volitustega ning pärast seda, kui sõltumatud audiitorid on teinud eelkontrolli juhtimise, valiku-, seire-, auditi- ja kahjumijagamise kriteeriumide, olulise kahju ärahoidmise tehniliste suuniste (2021/C58/01) ning 38,5 % kliimaeesmärgi ja 20,8 % digieesmärgi saavutamisse.</w:t>
            </w:r>
          </w:p>
        </w:tc>
      </w:tr>
      <w:tr w:rsidR="007B4D63" w:rsidRPr="003B132A" w14:paraId="3FD79C41"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1506BD3F" w14:textId="77777777" w:rsidR="00356CBA" w:rsidRPr="00E02B5D" w:rsidRDefault="00356CBA" w:rsidP="00D16F13">
            <w:pPr>
              <w:spacing w:after="0" w:line="240" w:lineRule="auto"/>
              <w:rPr>
                <w:rFonts w:eastAsia="Times New Roman" w:cs="Calibri"/>
                <w:noProof/>
                <w:color w:val="006100"/>
              </w:rPr>
            </w:pPr>
            <w:r>
              <w:rPr>
                <w:noProof/>
                <w:color w:val="006100"/>
                <w:sz w:val="18"/>
              </w:rPr>
              <w:t>326</w:t>
            </w:r>
          </w:p>
        </w:tc>
        <w:tc>
          <w:tcPr>
            <w:tcW w:w="1701" w:type="dxa"/>
            <w:tcBorders>
              <w:top w:val="single" w:sz="4" w:space="0" w:color="auto"/>
              <w:left w:val="nil"/>
              <w:bottom w:val="single" w:sz="4" w:space="0" w:color="auto"/>
              <w:right w:val="single" w:sz="4" w:space="0" w:color="auto"/>
            </w:tcBorders>
            <w:shd w:val="clear" w:color="auto" w:fill="C6EFCE"/>
            <w:noWrap/>
          </w:tcPr>
          <w:p w14:paraId="3E96DA67" w14:textId="77777777" w:rsidR="00356CBA" w:rsidRPr="00E02B5D" w:rsidRDefault="00356CBA" w:rsidP="00D16F13">
            <w:pPr>
              <w:spacing w:after="0" w:line="240" w:lineRule="auto"/>
              <w:rPr>
                <w:noProof/>
                <w:color w:val="006100"/>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3C4563F4"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Siht</w:t>
            </w:r>
          </w:p>
        </w:tc>
        <w:tc>
          <w:tcPr>
            <w:tcW w:w="1276" w:type="dxa"/>
            <w:tcBorders>
              <w:top w:val="single" w:sz="4" w:space="0" w:color="auto"/>
              <w:left w:val="nil"/>
              <w:bottom w:val="single" w:sz="4" w:space="0" w:color="auto"/>
              <w:right w:val="single" w:sz="4" w:space="0" w:color="auto"/>
            </w:tcBorders>
            <w:shd w:val="clear" w:color="auto" w:fill="C6EFCE"/>
            <w:noWrap/>
          </w:tcPr>
          <w:p w14:paraId="4D186CDE" w14:textId="3A8DB52F" w:rsidR="00356CBA" w:rsidRPr="00E02B5D" w:rsidRDefault="00356CBA" w:rsidP="00D16F13">
            <w:pPr>
              <w:spacing w:after="0" w:line="240" w:lineRule="auto"/>
              <w:rPr>
                <w:rFonts w:eastAsia="Times New Roman" w:cs="Calibri"/>
                <w:noProof/>
                <w:color w:val="006100"/>
                <w:sz w:val="18"/>
                <w:szCs w:val="18"/>
              </w:rPr>
            </w:pPr>
            <w:r>
              <w:rPr>
                <w:noProof/>
                <w:color w:val="006100"/>
                <w:sz w:val="18"/>
              </w:rPr>
              <w:t>7 064 miljonit eurot finantsinstitutsioonide vahendeid, mis on allkirjastatud lõplike abisaajatega</w:t>
            </w:r>
          </w:p>
        </w:tc>
        <w:tc>
          <w:tcPr>
            <w:tcW w:w="1276" w:type="dxa"/>
            <w:tcBorders>
              <w:top w:val="single" w:sz="4" w:space="0" w:color="auto"/>
              <w:left w:val="nil"/>
              <w:bottom w:val="single" w:sz="4" w:space="0" w:color="auto"/>
              <w:right w:val="single" w:sz="4" w:space="0" w:color="auto"/>
            </w:tcBorders>
            <w:shd w:val="clear" w:color="auto" w:fill="C6EFCE"/>
            <w:noWrap/>
          </w:tcPr>
          <w:p w14:paraId="3D1569B3"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7984C4D3" w14:textId="2FAFE22A" w:rsidR="00356CBA" w:rsidRPr="00E02B5D" w:rsidRDefault="30A4CC0A" w:rsidP="00D16F13">
            <w:pPr>
              <w:spacing w:after="0" w:line="240" w:lineRule="auto"/>
              <w:rPr>
                <w:rFonts w:eastAsia="Times New Roman" w:cs="Calibri"/>
                <w:noProof/>
                <w:color w:val="006100"/>
                <w:sz w:val="18"/>
                <w:szCs w:val="18"/>
              </w:rPr>
            </w:pPr>
            <w:r>
              <w:rPr>
                <w:noProof/>
                <w:color w:val="006100"/>
                <w:sz w:val="18"/>
              </w:rPr>
              <w:t xml:space="preserve">Summa (miljonites eurodes) </w:t>
            </w:r>
          </w:p>
        </w:tc>
        <w:tc>
          <w:tcPr>
            <w:tcW w:w="850" w:type="dxa"/>
            <w:tcBorders>
              <w:top w:val="single" w:sz="4" w:space="0" w:color="auto"/>
              <w:left w:val="nil"/>
              <w:bottom w:val="single" w:sz="4" w:space="0" w:color="auto"/>
              <w:right w:val="single" w:sz="4" w:space="0" w:color="auto"/>
            </w:tcBorders>
            <w:shd w:val="clear" w:color="auto" w:fill="C6EFCE"/>
            <w:noWrap/>
          </w:tcPr>
          <w:p w14:paraId="757FD9D2" w14:textId="2202DA03"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4 518,4</w:t>
            </w:r>
          </w:p>
        </w:tc>
        <w:tc>
          <w:tcPr>
            <w:tcW w:w="851" w:type="dxa"/>
            <w:tcBorders>
              <w:top w:val="single" w:sz="4" w:space="0" w:color="auto"/>
              <w:left w:val="nil"/>
              <w:bottom w:val="single" w:sz="4" w:space="0" w:color="auto"/>
              <w:right w:val="single" w:sz="4" w:space="0" w:color="auto"/>
            </w:tcBorders>
            <w:shd w:val="clear" w:color="auto" w:fill="C6EFCE"/>
            <w:noWrap/>
          </w:tcPr>
          <w:p w14:paraId="44D44134" w14:textId="5A46271E" w:rsidR="00356CBA" w:rsidRPr="00E02B5D" w:rsidRDefault="001D1013" w:rsidP="00D16F13">
            <w:pPr>
              <w:spacing w:after="0" w:line="240" w:lineRule="auto"/>
              <w:rPr>
                <w:rFonts w:eastAsia="Times New Roman" w:cs="Calibri"/>
                <w:noProof/>
                <w:color w:val="006100"/>
                <w:sz w:val="18"/>
                <w:szCs w:val="18"/>
              </w:rPr>
            </w:pPr>
            <w:r>
              <w:rPr>
                <w:noProof/>
                <w:color w:val="006100"/>
                <w:sz w:val="18"/>
              </w:rPr>
              <w:t>7 064</w:t>
            </w:r>
          </w:p>
        </w:tc>
        <w:tc>
          <w:tcPr>
            <w:tcW w:w="574" w:type="dxa"/>
            <w:tcBorders>
              <w:top w:val="single" w:sz="4" w:space="0" w:color="auto"/>
              <w:left w:val="nil"/>
              <w:bottom w:val="single" w:sz="4" w:space="0" w:color="auto"/>
              <w:right w:val="single" w:sz="4" w:space="0" w:color="auto"/>
            </w:tcBorders>
            <w:shd w:val="clear" w:color="auto" w:fill="C6EFCE"/>
            <w:noWrap/>
          </w:tcPr>
          <w:p w14:paraId="1DD641B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653" w:type="dxa"/>
            <w:tcBorders>
              <w:top w:val="single" w:sz="4" w:space="0" w:color="auto"/>
              <w:left w:val="nil"/>
              <w:bottom w:val="single" w:sz="4" w:space="0" w:color="auto"/>
              <w:right w:val="single" w:sz="4" w:space="0" w:color="auto"/>
            </w:tcBorders>
            <w:shd w:val="clear" w:color="auto" w:fill="C6EFCE"/>
            <w:noWrap/>
          </w:tcPr>
          <w:p w14:paraId="3FA4749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2024</w:t>
            </w:r>
          </w:p>
        </w:tc>
        <w:tc>
          <w:tcPr>
            <w:tcW w:w="5730" w:type="dxa"/>
            <w:tcBorders>
              <w:top w:val="single" w:sz="4" w:space="0" w:color="auto"/>
              <w:left w:val="nil"/>
              <w:bottom w:val="single" w:sz="4" w:space="0" w:color="auto"/>
              <w:right w:val="single" w:sz="4" w:space="0" w:color="auto"/>
            </w:tcBorders>
            <w:shd w:val="clear" w:color="auto" w:fill="C6EFCE"/>
            <w:noWrap/>
          </w:tcPr>
          <w:p w14:paraId="231A37B3" w14:textId="30A10F89" w:rsidR="00356CBA" w:rsidRPr="00E02B5D" w:rsidRDefault="00356CBA" w:rsidP="00D16F13">
            <w:pPr>
              <w:spacing w:after="0" w:line="240" w:lineRule="auto"/>
              <w:rPr>
                <w:rFonts w:eastAsia="Times New Roman" w:cs="Calibri"/>
                <w:noProof/>
                <w:color w:val="006100"/>
                <w:sz w:val="18"/>
                <w:szCs w:val="18"/>
              </w:rPr>
            </w:pPr>
            <w:r>
              <w:rPr>
                <w:noProof/>
                <w:color w:val="006100"/>
                <w:sz w:val="18"/>
              </w:rPr>
              <w:t>Rahvusvaheliste finantsasutuste ja kommertspankadega seotud taaste- ja vastupidavusrahastu laenurahastu vahenditest on allkirjastatud 7 064 miljonit eurot (sh haldustasud) lõplike abisaajatega kooskõlas eesmärgis kindlaks määratud volitustega ning pärast seda, kui sõltumatud audiitorid on teinud eelkontrolli juhtimise, valiku-, seire-, auditi- ja kahjumijagamise kriteeriumide, olulise kahju ärahoidmise tehniliste suuniste (2021/C58/01) ning 41,5 % kliimaeesmärgi ja 20,8 % digieesmärgi saavutamisse.</w:t>
            </w:r>
          </w:p>
        </w:tc>
      </w:tr>
      <w:tr w:rsidR="007B4D63" w:rsidRPr="003B132A" w14:paraId="391D602D"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4D92355E" w14:textId="77777777" w:rsidR="00356CBA" w:rsidRPr="00E02B5D" w:rsidRDefault="00356CBA" w:rsidP="00D16F13">
            <w:pPr>
              <w:spacing w:after="0" w:line="240" w:lineRule="auto"/>
              <w:rPr>
                <w:rFonts w:eastAsia="Times New Roman" w:cs="Calibri"/>
                <w:noProof/>
                <w:color w:val="006100"/>
              </w:rPr>
            </w:pPr>
            <w:r>
              <w:rPr>
                <w:noProof/>
                <w:color w:val="006100"/>
                <w:sz w:val="18"/>
              </w:rPr>
              <w:t>326a</w:t>
            </w:r>
          </w:p>
        </w:tc>
        <w:tc>
          <w:tcPr>
            <w:tcW w:w="1701" w:type="dxa"/>
            <w:tcBorders>
              <w:top w:val="single" w:sz="4" w:space="0" w:color="auto"/>
              <w:left w:val="nil"/>
              <w:bottom w:val="single" w:sz="4" w:space="0" w:color="auto"/>
              <w:right w:val="single" w:sz="4" w:space="0" w:color="auto"/>
            </w:tcBorders>
            <w:shd w:val="clear" w:color="auto" w:fill="C6EFCE"/>
            <w:noWrap/>
          </w:tcPr>
          <w:p w14:paraId="7D16231F"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554E6382"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Siht</w:t>
            </w:r>
          </w:p>
        </w:tc>
        <w:tc>
          <w:tcPr>
            <w:tcW w:w="1276" w:type="dxa"/>
            <w:tcBorders>
              <w:top w:val="single" w:sz="4" w:space="0" w:color="auto"/>
              <w:left w:val="nil"/>
              <w:bottom w:val="single" w:sz="4" w:space="0" w:color="auto"/>
              <w:right w:val="single" w:sz="4" w:space="0" w:color="auto"/>
            </w:tcBorders>
            <w:shd w:val="clear" w:color="auto" w:fill="C6EFCE"/>
            <w:noWrap/>
          </w:tcPr>
          <w:p w14:paraId="3B4C46D2" w14:textId="04BBFB00" w:rsidR="00356CBA" w:rsidRPr="00E02B5D" w:rsidRDefault="00356CBA" w:rsidP="00D16F13">
            <w:pPr>
              <w:spacing w:after="0" w:line="240" w:lineRule="auto"/>
              <w:rPr>
                <w:rFonts w:eastAsia="Times New Roman" w:cs="Calibri"/>
                <w:noProof/>
                <w:color w:val="006100"/>
                <w:sz w:val="18"/>
                <w:szCs w:val="18"/>
              </w:rPr>
            </w:pPr>
            <w:r>
              <w:rPr>
                <w:noProof/>
                <w:color w:val="006100"/>
                <w:sz w:val="18"/>
              </w:rPr>
              <w:t>9 000 miljonit eurot finantsinstitutsioonide vahendeid, mis on allkirjastatud lõplike abisaajatega</w:t>
            </w:r>
          </w:p>
        </w:tc>
        <w:tc>
          <w:tcPr>
            <w:tcW w:w="1276" w:type="dxa"/>
            <w:tcBorders>
              <w:top w:val="single" w:sz="4" w:space="0" w:color="auto"/>
              <w:left w:val="nil"/>
              <w:bottom w:val="single" w:sz="4" w:space="0" w:color="auto"/>
              <w:right w:val="single" w:sz="4" w:space="0" w:color="auto"/>
            </w:tcBorders>
            <w:shd w:val="clear" w:color="auto" w:fill="C6EFCE"/>
            <w:noWrap/>
          </w:tcPr>
          <w:p w14:paraId="7845C2E6"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2752DEE0" w14:textId="7EE24292" w:rsidR="00356CBA" w:rsidRPr="00E02B5D" w:rsidRDefault="00356CBA" w:rsidP="00D16F13">
            <w:pPr>
              <w:spacing w:after="0" w:line="240" w:lineRule="auto"/>
              <w:rPr>
                <w:rFonts w:eastAsia="Times New Roman" w:cs="Calibri"/>
                <w:noProof/>
                <w:color w:val="006100"/>
                <w:sz w:val="18"/>
                <w:szCs w:val="18"/>
              </w:rPr>
            </w:pPr>
            <w:r>
              <w:rPr>
                <w:noProof/>
                <w:color w:val="006100"/>
                <w:sz w:val="18"/>
              </w:rPr>
              <w:t>Summa (miljonites eurodes)</w:t>
            </w:r>
          </w:p>
        </w:tc>
        <w:tc>
          <w:tcPr>
            <w:tcW w:w="850" w:type="dxa"/>
            <w:tcBorders>
              <w:top w:val="single" w:sz="4" w:space="0" w:color="auto"/>
              <w:left w:val="nil"/>
              <w:bottom w:val="single" w:sz="4" w:space="0" w:color="auto"/>
              <w:right w:val="single" w:sz="4" w:space="0" w:color="auto"/>
            </w:tcBorders>
            <w:shd w:val="clear" w:color="auto" w:fill="C6EFCE"/>
            <w:noWrap/>
          </w:tcPr>
          <w:p w14:paraId="313D11D1" w14:textId="4C7C0C42" w:rsidR="00356CBA" w:rsidRPr="00E02B5D" w:rsidRDefault="00E81D04" w:rsidP="00D16F13">
            <w:pPr>
              <w:spacing w:after="0" w:line="240" w:lineRule="auto"/>
              <w:rPr>
                <w:rFonts w:eastAsia="Times New Roman" w:cs="Calibri"/>
                <w:noProof/>
                <w:color w:val="006100"/>
                <w:sz w:val="18"/>
                <w:szCs w:val="18"/>
              </w:rPr>
            </w:pPr>
            <w:r>
              <w:rPr>
                <w:noProof/>
                <w:color w:val="006100"/>
                <w:sz w:val="18"/>
              </w:rPr>
              <w:t>7 064</w:t>
            </w:r>
          </w:p>
        </w:tc>
        <w:tc>
          <w:tcPr>
            <w:tcW w:w="851" w:type="dxa"/>
            <w:tcBorders>
              <w:top w:val="single" w:sz="4" w:space="0" w:color="auto"/>
              <w:left w:val="nil"/>
              <w:bottom w:val="single" w:sz="4" w:space="0" w:color="auto"/>
              <w:right w:val="single" w:sz="4" w:space="0" w:color="auto"/>
            </w:tcBorders>
            <w:shd w:val="clear" w:color="auto" w:fill="C6EFCE"/>
            <w:noWrap/>
          </w:tcPr>
          <w:p w14:paraId="0EE13B9F" w14:textId="68178019" w:rsidR="00356CBA" w:rsidRPr="00E02B5D" w:rsidRDefault="00372651" w:rsidP="00D16F13">
            <w:pPr>
              <w:spacing w:after="0" w:line="240" w:lineRule="auto"/>
              <w:rPr>
                <w:rFonts w:eastAsia="Times New Roman" w:cs="Calibri"/>
                <w:noProof/>
                <w:color w:val="006100"/>
                <w:sz w:val="18"/>
                <w:szCs w:val="18"/>
              </w:rPr>
            </w:pPr>
            <w:r>
              <w:rPr>
                <w:noProof/>
                <w:color w:val="006100"/>
                <w:sz w:val="18"/>
              </w:rPr>
              <w:t>9 000</w:t>
            </w:r>
          </w:p>
        </w:tc>
        <w:tc>
          <w:tcPr>
            <w:tcW w:w="574" w:type="dxa"/>
            <w:tcBorders>
              <w:top w:val="single" w:sz="4" w:space="0" w:color="auto"/>
              <w:left w:val="nil"/>
              <w:bottom w:val="single" w:sz="4" w:space="0" w:color="auto"/>
              <w:right w:val="single" w:sz="4" w:space="0" w:color="auto"/>
            </w:tcBorders>
            <w:shd w:val="clear" w:color="auto" w:fill="C6EFCE"/>
            <w:noWrap/>
          </w:tcPr>
          <w:p w14:paraId="71B8FB2E"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 kv</w:t>
            </w:r>
          </w:p>
        </w:tc>
        <w:tc>
          <w:tcPr>
            <w:tcW w:w="653" w:type="dxa"/>
            <w:tcBorders>
              <w:top w:val="single" w:sz="4" w:space="0" w:color="auto"/>
              <w:left w:val="nil"/>
              <w:bottom w:val="single" w:sz="4" w:space="0" w:color="auto"/>
              <w:right w:val="single" w:sz="4" w:space="0" w:color="auto"/>
            </w:tcBorders>
            <w:shd w:val="clear" w:color="auto" w:fill="C6EFCE"/>
            <w:noWrap/>
          </w:tcPr>
          <w:p w14:paraId="60890B4B"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2025</w:t>
            </w:r>
          </w:p>
        </w:tc>
        <w:tc>
          <w:tcPr>
            <w:tcW w:w="5730" w:type="dxa"/>
            <w:tcBorders>
              <w:top w:val="single" w:sz="4" w:space="0" w:color="auto"/>
              <w:left w:val="nil"/>
              <w:bottom w:val="single" w:sz="4" w:space="0" w:color="auto"/>
              <w:right w:val="single" w:sz="4" w:space="0" w:color="auto"/>
            </w:tcBorders>
            <w:shd w:val="clear" w:color="auto" w:fill="C6EFCE"/>
            <w:noWrap/>
          </w:tcPr>
          <w:p w14:paraId="0483388E" w14:textId="536FA70D" w:rsidR="00356CBA" w:rsidRPr="00E02B5D" w:rsidRDefault="00356CBA" w:rsidP="00D16F13">
            <w:pPr>
              <w:spacing w:after="0" w:line="240" w:lineRule="auto"/>
              <w:rPr>
                <w:rFonts w:eastAsia="Times New Roman" w:cs="Calibri"/>
                <w:noProof/>
                <w:color w:val="006100"/>
                <w:sz w:val="18"/>
                <w:szCs w:val="18"/>
              </w:rPr>
            </w:pPr>
            <w:r>
              <w:rPr>
                <w:noProof/>
                <w:color w:val="006100"/>
                <w:sz w:val="18"/>
              </w:rPr>
              <w:t>Rahvusvaheliste finantsasutuste ja kommertspankadega seotud taaste- ja vastupidavusrahastu laenurahastu vahenditest on allkirjastatud 9 000 miljonit eurot (sh haldustasud) lõplike abisaajatega kooskõlas eesmärgis kindlaks määratud volitustega ning pärast seda, kui sõltumatud audiitorid on teinud eelkontrolli juhtimise, valiku-, seire-, auditi- ja kahjumijagamise kriteeriumide, olulise kahju ärahoidmise tehniliste suuniste (2021/C58/01) ning 41,5 % kliimaeesmärgi ja 20,8 % digieesmärgi saavutamisse.</w:t>
            </w:r>
          </w:p>
        </w:tc>
      </w:tr>
      <w:tr w:rsidR="00356CBA" w:rsidRPr="003B132A" w14:paraId="72641C64"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36FF67DA" w14:textId="77777777" w:rsidR="00356CBA" w:rsidRPr="00E02B5D" w:rsidRDefault="00356CBA" w:rsidP="00D16F13">
            <w:pPr>
              <w:spacing w:after="0" w:line="240" w:lineRule="auto"/>
              <w:rPr>
                <w:rFonts w:eastAsia="Times New Roman" w:cs="Calibri"/>
                <w:noProof/>
                <w:color w:val="006100"/>
              </w:rPr>
            </w:pPr>
            <w:r>
              <w:rPr>
                <w:noProof/>
                <w:color w:val="006100"/>
                <w:sz w:val="18"/>
              </w:rPr>
              <w:t>327</w:t>
            </w:r>
          </w:p>
        </w:tc>
        <w:tc>
          <w:tcPr>
            <w:tcW w:w="1701" w:type="dxa"/>
            <w:tcBorders>
              <w:top w:val="single" w:sz="4" w:space="0" w:color="auto"/>
              <w:left w:val="nil"/>
              <w:bottom w:val="single" w:sz="4" w:space="0" w:color="auto"/>
              <w:right w:val="single" w:sz="4" w:space="0" w:color="auto"/>
            </w:tcBorders>
            <w:shd w:val="clear" w:color="auto" w:fill="C6EFCE"/>
            <w:noWrap/>
          </w:tcPr>
          <w:p w14:paraId="7F3FF74D"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53FF2E65"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Siht</w:t>
            </w:r>
          </w:p>
        </w:tc>
        <w:tc>
          <w:tcPr>
            <w:tcW w:w="1276" w:type="dxa"/>
            <w:tcBorders>
              <w:top w:val="single" w:sz="4" w:space="0" w:color="auto"/>
              <w:left w:val="nil"/>
              <w:bottom w:val="single" w:sz="4" w:space="0" w:color="auto"/>
              <w:right w:val="single" w:sz="4" w:space="0" w:color="auto"/>
            </w:tcBorders>
            <w:shd w:val="clear" w:color="auto" w:fill="C6EFCE"/>
            <w:noWrap/>
          </w:tcPr>
          <w:p w14:paraId="7FA3C868" w14:textId="142A0B88" w:rsidR="00356CBA" w:rsidRPr="00E02B5D" w:rsidRDefault="00356CBA" w:rsidP="00D16F13">
            <w:pPr>
              <w:spacing w:after="0" w:line="240" w:lineRule="auto"/>
              <w:rPr>
                <w:rFonts w:eastAsia="Times New Roman" w:cs="Calibri"/>
                <w:noProof/>
                <w:color w:val="006100"/>
                <w:sz w:val="18"/>
                <w:szCs w:val="18"/>
              </w:rPr>
            </w:pPr>
            <w:r>
              <w:rPr>
                <w:noProof/>
                <w:color w:val="006100"/>
                <w:sz w:val="18"/>
              </w:rPr>
              <w:t>11 182 miljonit eurot finantsinstitutsioonide vahendeid, mis on allkirjastatud lõplike abisaajatega</w:t>
            </w:r>
          </w:p>
        </w:tc>
        <w:tc>
          <w:tcPr>
            <w:tcW w:w="1276" w:type="dxa"/>
            <w:tcBorders>
              <w:top w:val="single" w:sz="4" w:space="0" w:color="auto"/>
              <w:left w:val="nil"/>
              <w:bottom w:val="single" w:sz="4" w:space="0" w:color="auto"/>
              <w:right w:val="single" w:sz="4" w:space="0" w:color="auto"/>
            </w:tcBorders>
            <w:shd w:val="clear" w:color="auto" w:fill="C6EFCE"/>
          </w:tcPr>
          <w:p w14:paraId="494C3751" w14:textId="77777777" w:rsidR="00356CBA" w:rsidRPr="00E02B5D" w:rsidRDefault="00356CBA" w:rsidP="00D16F13">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0BF2E9E2" w14:textId="5C3C875E" w:rsidR="00356CBA" w:rsidRPr="00E02B5D" w:rsidRDefault="00356CBA" w:rsidP="00D16F13">
            <w:pPr>
              <w:spacing w:after="0" w:line="240" w:lineRule="auto"/>
              <w:rPr>
                <w:rFonts w:eastAsia="Times New Roman" w:cs="Calibri"/>
                <w:noProof/>
                <w:color w:val="006100"/>
                <w:sz w:val="18"/>
                <w:szCs w:val="18"/>
              </w:rPr>
            </w:pPr>
            <w:r>
              <w:rPr>
                <w:noProof/>
                <w:color w:val="006100"/>
                <w:sz w:val="18"/>
              </w:rPr>
              <w:t>Summa (miljonites eurodes)</w:t>
            </w:r>
          </w:p>
        </w:tc>
        <w:tc>
          <w:tcPr>
            <w:tcW w:w="850" w:type="dxa"/>
            <w:tcBorders>
              <w:top w:val="single" w:sz="4" w:space="0" w:color="auto"/>
              <w:left w:val="nil"/>
              <w:bottom w:val="single" w:sz="4" w:space="0" w:color="auto"/>
              <w:right w:val="single" w:sz="4" w:space="0" w:color="auto"/>
            </w:tcBorders>
            <w:shd w:val="clear" w:color="auto" w:fill="C6EFCE"/>
            <w:noWrap/>
          </w:tcPr>
          <w:p w14:paraId="01033336" w14:textId="7BFCD8EB" w:rsidR="00356CBA" w:rsidRPr="00E02B5D" w:rsidRDefault="000030CB" w:rsidP="00D16F13">
            <w:pPr>
              <w:spacing w:after="0" w:line="240" w:lineRule="auto"/>
              <w:rPr>
                <w:rFonts w:eastAsia="Times New Roman" w:cs="Calibri"/>
                <w:noProof/>
                <w:color w:val="006100"/>
                <w:sz w:val="18"/>
                <w:szCs w:val="18"/>
              </w:rPr>
            </w:pPr>
            <w:r>
              <w:rPr>
                <w:noProof/>
                <w:color w:val="006100"/>
                <w:sz w:val="18"/>
              </w:rPr>
              <w:t>9 000</w:t>
            </w:r>
          </w:p>
        </w:tc>
        <w:tc>
          <w:tcPr>
            <w:tcW w:w="851" w:type="dxa"/>
            <w:tcBorders>
              <w:top w:val="single" w:sz="4" w:space="0" w:color="auto"/>
              <w:left w:val="nil"/>
              <w:bottom w:val="single" w:sz="4" w:space="0" w:color="auto"/>
              <w:right w:val="single" w:sz="4" w:space="0" w:color="auto"/>
            </w:tcBorders>
            <w:shd w:val="clear" w:color="auto" w:fill="C6EFCE"/>
            <w:noWrap/>
          </w:tcPr>
          <w:p w14:paraId="72D04341" w14:textId="508F2EFE" w:rsidR="00356CBA" w:rsidRPr="00E02B5D" w:rsidRDefault="000030CB" w:rsidP="00D16F13">
            <w:pPr>
              <w:spacing w:after="0" w:line="240" w:lineRule="auto"/>
              <w:rPr>
                <w:rFonts w:eastAsia="Times New Roman" w:cs="Calibri"/>
                <w:noProof/>
                <w:color w:val="006100"/>
                <w:sz w:val="18"/>
                <w:szCs w:val="18"/>
              </w:rPr>
            </w:pPr>
            <w:r>
              <w:rPr>
                <w:noProof/>
                <w:color w:val="006100"/>
                <w:sz w:val="18"/>
              </w:rPr>
              <w:t>11 182</w:t>
            </w:r>
          </w:p>
        </w:tc>
        <w:tc>
          <w:tcPr>
            <w:tcW w:w="574" w:type="dxa"/>
            <w:tcBorders>
              <w:top w:val="single" w:sz="4" w:space="0" w:color="auto"/>
              <w:left w:val="nil"/>
              <w:bottom w:val="single" w:sz="4" w:space="0" w:color="auto"/>
              <w:right w:val="single" w:sz="4" w:space="0" w:color="auto"/>
            </w:tcBorders>
            <w:shd w:val="clear" w:color="auto" w:fill="C6EFCE"/>
            <w:noWrap/>
          </w:tcPr>
          <w:p w14:paraId="3AB10E00"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4. kv</w:t>
            </w:r>
          </w:p>
        </w:tc>
        <w:tc>
          <w:tcPr>
            <w:tcW w:w="653" w:type="dxa"/>
            <w:tcBorders>
              <w:top w:val="single" w:sz="4" w:space="0" w:color="auto"/>
              <w:left w:val="nil"/>
              <w:bottom w:val="single" w:sz="4" w:space="0" w:color="auto"/>
              <w:right w:val="single" w:sz="4" w:space="0" w:color="auto"/>
            </w:tcBorders>
            <w:shd w:val="clear" w:color="auto" w:fill="C6EFCE"/>
            <w:noWrap/>
          </w:tcPr>
          <w:p w14:paraId="3572DEE8" w14:textId="77777777" w:rsidR="00356CBA" w:rsidRPr="00E02B5D" w:rsidRDefault="00356CBA" w:rsidP="00D16F13">
            <w:pPr>
              <w:spacing w:after="0" w:line="240" w:lineRule="auto"/>
              <w:rPr>
                <w:rFonts w:eastAsia="Times New Roman" w:cs="Calibri"/>
                <w:noProof/>
                <w:color w:val="006100"/>
                <w:sz w:val="18"/>
                <w:szCs w:val="18"/>
              </w:rPr>
            </w:pPr>
            <w:r>
              <w:rPr>
                <w:noProof/>
                <w:color w:val="006100"/>
                <w:sz w:val="18"/>
              </w:rPr>
              <w:t>2025</w:t>
            </w:r>
          </w:p>
        </w:tc>
        <w:tc>
          <w:tcPr>
            <w:tcW w:w="5730" w:type="dxa"/>
            <w:tcBorders>
              <w:top w:val="single" w:sz="4" w:space="0" w:color="auto"/>
              <w:left w:val="nil"/>
              <w:bottom w:val="single" w:sz="4" w:space="0" w:color="auto"/>
              <w:right w:val="single" w:sz="4" w:space="0" w:color="auto"/>
            </w:tcBorders>
            <w:shd w:val="clear" w:color="auto" w:fill="C6EFCE"/>
            <w:noWrap/>
          </w:tcPr>
          <w:p w14:paraId="12DE3A02" w14:textId="2FB9D2CC" w:rsidR="00356CBA" w:rsidRPr="00E02B5D" w:rsidRDefault="00356CBA" w:rsidP="00D16F13">
            <w:pPr>
              <w:spacing w:after="0" w:line="240" w:lineRule="auto"/>
              <w:rPr>
                <w:rFonts w:eastAsia="Times New Roman" w:cs="Calibri"/>
                <w:noProof/>
                <w:color w:val="006100"/>
                <w:sz w:val="18"/>
                <w:szCs w:val="18"/>
              </w:rPr>
            </w:pPr>
            <w:r>
              <w:rPr>
                <w:noProof/>
                <w:color w:val="006100"/>
                <w:sz w:val="18"/>
              </w:rPr>
              <w:t>Rahvusvaheliste finantsasutuste ja kommertspankadega seotud taaste- ja vastupidavusrahastu laenurahastu vahenditest on allkirjastatud 11 182 miljonit eurot (sh haldustasud) lõplike abisaajatega kooskõlas eesmärgis kindlaks määratud volitustega ning pärast seda, kui sõltumatud audiitorid on teinud eelkontrolli juhtimise, valiku-, seire-, auditi- ja kahjumijagamise kriteeriumide, olulise kahju ärahoidmise tehniliste suuniste (2021/C58/01) ning 41,5 % kliimaeesmärgi ja 20,8 % digieesmärgi saavutamisse.</w:t>
            </w:r>
          </w:p>
        </w:tc>
      </w:tr>
      <w:tr w:rsidR="00174613" w:rsidRPr="003B132A" w14:paraId="0A72A5C9"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05A214FA" w14:textId="4A9AA0C9" w:rsidR="00174613" w:rsidRPr="00E02B5D" w:rsidRDefault="00174613" w:rsidP="00174613">
            <w:pPr>
              <w:spacing w:after="0" w:line="240" w:lineRule="auto"/>
              <w:rPr>
                <w:noProof/>
                <w:color w:val="006100"/>
                <w:sz w:val="18"/>
              </w:rPr>
            </w:pPr>
            <w:r>
              <w:rPr>
                <w:noProof/>
                <w:color w:val="006100"/>
                <w:sz w:val="18"/>
              </w:rPr>
              <w:t>327a</w:t>
            </w:r>
          </w:p>
        </w:tc>
        <w:tc>
          <w:tcPr>
            <w:tcW w:w="1701" w:type="dxa"/>
            <w:tcBorders>
              <w:top w:val="single" w:sz="4" w:space="0" w:color="auto"/>
              <w:left w:val="nil"/>
              <w:bottom w:val="single" w:sz="4" w:space="0" w:color="auto"/>
              <w:right w:val="single" w:sz="4" w:space="0" w:color="auto"/>
            </w:tcBorders>
            <w:shd w:val="clear" w:color="auto" w:fill="C6EFCE"/>
            <w:noWrap/>
          </w:tcPr>
          <w:p w14:paraId="360B7CFC" w14:textId="77777777" w:rsidR="00174613" w:rsidRPr="00E02B5D" w:rsidRDefault="00174613" w:rsidP="00174613">
            <w:pPr>
              <w:spacing w:after="0" w:line="240" w:lineRule="auto"/>
              <w:rPr>
                <w:noProof/>
                <w:color w:val="006100"/>
                <w:sz w:val="18"/>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71C691EE" w14:textId="77777777" w:rsidR="00174613" w:rsidRPr="00E02B5D" w:rsidRDefault="00174613" w:rsidP="00174613">
            <w:pPr>
              <w:spacing w:after="0" w:line="240" w:lineRule="auto"/>
              <w:rPr>
                <w:noProof/>
                <w:color w:val="006100"/>
                <w:sz w:val="18"/>
              </w:rPr>
            </w:pPr>
            <w:r>
              <w:rPr>
                <w:noProof/>
                <w:color w:val="006100"/>
                <w:sz w:val="18"/>
              </w:rPr>
              <w:t>Siht</w:t>
            </w:r>
          </w:p>
        </w:tc>
        <w:tc>
          <w:tcPr>
            <w:tcW w:w="1276" w:type="dxa"/>
            <w:tcBorders>
              <w:top w:val="single" w:sz="4" w:space="0" w:color="auto"/>
              <w:left w:val="nil"/>
              <w:bottom w:val="single" w:sz="4" w:space="0" w:color="auto"/>
              <w:right w:val="single" w:sz="4" w:space="0" w:color="auto"/>
            </w:tcBorders>
            <w:shd w:val="clear" w:color="auto" w:fill="C6EFCE"/>
            <w:noWrap/>
          </w:tcPr>
          <w:p w14:paraId="69D9551D" w14:textId="7665F314" w:rsidR="00174613" w:rsidRPr="00E02B5D" w:rsidRDefault="00174613" w:rsidP="00174613">
            <w:pPr>
              <w:spacing w:after="0" w:line="240" w:lineRule="auto"/>
              <w:rPr>
                <w:noProof/>
                <w:color w:val="006100"/>
                <w:sz w:val="18"/>
              </w:rPr>
            </w:pPr>
            <w:r>
              <w:rPr>
                <w:noProof/>
                <w:color w:val="006100"/>
                <w:sz w:val="18"/>
              </w:rPr>
              <w:t>13 364 miljonit eurot finantsinstitutsioonide vahendeid, mis on allkirjastatud lõplike abisaajatega</w:t>
            </w:r>
          </w:p>
        </w:tc>
        <w:tc>
          <w:tcPr>
            <w:tcW w:w="1276" w:type="dxa"/>
            <w:tcBorders>
              <w:top w:val="single" w:sz="4" w:space="0" w:color="auto"/>
              <w:left w:val="nil"/>
              <w:bottom w:val="single" w:sz="4" w:space="0" w:color="auto"/>
              <w:right w:val="single" w:sz="4" w:space="0" w:color="auto"/>
            </w:tcBorders>
            <w:shd w:val="clear" w:color="auto" w:fill="C6EFCE"/>
          </w:tcPr>
          <w:p w14:paraId="51A32AE7" w14:textId="77777777" w:rsidR="00174613" w:rsidRPr="00E02B5D" w:rsidRDefault="00174613" w:rsidP="00174613">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7BB1B2EF" w14:textId="73BA5D44" w:rsidR="00174613" w:rsidRPr="00E02B5D" w:rsidRDefault="00174613" w:rsidP="00174613">
            <w:pPr>
              <w:spacing w:after="0" w:line="240" w:lineRule="auto"/>
              <w:rPr>
                <w:noProof/>
                <w:color w:val="006100"/>
                <w:sz w:val="18"/>
              </w:rPr>
            </w:pPr>
            <w:r>
              <w:rPr>
                <w:noProof/>
                <w:color w:val="006100"/>
                <w:sz w:val="18"/>
              </w:rPr>
              <w:t>Summa (miljonites eurodes)</w:t>
            </w:r>
          </w:p>
        </w:tc>
        <w:tc>
          <w:tcPr>
            <w:tcW w:w="850" w:type="dxa"/>
            <w:tcBorders>
              <w:top w:val="single" w:sz="4" w:space="0" w:color="auto"/>
              <w:left w:val="nil"/>
              <w:bottom w:val="single" w:sz="4" w:space="0" w:color="auto"/>
              <w:right w:val="single" w:sz="4" w:space="0" w:color="auto"/>
            </w:tcBorders>
            <w:shd w:val="clear" w:color="auto" w:fill="C6EFCE"/>
            <w:noWrap/>
          </w:tcPr>
          <w:p w14:paraId="6B2A84EA" w14:textId="55BE06E6" w:rsidR="00174613" w:rsidRPr="00E02B5D" w:rsidRDefault="00002155" w:rsidP="00174613">
            <w:pPr>
              <w:spacing w:after="0" w:line="240" w:lineRule="auto"/>
              <w:rPr>
                <w:noProof/>
                <w:color w:val="006100"/>
                <w:sz w:val="18"/>
              </w:rPr>
            </w:pPr>
            <w:r>
              <w:rPr>
                <w:noProof/>
                <w:color w:val="006100"/>
                <w:sz w:val="18"/>
              </w:rPr>
              <w:t>11 182</w:t>
            </w:r>
          </w:p>
        </w:tc>
        <w:tc>
          <w:tcPr>
            <w:tcW w:w="851" w:type="dxa"/>
            <w:tcBorders>
              <w:top w:val="single" w:sz="4" w:space="0" w:color="auto"/>
              <w:left w:val="nil"/>
              <w:bottom w:val="single" w:sz="4" w:space="0" w:color="auto"/>
              <w:right w:val="single" w:sz="4" w:space="0" w:color="auto"/>
            </w:tcBorders>
            <w:shd w:val="clear" w:color="auto" w:fill="C6EFCE"/>
            <w:noWrap/>
          </w:tcPr>
          <w:p w14:paraId="5939FC38" w14:textId="1BC18B86" w:rsidR="00174613" w:rsidRPr="00E02B5D" w:rsidRDefault="00002155" w:rsidP="00174613">
            <w:pPr>
              <w:spacing w:after="0" w:line="240" w:lineRule="auto"/>
              <w:rPr>
                <w:noProof/>
                <w:color w:val="006100"/>
                <w:sz w:val="18"/>
              </w:rPr>
            </w:pPr>
            <w:r>
              <w:rPr>
                <w:noProof/>
                <w:color w:val="006100"/>
                <w:sz w:val="18"/>
              </w:rPr>
              <w:t>13 364</w:t>
            </w:r>
          </w:p>
        </w:tc>
        <w:tc>
          <w:tcPr>
            <w:tcW w:w="574" w:type="dxa"/>
            <w:tcBorders>
              <w:top w:val="single" w:sz="4" w:space="0" w:color="auto"/>
              <w:left w:val="nil"/>
              <w:bottom w:val="single" w:sz="4" w:space="0" w:color="auto"/>
              <w:right w:val="single" w:sz="4" w:space="0" w:color="auto"/>
            </w:tcBorders>
            <w:shd w:val="clear" w:color="auto" w:fill="C6EFCE"/>
            <w:noWrap/>
          </w:tcPr>
          <w:p w14:paraId="208DC9E3" w14:textId="163EF537" w:rsidR="00174613" w:rsidRPr="00E02B5D" w:rsidRDefault="00174613" w:rsidP="00174613">
            <w:pPr>
              <w:spacing w:after="0" w:line="240" w:lineRule="auto"/>
              <w:rPr>
                <w:noProof/>
                <w:color w:val="006100"/>
                <w:sz w:val="18"/>
              </w:rPr>
            </w:pPr>
            <w:r>
              <w:rPr>
                <w:noProof/>
                <w:color w:val="006100"/>
                <w:sz w:val="18"/>
              </w:rPr>
              <w:t>1. kv</w:t>
            </w:r>
          </w:p>
        </w:tc>
        <w:tc>
          <w:tcPr>
            <w:tcW w:w="653" w:type="dxa"/>
            <w:tcBorders>
              <w:top w:val="single" w:sz="4" w:space="0" w:color="auto"/>
              <w:left w:val="nil"/>
              <w:bottom w:val="single" w:sz="4" w:space="0" w:color="auto"/>
              <w:right w:val="single" w:sz="4" w:space="0" w:color="auto"/>
            </w:tcBorders>
            <w:shd w:val="clear" w:color="auto" w:fill="C6EFCE"/>
            <w:noWrap/>
          </w:tcPr>
          <w:p w14:paraId="7A86BF43" w14:textId="77777777" w:rsidR="00174613" w:rsidRPr="00E02B5D" w:rsidRDefault="00174613" w:rsidP="00174613">
            <w:pPr>
              <w:spacing w:after="0" w:line="240" w:lineRule="auto"/>
              <w:rPr>
                <w:noProof/>
                <w:color w:val="006100"/>
                <w:sz w:val="18"/>
              </w:rPr>
            </w:pPr>
            <w:r>
              <w:rPr>
                <w:noProof/>
                <w:color w:val="006100"/>
                <w:sz w:val="18"/>
              </w:rPr>
              <w:t>2026</w:t>
            </w:r>
          </w:p>
        </w:tc>
        <w:tc>
          <w:tcPr>
            <w:tcW w:w="5730" w:type="dxa"/>
            <w:tcBorders>
              <w:top w:val="single" w:sz="4" w:space="0" w:color="auto"/>
              <w:left w:val="nil"/>
              <w:bottom w:val="single" w:sz="4" w:space="0" w:color="auto"/>
              <w:right w:val="single" w:sz="4" w:space="0" w:color="auto"/>
            </w:tcBorders>
            <w:shd w:val="clear" w:color="auto" w:fill="C6EFCE"/>
            <w:noWrap/>
          </w:tcPr>
          <w:p w14:paraId="1E645737" w14:textId="409B560A" w:rsidR="00174613" w:rsidRPr="00E02B5D" w:rsidRDefault="00174613" w:rsidP="00174613">
            <w:pPr>
              <w:spacing w:after="0" w:line="240" w:lineRule="auto"/>
              <w:rPr>
                <w:noProof/>
                <w:color w:val="006100"/>
                <w:sz w:val="18"/>
              </w:rPr>
            </w:pPr>
            <w:r>
              <w:rPr>
                <w:noProof/>
                <w:color w:val="006100"/>
                <w:sz w:val="18"/>
              </w:rPr>
              <w:t>Rahvusvaheliste finantsasutuste ja kommertspankadega seotud taaste- ja vastupidavusrahastu laenurahastu vahenditest on allkirjastatud 13 364 miljonit eurot (sh haldustasud) lõplike abisaajatega kooskõlas eesmärgis kindlaks määratud volitustega ning pärast seda, kui sõltumatud audiitorid on teinud eelkontrolli juhtimise, valiku-, seire-, auditi- ja kahjumijagamise kriteeriumide, olulise kahju ärahoidmise tehniliste suuniste (2021/C58/01) ning 41,5 % kliimaeesmärgi ja 20,8 % digieesmärgi saavutamisse.</w:t>
            </w:r>
          </w:p>
        </w:tc>
      </w:tr>
      <w:tr w:rsidR="00174613" w:rsidRPr="003B132A" w14:paraId="5D70000E"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6B4ECA76" w14:textId="77777777" w:rsidR="00174613" w:rsidRPr="00E02B5D" w:rsidRDefault="00174613" w:rsidP="00174613">
            <w:pPr>
              <w:spacing w:after="0" w:line="240" w:lineRule="auto"/>
              <w:rPr>
                <w:rFonts w:eastAsia="Times New Roman" w:cs="Calibri"/>
                <w:noProof/>
                <w:color w:val="006100"/>
                <w:sz w:val="18"/>
              </w:rPr>
            </w:pPr>
            <w:r>
              <w:rPr>
                <w:noProof/>
                <w:color w:val="006100"/>
                <w:sz w:val="18"/>
              </w:rPr>
              <w:t>328</w:t>
            </w:r>
          </w:p>
        </w:tc>
        <w:tc>
          <w:tcPr>
            <w:tcW w:w="1701" w:type="dxa"/>
            <w:tcBorders>
              <w:top w:val="single" w:sz="4" w:space="0" w:color="auto"/>
              <w:left w:val="nil"/>
              <w:bottom w:val="single" w:sz="4" w:space="0" w:color="auto"/>
              <w:right w:val="single" w:sz="4" w:space="0" w:color="auto"/>
            </w:tcBorders>
            <w:shd w:val="clear" w:color="auto" w:fill="C6EFCE"/>
            <w:noWrap/>
          </w:tcPr>
          <w:p w14:paraId="48BA04C8"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2356467F"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Siht</w:t>
            </w:r>
          </w:p>
        </w:tc>
        <w:tc>
          <w:tcPr>
            <w:tcW w:w="1276" w:type="dxa"/>
            <w:tcBorders>
              <w:top w:val="single" w:sz="4" w:space="0" w:color="auto"/>
              <w:left w:val="nil"/>
              <w:bottom w:val="single" w:sz="4" w:space="0" w:color="auto"/>
              <w:right w:val="single" w:sz="4" w:space="0" w:color="auto"/>
            </w:tcBorders>
            <w:shd w:val="clear" w:color="auto" w:fill="C6EFCE"/>
            <w:noWrap/>
          </w:tcPr>
          <w:p w14:paraId="3FDB47CF" w14:textId="76249982" w:rsidR="00174613" w:rsidRPr="00E02B5D" w:rsidRDefault="00174613" w:rsidP="00174613">
            <w:pPr>
              <w:spacing w:after="0" w:line="240" w:lineRule="auto"/>
              <w:rPr>
                <w:rFonts w:eastAsia="Times New Roman" w:cs="Calibri"/>
                <w:noProof/>
                <w:color w:val="006100"/>
                <w:sz w:val="18"/>
                <w:szCs w:val="18"/>
              </w:rPr>
            </w:pPr>
            <w:r>
              <w:rPr>
                <w:noProof/>
                <w:color w:val="006100"/>
                <w:sz w:val="18"/>
              </w:rPr>
              <w:t>15 428 miljonit eurot finantsinstitutsioonide vahendeid, mis on allkirjastatud lõplike abisaajatega</w:t>
            </w:r>
          </w:p>
        </w:tc>
        <w:tc>
          <w:tcPr>
            <w:tcW w:w="1276" w:type="dxa"/>
            <w:tcBorders>
              <w:top w:val="single" w:sz="4" w:space="0" w:color="auto"/>
              <w:left w:val="nil"/>
              <w:bottom w:val="single" w:sz="4" w:space="0" w:color="auto"/>
              <w:right w:val="single" w:sz="4" w:space="0" w:color="auto"/>
            </w:tcBorders>
            <w:shd w:val="clear" w:color="auto" w:fill="C6EFCE"/>
          </w:tcPr>
          <w:p w14:paraId="5A5EA996" w14:textId="77777777" w:rsidR="00174613" w:rsidRPr="00E02B5D" w:rsidRDefault="00174613" w:rsidP="00174613">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7C9CD414"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Summa (miljonites eurodes)</w:t>
            </w:r>
          </w:p>
        </w:tc>
        <w:tc>
          <w:tcPr>
            <w:tcW w:w="850" w:type="dxa"/>
            <w:tcBorders>
              <w:top w:val="single" w:sz="4" w:space="0" w:color="auto"/>
              <w:left w:val="nil"/>
              <w:bottom w:val="single" w:sz="4" w:space="0" w:color="auto"/>
              <w:right w:val="single" w:sz="4" w:space="0" w:color="auto"/>
            </w:tcBorders>
            <w:shd w:val="clear" w:color="auto" w:fill="C6EFCE"/>
            <w:noWrap/>
          </w:tcPr>
          <w:p w14:paraId="2780F562" w14:textId="2E7FE14D" w:rsidR="00174613" w:rsidRPr="00E02B5D" w:rsidRDefault="00895CC1" w:rsidP="00174613">
            <w:pPr>
              <w:spacing w:after="0" w:line="240" w:lineRule="auto"/>
              <w:rPr>
                <w:rFonts w:eastAsia="Times New Roman" w:cs="Calibri"/>
                <w:noProof/>
                <w:color w:val="006100"/>
                <w:sz w:val="18"/>
                <w:szCs w:val="18"/>
              </w:rPr>
            </w:pPr>
            <w:r>
              <w:rPr>
                <w:noProof/>
                <w:color w:val="006100"/>
                <w:sz w:val="18"/>
              </w:rPr>
              <w:t>13 364</w:t>
            </w:r>
          </w:p>
        </w:tc>
        <w:tc>
          <w:tcPr>
            <w:tcW w:w="851" w:type="dxa"/>
            <w:tcBorders>
              <w:top w:val="single" w:sz="4" w:space="0" w:color="auto"/>
              <w:left w:val="nil"/>
              <w:bottom w:val="single" w:sz="4" w:space="0" w:color="auto"/>
              <w:right w:val="single" w:sz="4" w:space="0" w:color="auto"/>
            </w:tcBorders>
            <w:shd w:val="clear" w:color="auto" w:fill="C6EFCE"/>
            <w:noWrap/>
          </w:tcPr>
          <w:p w14:paraId="19527CA8" w14:textId="5A5BB2F6" w:rsidR="00174613" w:rsidRPr="00E02B5D" w:rsidRDefault="00174613" w:rsidP="00174613">
            <w:pPr>
              <w:spacing w:after="0" w:line="240" w:lineRule="auto"/>
              <w:rPr>
                <w:rFonts w:eastAsia="Times New Roman" w:cs="Calibri"/>
                <w:noProof/>
                <w:color w:val="006100"/>
                <w:sz w:val="18"/>
                <w:szCs w:val="18"/>
              </w:rPr>
            </w:pPr>
            <w:r>
              <w:rPr>
                <w:noProof/>
                <w:color w:val="006100"/>
                <w:sz w:val="18"/>
              </w:rPr>
              <w:t>15 428</w:t>
            </w:r>
          </w:p>
        </w:tc>
        <w:tc>
          <w:tcPr>
            <w:tcW w:w="574" w:type="dxa"/>
            <w:tcBorders>
              <w:top w:val="single" w:sz="4" w:space="0" w:color="auto"/>
              <w:left w:val="nil"/>
              <w:bottom w:val="single" w:sz="4" w:space="0" w:color="auto"/>
              <w:right w:val="single" w:sz="4" w:space="0" w:color="auto"/>
            </w:tcBorders>
            <w:shd w:val="clear" w:color="auto" w:fill="C6EFCE"/>
            <w:noWrap/>
          </w:tcPr>
          <w:p w14:paraId="0C84FA86"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2. kv</w:t>
            </w:r>
          </w:p>
        </w:tc>
        <w:tc>
          <w:tcPr>
            <w:tcW w:w="653" w:type="dxa"/>
            <w:tcBorders>
              <w:top w:val="single" w:sz="4" w:space="0" w:color="auto"/>
              <w:left w:val="nil"/>
              <w:bottom w:val="single" w:sz="4" w:space="0" w:color="auto"/>
              <w:right w:val="single" w:sz="4" w:space="0" w:color="auto"/>
            </w:tcBorders>
            <w:shd w:val="clear" w:color="auto" w:fill="C6EFCE"/>
            <w:noWrap/>
          </w:tcPr>
          <w:p w14:paraId="648B90B6"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2026</w:t>
            </w:r>
          </w:p>
        </w:tc>
        <w:tc>
          <w:tcPr>
            <w:tcW w:w="5730" w:type="dxa"/>
            <w:tcBorders>
              <w:top w:val="single" w:sz="4" w:space="0" w:color="auto"/>
              <w:left w:val="nil"/>
              <w:bottom w:val="single" w:sz="4" w:space="0" w:color="auto"/>
              <w:right w:val="single" w:sz="4" w:space="0" w:color="auto"/>
            </w:tcBorders>
            <w:shd w:val="clear" w:color="auto" w:fill="C6EFCE"/>
            <w:noWrap/>
          </w:tcPr>
          <w:p w14:paraId="593B927F" w14:textId="4FF07D57" w:rsidR="00174613" w:rsidRPr="00E02B5D" w:rsidRDefault="00174613" w:rsidP="00174613">
            <w:pPr>
              <w:spacing w:after="0" w:line="240" w:lineRule="auto"/>
              <w:rPr>
                <w:rFonts w:eastAsia="Times New Roman" w:cs="Calibri"/>
                <w:noProof/>
                <w:color w:val="006100"/>
                <w:sz w:val="18"/>
                <w:szCs w:val="18"/>
              </w:rPr>
            </w:pPr>
            <w:r>
              <w:rPr>
                <w:noProof/>
                <w:color w:val="006100"/>
                <w:sz w:val="18"/>
              </w:rPr>
              <w:t>Rahvusvaheliste finantsasutuste ja kommertspankadega seotud taaste- ja vastupidavusrahastu laenurahastu vahenditest on allkirjastatud 15 428 miljonit eurot (sh haldustasud) lõplike abisaajatega kooskõlas eesmärgis kindlaks määratud volitustega ning pärast seda, kui sõltumatud audiitorid on teinud eelkontrolli juhtimise, valiku-, seire-, auditi- ja kahjumijagamise kriteeriumide, olulise kahju ärahoidmise tehniliste suuniste (2021/C58/01) ning 41,5 % kliimaeesmärgi ja 20,8 % digieesmärgi saavutamisse.</w:t>
            </w:r>
          </w:p>
        </w:tc>
      </w:tr>
      <w:tr w:rsidR="00174613" w:rsidRPr="003B132A" w14:paraId="1A1E3537"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2CBF04D6" w14:textId="77777777" w:rsidR="00174613" w:rsidRPr="00E02B5D" w:rsidRDefault="00174613" w:rsidP="00174613">
            <w:pPr>
              <w:spacing w:after="0" w:line="240" w:lineRule="auto"/>
              <w:rPr>
                <w:rFonts w:eastAsia="Times New Roman" w:cs="Calibri"/>
                <w:noProof/>
                <w:color w:val="006100"/>
                <w:sz w:val="18"/>
              </w:rPr>
            </w:pPr>
            <w:r>
              <w:rPr>
                <w:noProof/>
                <w:color w:val="006100"/>
                <w:sz w:val="18"/>
              </w:rPr>
              <w:t>328a</w:t>
            </w:r>
          </w:p>
        </w:tc>
        <w:tc>
          <w:tcPr>
            <w:tcW w:w="1701" w:type="dxa"/>
            <w:tcBorders>
              <w:top w:val="single" w:sz="4" w:space="0" w:color="auto"/>
              <w:left w:val="nil"/>
              <w:bottom w:val="single" w:sz="4" w:space="0" w:color="auto"/>
              <w:right w:val="single" w:sz="4" w:space="0" w:color="auto"/>
            </w:tcBorders>
            <w:shd w:val="clear" w:color="auto" w:fill="C6EFCE"/>
            <w:noWrap/>
          </w:tcPr>
          <w:p w14:paraId="372940DD"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44AA1DD3"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Eesmärk</w:t>
            </w:r>
          </w:p>
        </w:tc>
        <w:tc>
          <w:tcPr>
            <w:tcW w:w="1276" w:type="dxa"/>
            <w:tcBorders>
              <w:top w:val="single" w:sz="4" w:space="0" w:color="auto"/>
              <w:left w:val="nil"/>
              <w:bottom w:val="single" w:sz="4" w:space="0" w:color="auto"/>
              <w:right w:val="single" w:sz="4" w:space="0" w:color="auto"/>
            </w:tcBorders>
            <w:shd w:val="clear" w:color="auto" w:fill="C6EFCE"/>
            <w:noWrap/>
          </w:tcPr>
          <w:p w14:paraId="4D4702B1" w14:textId="0428ED55" w:rsidR="00174613" w:rsidRPr="00E02B5D" w:rsidRDefault="008943ED" w:rsidP="00174613">
            <w:pPr>
              <w:spacing w:after="0" w:line="240" w:lineRule="auto"/>
              <w:rPr>
                <w:rFonts w:eastAsia="Times New Roman" w:cs="Calibri"/>
                <w:noProof/>
                <w:color w:val="006100"/>
                <w:sz w:val="18"/>
                <w:szCs w:val="18"/>
              </w:rPr>
            </w:pPr>
            <w:r>
              <w:rPr>
                <w:noProof/>
                <w:color w:val="006100"/>
                <w:sz w:val="18"/>
              </w:rPr>
              <w:t>Laenurahastu – Rahandusministeerium on investeeringu lõpule viinud</w:t>
            </w:r>
          </w:p>
        </w:tc>
        <w:tc>
          <w:tcPr>
            <w:tcW w:w="1276" w:type="dxa"/>
            <w:tcBorders>
              <w:top w:val="single" w:sz="4" w:space="0" w:color="auto"/>
              <w:left w:val="nil"/>
              <w:bottom w:val="single" w:sz="4" w:space="0" w:color="auto"/>
              <w:right w:val="single" w:sz="4" w:space="0" w:color="auto"/>
            </w:tcBorders>
            <w:shd w:val="clear" w:color="auto" w:fill="C6EFCE"/>
          </w:tcPr>
          <w:p w14:paraId="383F0E60"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Üleviimistunnistus</w:t>
            </w:r>
          </w:p>
        </w:tc>
        <w:tc>
          <w:tcPr>
            <w:tcW w:w="1134" w:type="dxa"/>
            <w:tcBorders>
              <w:top w:val="single" w:sz="4" w:space="0" w:color="auto"/>
              <w:left w:val="nil"/>
              <w:bottom w:val="single" w:sz="4" w:space="0" w:color="auto"/>
              <w:right w:val="single" w:sz="4" w:space="0" w:color="auto"/>
            </w:tcBorders>
            <w:shd w:val="clear" w:color="auto" w:fill="C6EFCE"/>
            <w:noWrap/>
          </w:tcPr>
          <w:p w14:paraId="66175D0D" w14:textId="77777777" w:rsidR="00174613" w:rsidRPr="00E02B5D" w:rsidRDefault="00174613" w:rsidP="00174613">
            <w:pPr>
              <w:spacing w:after="0" w:line="240" w:lineRule="auto"/>
              <w:rPr>
                <w:rFonts w:eastAsia="Times New Roman" w:cs="Calibri"/>
                <w:noProof/>
                <w:color w:val="006100"/>
                <w:sz w:val="18"/>
                <w:szCs w:val="18"/>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2959B64F" w14:textId="77777777" w:rsidR="00174613" w:rsidRPr="00E02B5D" w:rsidDel="00BF0468" w:rsidRDefault="00174613" w:rsidP="00174613">
            <w:pPr>
              <w:spacing w:after="0" w:line="240" w:lineRule="auto"/>
              <w:rPr>
                <w:rFonts w:eastAsia="Times New Roman" w:cs="Calibri"/>
                <w:noProof/>
                <w:color w:val="006100"/>
                <w:sz w:val="18"/>
                <w:szCs w:val="18"/>
                <w:lang w:val="en-GB"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71B3AE77" w14:textId="77777777" w:rsidR="00174613" w:rsidRPr="00E02B5D" w:rsidDel="00BF0468" w:rsidRDefault="00174613" w:rsidP="00174613">
            <w:pPr>
              <w:spacing w:after="0" w:line="240" w:lineRule="auto"/>
              <w:rPr>
                <w:rFonts w:eastAsia="Times New Roman" w:cs="Calibri"/>
                <w:noProof/>
                <w:color w:val="006100"/>
                <w:sz w:val="18"/>
                <w:szCs w:val="18"/>
                <w:lang w:val="en-GB" w:eastAsia="en-GB"/>
              </w:rPr>
            </w:pPr>
          </w:p>
        </w:tc>
        <w:tc>
          <w:tcPr>
            <w:tcW w:w="574" w:type="dxa"/>
            <w:tcBorders>
              <w:top w:val="single" w:sz="4" w:space="0" w:color="auto"/>
              <w:left w:val="nil"/>
              <w:bottom w:val="single" w:sz="4" w:space="0" w:color="auto"/>
              <w:right w:val="single" w:sz="4" w:space="0" w:color="auto"/>
            </w:tcBorders>
            <w:shd w:val="clear" w:color="auto" w:fill="C6EFCE"/>
            <w:noWrap/>
          </w:tcPr>
          <w:p w14:paraId="15390D29"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2. kv</w:t>
            </w:r>
          </w:p>
        </w:tc>
        <w:tc>
          <w:tcPr>
            <w:tcW w:w="653" w:type="dxa"/>
            <w:tcBorders>
              <w:top w:val="single" w:sz="4" w:space="0" w:color="auto"/>
              <w:left w:val="nil"/>
              <w:bottom w:val="single" w:sz="4" w:space="0" w:color="auto"/>
              <w:right w:val="single" w:sz="4" w:space="0" w:color="auto"/>
            </w:tcBorders>
            <w:shd w:val="clear" w:color="auto" w:fill="C6EFCE"/>
            <w:noWrap/>
          </w:tcPr>
          <w:p w14:paraId="48BA902C"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2026</w:t>
            </w:r>
          </w:p>
        </w:tc>
        <w:tc>
          <w:tcPr>
            <w:tcW w:w="5730" w:type="dxa"/>
            <w:tcBorders>
              <w:top w:val="single" w:sz="4" w:space="0" w:color="auto"/>
              <w:left w:val="nil"/>
              <w:bottom w:val="single" w:sz="4" w:space="0" w:color="auto"/>
              <w:right w:val="single" w:sz="4" w:space="0" w:color="auto"/>
            </w:tcBorders>
            <w:shd w:val="clear" w:color="auto" w:fill="C6EFCE"/>
            <w:noWrap/>
          </w:tcPr>
          <w:p w14:paraId="3839BD41" w14:textId="7D851932" w:rsidR="00174613" w:rsidRPr="00E02B5D" w:rsidRDefault="00174613" w:rsidP="00174613">
            <w:pPr>
              <w:spacing w:after="0" w:line="240" w:lineRule="auto"/>
              <w:rPr>
                <w:rFonts w:eastAsia="Times New Roman" w:cs="Calibri"/>
                <w:noProof/>
                <w:color w:val="006100"/>
                <w:sz w:val="18"/>
                <w:szCs w:val="18"/>
              </w:rPr>
            </w:pPr>
            <w:r>
              <w:rPr>
                <w:noProof/>
                <w:color w:val="006100"/>
                <w:sz w:val="18"/>
              </w:rPr>
              <w:t>Kreeka kannab 15 428 miljonit eurot laenurahastu jaoks üle rahvusvahelistele finantsasutustele ja kommertspankadele.</w:t>
            </w:r>
          </w:p>
        </w:tc>
      </w:tr>
      <w:tr w:rsidR="00174613" w:rsidRPr="003B132A" w14:paraId="544DBA25"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13EC4737" w14:textId="164D53EB" w:rsidR="00174613" w:rsidRPr="00E02B5D" w:rsidRDefault="00761D46" w:rsidP="00174613">
            <w:pPr>
              <w:spacing w:after="0" w:line="240" w:lineRule="auto"/>
              <w:rPr>
                <w:noProof/>
                <w:sz w:val="18"/>
              </w:rPr>
            </w:pPr>
            <w:r>
              <w:rPr>
                <w:noProof/>
                <w:color w:val="006100"/>
                <w:sz w:val="18"/>
              </w:rPr>
              <w:t>329</w:t>
            </w:r>
          </w:p>
        </w:tc>
        <w:tc>
          <w:tcPr>
            <w:tcW w:w="1701" w:type="dxa"/>
            <w:tcBorders>
              <w:top w:val="single" w:sz="4" w:space="0" w:color="auto"/>
              <w:left w:val="nil"/>
              <w:bottom w:val="single" w:sz="4" w:space="0" w:color="auto"/>
              <w:right w:val="single" w:sz="4" w:space="0" w:color="auto"/>
            </w:tcBorders>
            <w:shd w:val="clear" w:color="auto" w:fill="C6EFCE"/>
            <w:noWrap/>
          </w:tcPr>
          <w:p w14:paraId="6A74C05A"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1C041F74"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Siht</w:t>
            </w:r>
          </w:p>
        </w:tc>
        <w:tc>
          <w:tcPr>
            <w:tcW w:w="1276" w:type="dxa"/>
            <w:tcBorders>
              <w:top w:val="single" w:sz="4" w:space="0" w:color="auto"/>
              <w:left w:val="nil"/>
              <w:bottom w:val="single" w:sz="4" w:space="0" w:color="auto"/>
              <w:right w:val="single" w:sz="4" w:space="0" w:color="auto"/>
            </w:tcBorders>
            <w:shd w:val="clear" w:color="auto" w:fill="C6EFCE"/>
            <w:noWrap/>
          </w:tcPr>
          <w:p w14:paraId="6537680D"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 xml:space="preserve">100 % omakapitalitoetuse investeering </w:t>
            </w:r>
          </w:p>
        </w:tc>
        <w:tc>
          <w:tcPr>
            <w:tcW w:w="1276" w:type="dxa"/>
            <w:tcBorders>
              <w:top w:val="single" w:sz="4" w:space="0" w:color="auto"/>
              <w:left w:val="nil"/>
              <w:bottom w:val="single" w:sz="4" w:space="0" w:color="auto"/>
              <w:right w:val="single" w:sz="4" w:space="0" w:color="auto"/>
            </w:tcBorders>
            <w:shd w:val="clear" w:color="auto" w:fill="C6EFCE"/>
          </w:tcPr>
          <w:p w14:paraId="199F9C6F" w14:textId="77777777" w:rsidR="00174613" w:rsidRPr="00E02B5D" w:rsidRDefault="00174613" w:rsidP="00174613">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1B40FC68" w14:textId="307896C2" w:rsidR="00174613" w:rsidRPr="00E02B5D" w:rsidRDefault="00174613" w:rsidP="00174613">
            <w:pPr>
              <w:spacing w:after="0" w:line="240" w:lineRule="auto"/>
              <w:rPr>
                <w:rFonts w:eastAsia="Times New Roman" w:cs="Calibri"/>
                <w:noProof/>
                <w:color w:val="006100"/>
                <w:sz w:val="18"/>
                <w:szCs w:val="18"/>
              </w:rPr>
            </w:pPr>
            <w:r>
              <w:rPr>
                <w:noProof/>
                <w:color w:val="006100"/>
                <w:sz w:val="18"/>
              </w:rPr>
              <w:t xml:space="preserve">Protsent (%) </w:t>
            </w:r>
          </w:p>
        </w:tc>
        <w:tc>
          <w:tcPr>
            <w:tcW w:w="850" w:type="dxa"/>
            <w:tcBorders>
              <w:top w:val="single" w:sz="4" w:space="0" w:color="auto"/>
              <w:left w:val="nil"/>
              <w:bottom w:val="single" w:sz="4" w:space="0" w:color="auto"/>
              <w:right w:val="single" w:sz="4" w:space="0" w:color="auto"/>
            </w:tcBorders>
            <w:shd w:val="clear" w:color="auto" w:fill="C6EFCE"/>
            <w:noWrap/>
          </w:tcPr>
          <w:p w14:paraId="271FF075"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0</w:t>
            </w:r>
          </w:p>
        </w:tc>
        <w:tc>
          <w:tcPr>
            <w:tcW w:w="851" w:type="dxa"/>
            <w:tcBorders>
              <w:top w:val="single" w:sz="4" w:space="0" w:color="auto"/>
              <w:left w:val="nil"/>
              <w:bottom w:val="single" w:sz="4" w:space="0" w:color="auto"/>
              <w:right w:val="single" w:sz="4" w:space="0" w:color="auto"/>
            </w:tcBorders>
            <w:shd w:val="clear" w:color="auto" w:fill="C6EFCE"/>
            <w:noWrap/>
          </w:tcPr>
          <w:p w14:paraId="0F5887B5"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100</w:t>
            </w:r>
          </w:p>
        </w:tc>
        <w:tc>
          <w:tcPr>
            <w:tcW w:w="574" w:type="dxa"/>
            <w:tcBorders>
              <w:top w:val="single" w:sz="4" w:space="0" w:color="auto"/>
              <w:left w:val="nil"/>
              <w:bottom w:val="single" w:sz="4" w:space="0" w:color="auto"/>
              <w:right w:val="single" w:sz="4" w:space="0" w:color="auto"/>
            </w:tcBorders>
            <w:shd w:val="clear" w:color="auto" w:fill="C6EFCE"/>
            <w:noWrap/>
          </w:tcPr>
          <w:p w14:paraId="525ADE01" w14:textId="1D3C4AEC" w:rsidR="00174613" w:rsidRPr="00E02B5D" w:rsidRDefault="00174613" w:rsidP="00174613">
            <w:pPr>
              <w:spacing w:after="0" w:line="240" w:lineRule="auto"/>
              <w:rPr>
                <w:rFonts w:eastAsia="Times New Roman" w:cs="Calibri"/>
                <w:noProof/>
                <w:color w:val="006100"/>
                <w:sz w:val="18"/>
                <w:szCs w:val="18"/>
              </w:rPr>
            </w:pPr>
            <w:r>
              <w:rPr>
                <w:noProof/>
                <w:color w:val="006100"/>
                <w:sz w:val="18"/>
              </w:rPr>
              <w:t>4. kv</w:t>
            </w:r>
          </w:p>
        </w:tc>
        <w:tc>
          <w:tcPr>
            <w:tcW w:w="653" w:type="dxa"/>
            <w:tcBorders>
              <w:top w:val="single" w:sz="4" w:space="0" w:color="auto"/>
              <w:left w:val="nil"/>
              <w:bottom w:val="single" w:sz="4" w:space="0" w:color="auto"/>
              <w:right w:val="single" w:sz="4" w:space="0" w:color="auto"/>
            </w:tcBorders>
            <w:shd w:val="clear" w:color="auto" w:fill="C6EFCE"/>
            <w:noWrap/>
          </w:tcPr>
          <w:p w14:paraId="0303AF7F" w14:textId="2D130D49" w:rsidR="00174613" w:rsidRPr="00E02B5D" w:rsidRDefault="00174613" w:rsidP="00174613">
            <w:pPr>
              <w:spacing w:after="0" w:line="240" w:lineRule="auto"/>
              <w:rPr>
                <w:rFonts w:eastAsia="Times New Roman" w:cs="Calibri"/>
                <w:noProof/>
                <w:color w:val="006100"/>
                <w:sz w:val="18"/>
                <w:szCs w:val="18"/>
              </w:rPr>
            </w:pPr>
            <w:r>
              <w:rPr>
                <w:noProof/>
                <w:color w:val="006100"/>
                <w:sz w:val="18"/>
              </w:rPr>
              <w:t>2025</w:t>
            </w:r>
          </w:p>
        </w:tc>
        <w:tc>
          <w:tcPr>
            <w:tcW w:w="5730" w:type="dxa"/>
            <w:tcBorders>
              <w:top w:val="single" w:sz="4" w:space="0" w:color="auto"/>
              <w:left w:val="nil"/>
              <w:bottom w:val="single" w:sz="4" w:space="0" w:color="auto"/>
              <w:right w:val="single" w:sz="4" w:space="0" w:color="auto"/>
            </w:tcBorders>
            <w:shd w:val="clear" w:color="auto" w:fill="C6EFCE"/>
            <w:noWrap/>
          </w:tcPr>
          <w:p w14:paraId="3F705A87" w14:textId="77777777" w:rsidR="00174613" w:rsidRPr="00E02B5D" w:rsidRDefault="00174613" w:rsidP="00174613">
            <w:pPr>
              <w:spacing w:after="0" w:line="240" w:lineRule="auto"/>
              <w:rPr>
                <w:rFonts w:eastAsia="Times New Roman" w:cs="Calibri"/>
                <w:noProof/>
                <w:color w:val="006100"/>
                <w:sz w:val="18"/>
                <w:szCs w:val="18"/>
                <w:highlight w:val="yellow"/>
              </w:rPr>
            </w:pPr>
            <w:r>
              <w:rPr>
                <w:noProof/>
                <w:color w:val="006100"/>
                <w:sz w:val="18"/>
              </w:rPr>
              <w:t>100 % omakapitali toetusest investeerimine vastavalt eesmärgis määratletud volituslepingule, mis hõlmab toetatavate äriühingute DNSH-põhimõtet käsitlevatele tehnilistele suunistele (2021/C58/01) vastavuse valikukriteeriume, mille kohaselt tuleb kasutada jätkusuutlikkuse hindamist, kõrvalejätmise loetelu ja kohustuslikku õigusnormidele vastavuse kontrolli tehingute puhul, mille puhul sõltumatu audiitor ei pea jätkusuutlikkust tõendama.</w:t>
            </w:r>
          </w:p>
        </w:tc>
      </w:tr>
      <w:tr w:rsidR="00174613" w:rsidRPr="003B132A" w14:paraId="2680EEF4" w14:textId="77777777" w:rsidTr="00E82BDD">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44EB0AC3" w14:textId="77777777" w:rsidR="00174613" w:rsidRPr="00E02B5D" w:rsidRDefault="00174613" w:rsidP="00174613">
            <w:pPr>
              <w:spacing w:after="0" w:line="240" w:lineRule="auto"/>
              <w:rPr>
                <w:noProof/>
                <w:color w:val="006100"/>
                <w:sz w:val="18"/>
              </w:rPr>
            </w:pPr>
            <w:r>
              <w:rPr>
                <w:noProof/>
                <w:color w:val="006100"/>
                <w:sz w:val="18"/>
              </w:rPr>
              <w:t>330</w:t>
            </w:r>
          </w:p>
        </w:tc>
        <w:tc>
          <w:tcPr>
            <w:tcW w:w="1701" w:type="dxa"/>
            <w:tcBorders>
              <w:top w:val="single" w:sz="4" w:space="0" w:color="auto"/>
              <w:left w:val="nil"/>
              <w:bottom w:val="single" w:sz="4" w:space="0" w:color="auto"/>
              <w:right w:val="single" w:sz="4" w:space="0" w:color="auto"/>
            </w:tcBorders>
            <w:shd w:val="clear" w:color="auto" w:fill="C6EFCE"/>
            <w:noWrap/>
          </w:tcPr>
          <w:p w14:paraId="0808B535"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4.7. Parandada konkurentsivõimet ning edendada erainvesteeringuid ja eksporti – 16980_RRP laenurahastu</w:t>
            </w:r>
          </w:p>
        </w:tc>
        <w:tc>
          <w:tcPr>
            <w:tcW w:w="992" w:type="dxa"/>
            <w:tcBorders>
              <w:top w:val="single" w:sz="4" w:space="0" w:color="auto"/>
              <w:left w:val="nil"/>
              <w:bottom w:val="single" w:sz="4" w:space="0" w:color="auto"/>
              <w:right w:val="single" w:sz="4" w:space="0" w:color="auto"/>
            </w:tcBorders>
            <w:shd w:val="clear" w:color="auto" w:fill="C6EFCE"/>
            <w:noWrap/>
          </w:tcPr>
          <w:p w14:paraId="511C67FA"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Siht</w:t>
            </w:r>
          </w:p>
        </w:tc>
        <w:tc>
          <w:tcPr>
            <w:tcW w:w="1276" w:type="dxa"/>
            <w:tcBorders>
              <w:top w:val="single" w:sz="4" w:space="0" w:color="auto"/>
              <w:left w:val="nil"/>
              <w:bottom w:val="single" w:sz="4" w:space="0" w:color="auto"/>
              <w:right w:val="single" w:sz="4" w:space="0" w:color="auto"/>
            </w:tcBorders>
            <w:shd w:val="clear" w:color="auto" w:fill="C6EFCE"/>
            <w:noWrap/>
          </w:tcPr>
          <w:p w14:paraId="49CDC4BA"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InvestEU tegevuse heakskiitmine</w:t>
            </w:r>
          </w:p>
        </w:tc>
        <w:tc>
          <w:tcPr>
            <w:tcW w:w="1276" w:type="dxa"/>
            <w:tcBorders>
              <w:top w:val="single" w:sz="4" w:space="0" w:color="auto"/>
              <w:left w:val="nil"/>
              <w:bottom w:val="single" w:sz="4" w:space="0" w:color="auto"/>
              <w:right w:val="single" w:sz="4" w:space="0" w:color="auto"/>
            </w:tcBorders>
            <w:shd w:val="clear" w:color="auto" w:fill="C6EFCE"/>
          </w:tcPr>
          <w:p w14:paraId="7600E46A" w14:textId="77777777" w:rsidR="00174613" w:rsidRPr="00E02B5D" w:rsidRDefault="00174613" w:rsidP="00174613">
            <w:pPr>
              <w:spacing w:after="0" w:line="240" w:lineRule="auto"/>
              <w:rPr>
                <w:rFonts w:eastAsia="Times New Roman" w:cs="Calibri"/>
                <w:noProof/>
                <w:color w:val="006100"/>
                <w:sz w:val="18"/>
                <w:szCs w:val="18"/>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1B47B657" w14:textId="3FC5CD4C" w:rsidR="00174613" w:rsidRPr="00E02B5D" w:rsidRDefault="00174613" w:rsidP="00174613">
            <w:pPr>
              <w:spacing w:after="0" w:line="240" w:lineRule="auto"/>
              <w:rPr>
                <w:rFonts w:eastAsia="Times New Roman" w:cs="Calibri"/>
                <w:noProof/>
                <w:color w:val="006100"/>
                <w:sz w:val="18"/>
                <w:szCs w:val="18"/>
              </w:rPr>
            </w:pPr>
            <w:r>
              <w:rPr>
                <w:noProof/>
                <w:color w:val="006100"/>
                <w:sz w:val="18"/>
              </w:rPr>
              <w:t>Protsent (%)</w:t>
            </w:r>
          </w:p>
        </w:tc>
        <w:tc>
          <w:tcPr>
            <w:tcW w:w="850" w:type="dxa"/>
            <w:tcBorders>
              <w:top w:val="single" w:sz="4" w:space="0" w:color="auto"/>
              <w:left w:val="nil"/>
              <w:bottom w:val="single" w:sz="4" w:space="0" w:color="auto"/>
              <w:right w:val="single" w:sz="4" w:space="0" w:color="auto"/>
            </w:tcBorders>
            <w:shd w:val="clear" w:color="auto" w:fill="C6EFCE"/>
            <w:noWrap/>
          </w:tcPr>
          <w:p w14:paraId="292AD696"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0</w:t>
            </w:r>
          </w:p>
        </w:tc>
        <w:tc>
          <w:tcPr>
            <w:tcW w:w="851" w:type="dxa"/>
            <w:tcBorders>
              <w:top w:val="single" w:sz="4" w:space="0" w:color="auto"/>
              <w:left w:val="nil"/>
              <w:bottom w:val="single" w:sz="4" w:space="0" w:color="auto"/>
              <w:right w:val="single" w:sz="4" w:space="0" w:color="auto"/>
            </w:tcBorders>
            <w:shd w:val="clear" w:color="auto" w:fill="C6EFCE"/>
            <w:noWrap/>
          </w:tcPr>
          <w:p w14:paraId="6B770E0F"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100</w:t>
            </w:r>
          </w:p>
        </w:tc>
        <w:tc>
          <w:tcPr>
            <w:tcW w:w="574" w:type="dxa"/>
            <w:tcBorders>
              <w:top w:val="single" w:sz="4" w:space="0" w:color="auto"/>
              <w:left w:val="nil"/>
              <w:bottom w:val="single" w:sz="4" w:space="0" w:color="auto"/>
              <w:right w:val="single" w:sz="4" w:space="0" w:color="auto"/>
            </w:tcBorders>
            <w:shd w:val="clear" w:color="auto" w:fill="C6EFCE"/>
            <w:noWrap/>
          </w:tcPr>
          <w:p w14:paraId="51633FEC" w14:textId="2246523A" w:rsidR="00174613" w:rsidRPr="00E02B5D" w:rsidRDefault="00174613" w:rsidP="00174613">
            <w:pPr>
              <w:spacing w:after="0" w:line="240" w:lineRule="auto"/>
              <w:rPr>
                <w:rFonts w:eastAsia="Times New Roman" w:cs="Calibri"/>
                <w:noProof/>
                <w:color w:val="006100"/>
                <w:sz w:val="18"/>
                <w:szCs w:val="18"/>
              </w:rPr>
            </w:pPr>
            <w:r>
              <w:rPr>
                <w:noProof/>
                <w:color w:val="006100"/>
                <w:sz w:val="18"/>
              </w:rPr>
              <w:t>4. kv</w:t>
            </w:r>
          </w:p>
        </w:tc>
        <w:tc>
          <w:tcPr>
            <w:tcW w:w="653" w:type="dxa"/>
            <w:tcBorders>
              <w:top w:val="single" w:sz="4" w:space="0" w:color="auto"/>
              <w:left w:val="nil"/>
              <w:bottom w:val="single" w:sz="4" w:space="0" w:color="auto"/>
              <w:right w:val="single" w:sz="4" w:space="0" w:color="auto"/>
            </w:tcBorders>
            <w:shd w:val="clear" w:color="auto" w:fill="C6EFCE"/>
            <w:noWrap/>
          </w:tcPr>
          <w:p w14:paraId="67981EEB" w14:textId="7ECD3237" w:rsidR="00174613" w:rsidRPr="00E02B5D" w:rsidRDefault="00174613" w:rsidP="00174613">
            <w:pPr>
              <w:spacing w:after="0" w:line="240" w:lineRule="auto"/>
              <w:rPr>
                <w:rFonts w:eastAsia="Times New Roman" w:cs="Calibri"/>
                <w:noProof/>
                <w:color w:val="006100"/>
                <w:sz w:val="18"/>
                <w:szCs w:val="18"/>
              </w:rPr>
            </w:pPr>
            <w:r>
              <w:rPr>
                <w:noProof/>
                <w:color w:val="006100"/>
                <w:sz w:val="18"/>
              </w:rPr>
              <w:t>2025</w:t>
            </w:r>
          </w:p>
        </w:tc>
        <w:tc>
          <w:tcPr>
            <w:tcW w:w="5730" w:type="dxa"/>
            <w:tcBorders>
              <w:top w:val="single" w:sz="4" w:space="0" w:color="auto"/>
              <w:left w:val="nil"/>
              <w:bottom w:val="single" w:sz="4" w:space="0" w:color="auto"/>
              <w:right w:val="single" w:sz="4" w:space="0" w:color="auto"/>
            </w:tcBorders>
            <w:shd w:val="clear" w:color="auto" w:fill="C6EFCE"/>
            <w:noWrap/>
          </w:tcPr>
          <w:p w14:paraId="51E70393" w14:textId="77777777" w:rsidR="00174613" w:rsidRPr="00E02B5D" w:rsidRDefault="00174613" w:rsidP="00174613">
            <w:pPr>
              <w:spacing w:after="0" w:line="240" w:lineRule="auto"/>
              <w:rPr>
                <w:rFonts w:eastAsia="Times New Roman" w:cs="Calibri"/>
                <w:noProof/>
                <w:color w:val="006100"/>
                <w:sz w:val="18"/>
                <w:szCs w:val="18"/>
              </w:rPr>
            </w:pPr>
            <w:r>
              <w:rPr>
                <w:noProof/>
                <w:color w:val="006100"/>
                <w:sz w:val="18"/>
              </w:rPr>
              <w:t>InvestEU investeeringute komitee kiidab heaks investeerimistoimingud, mis moodustavad 100 % sihtotstarbelise rahastamise (või kaasatud investeeringute) kogusummast.</w:t>
            </w:r>
          </w:p>
        </w:tc>
      </w:tr>
    </w:tbl>
    <w:p w14:paraId="1A905C77" w14:textId="77777777" w:rsidR="00356CBA" w:rsidRPr="00AD4052" w:rsidRDefault="00356CBA" w:rsidP="00645BC7">
      <w:pPr>
        <w:spacing w:before="120" w:after="120" w:line="240" w:lineRule="auto"/>
        <w:jc w:val="both"/>
        <w:rPr>
          <w:rFonts w:ascii="Times New Roman" w:hAnsi="Times New Roman" w:cs="Times New Roman"/>
          <w:noProof/>
          <w:sz w:val="24"/>
        </w:rPr>
        <w:sectPr w:rsidR="00356CBA" w:rsidRPr="00AD4052" w:rsidSect="00271D33">
          <w:headerReference w:type="even" r:id="rId392"/>
          <w:headerReference w:type="default" r:id="rId393"/>
          <w:footerReference w:type="even" r:id="rId394"/>
          <w:footerReference w:type="default" r:id="rId395"/>
          <w:headerReference w:type="first" r:id="rId396"/>
          <w:footerReference w:type="first" r:id="rId397"/>
          <w:pgSz w:w="16839" w:h="11907" w:orient="landscape"/>
          <w:pgMar w:top="720" w:right="720" w:bottom="720" w:left="720" w:header="709" w:footer="75" w:gutter="0"/>
          <w:cols w:space="720"/>
          <w:docGrid w:linePitch="360"/>
        </w:sectPr>
      </w:pPr>
    </w:p>
    <w:p w14:paraId="2F3807BD" w14:textId="77777777" w:rsidR="00356CBA" w:rsidRPr="00E02B5D" w:rsidRDefault="00356CBA" w:rsidP="00645BC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S. TEHNILINE ABI</w:t>
      </w:r>
    </w:p>
    <w:p w14:paraId="138DB494"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Kreeka taaste- ja vastupidavuskava see komponent koosneb meetmetest, millega tugevdatakse taaste- ja vastupidavusrahastu ameti (mis on äsja loodud struktuur, mis on pühendatud üksnes Kreeka taaste- ja vastupidavuskava koordineerimisele ja rakendamisele) haldussuutlikkust. Meetme eesmärk on anda Kreeka ametiasutustele vajalikku abi, et edukalt juhtida piirkondliku reformikava rakendamist. Seega eeldatakse, et see aitab kaudselt kaasa maaelu arengu programmi eesmärkide saavutamisele, mida toetavad nelja samba raames võetavad meetmed, ning toetab asjaomaste riigipõhiste soovituste elluviimist Kreeka jaoks, st avaliku ja erasektori investeeringud (riigipõhine soovitus 2/2019 ja riigipõhine soovitus 3/2020), riigi rahandus ja tervishoid (riigipõhine soovitus 1/2020) ning tööturg ja sotsiaalpoliitika (riigipõhine soovitus 2/2020).</w:t>
      </w:r>
    </w:p>
    <w:p w14:paraId="3E556037" w14:textId="77777777" w:rsidR="00356CBA" w:rsidRPr="00E02B5D" w:rsidRDefault="00356CBA" w:rsidP="00645BC7">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S.1. </w:t>
      </w:r>
      <w:r>
        <w:rPr>
          <w:noProof/>
        </w:rPr>
        <w:tab/>
      </w:r>
      <w:r>
        <w:rPr>
          <w:rFonts w:ascii="Times New Roman" w:hAnsi="Times New Roman"/>
          <w:b/>
          <w:noProof/>
          <w:sz w:val="24"/>
          <w:u w:val="single"/>
        </w:rPr>
        <w:t>Tagastamatu rahalise toetusega seotud reformide ja investeeringute kirjeldus</w:t>
      </w:r>
    </w:p>
    <w:p w14:paraId="6C58FEA3" w14:textId="77777777" w:rsidR="00356CBA" w:rsidRPr="00E02B5D" w:rsidRDefault="00356CBA"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Tehniline abi (meetme ID 16968)</w:t>
      </w:r>
    </w:p>
    <w:p w14:paraId="2D2D9932" w14:textId="77777777" w:rsidR="00356CBA" w:rsidRPr="00E02B5D" w:rsidRDefault="00356CBA" w:rsidP="00645BC7">
      <w:pPr>
        <w:spacing w:before="120" w:after="120" w:line="240" w:lineRule="auto"/>
        <w:jc w:val="both"/>
        <w:rPr>
          <w:rFonts w:ascii="Times New Roman" w:hAnsi="Times New Roman" w:cs="Times New Roman"/>
          <w:i/>
          <w:noProof/>
          <w:color w:val="4F81BD"/>
          <w:sz w:val="24"/>
        </w:rPr>
      </w:pPr>
      <w:r>
        <w:rPr>
          <w:rFonts w:ascii="Times New Roman" w:hAnsi="Times New Roman"/>
          <w:noProof/>
          <w:sz w:val="24"/>
        </w:rPr>
        <w:t xml:space="preserve">Investeering koosneb kuuest allprojektist: 1) süsteemide ja vahendite väljatöötamine töö korraldamiseks, 2) teenuste ostmine välisaudiitoritelt, et viia läbi auditeid, inspekteerimisi ja sertifitseerimist juhtudel, kui on vaja eriteadmisi, ning üldise metoodilise raamistiku väljatöötamine auditite, kontrollide ja sertifitseerimiste jaoks, et toetada taaste- ja vastupidavusrahastu järelevalvefunktsiooni seoses plaanimeetmete rakendamisega, 3) teabe kogumine ja avalikustamine seoses kavakohaste põhiinvesteeringute ja reformidega, 4) uuringute tegemine ning välisekspertide ja tehnilise toe hankimine eriprojektide puhul, 5) ameti igapäevase tegevuse rahastamiskulud (kontori rent, kontoriseadmete soetamine, kommunaalteenuste arvete katmine), ja 6) riiklike ehitusprojektide kvaliteedikontrolli teenuste ostmine, et hinnata vastavust ehituslepingu tingimustele, eeskirjadele ja tehnilistele standarditele. Allprojekti 3 rakendamine toimub heade juhtimistavade kehtestamise kontekstis. Asjakohased meetmed muutuvad avaliku konsultatsioonimenetluse lahutamatuks ja püsivaks osaks ning neid kasutatakse vahendina, mis hõlbustab sidusrühmade osalemist ning tagab kavakohaste konkreetsete reformide ja investeeringute jätkusuutliku rakendamise. Allprojekti 5 rahastamine on ajutine, st kui see osutub vajalikuks, et toetada taaste ja vastupidavuse rahastamisvahendi ametit tema volituste tulemuslikul täitmisel. Meede on asjakohane juhtimis-, kontrolli- ja auditisüsteemide loomisel. Investeeringu rakendamine viiakse lõpule 30. juuniks 2026. </w:t>
      </w:r>
    </w:p>
    <w:p w14:paraId="06473FB0" w14:textId="77777777" w:rsidR="00803D41" w:rsidRPr="00AD4052" w:rsidRDefault="00803D41">
      <w:pPr>
        <w:rPr>
          <w:rFonts w:ascii="Times New Roman" w:hAnsi="Times New Roman"/>
          <w:b/>
          <w:noProof/>
          <w:sz w:val="24"/>
          <w:u w:val="single"/>
        </w:rPr>
        <w:sectPr w:rsidR="00803D41" w:rsidRPr="00AD4052" w:rsidSect="00803D41">
          <w:headerReference w:type="even" r:id="rId398"/>
          <w:headerReference w:type="default" r:id="rId399"/>
          <w:footerReference w:type="even" r:id="rId400"/>
          <w:footerReference w:type="default" r:id="rId401"/>
          <w:headerReference w:type="first" r:id="rId402"/>
          <w:footerReference w:type="first" r:id="rId403"/>
          <w:pgSz w:w="11907" w:h="16839"/>
          <w:pgMar w:top="720" w:right="720" w:bottom="720" w:left="720" w:header="709" w:footer="215" w:gutter="0"/>
          <w:cols w:space="720"/>
          <w:docGrid w:linePitch="360"/>
        </w:sectPr>
      </w:pPr>
    </w:p>
    <w:p w14:paraId="495ACEE2" w14:textId="3977255E" w:rsidR="00356CBA" w:rsidRPr="00E02B5D" w:rsidRDefault="00356CBA" w:rsidP="00645BC7">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S.2. </w:t>
      </w:r>
      <w:r>
        <w:rPr>
          <w:noProof/>
        </w:rPr>
        <w:tab/>
      </w:r>
      <w:r>
        <w:rPr>
          <w:rFonts w:ascii="Times New Roman" w:hAnsi="Times New Roman"/>
          <w:b/>
          <w:noProof/>
          <w:sz w:val="24"/>
          <w:u w:val="single"/>
        </w:rPr>
        <w:t>Tagastamatu rahalise toetuse eesmärgid, sihid, näitajad ning seire ja rakendamise ajakava</w:t>
      </w:r>
    </w:p>
    <w:p w14:paraId="47997478" w14:textId="77777777" w:rsidR="00356CBA" w:rsidRDefault="00356CBA" w:rsidP="00645BC7">
      <w:pPr>
        <w:keepNext/>
        <w:keepLines/>
        <w:spacing w:before="40" w:after="0" w:line="240" w:lineRule="auto"/>
        <w:jc w:val="both"/>
        <w:outlineLvl w:val="4"/>
        <w:rPr>
          <w:rFonts w:ascii="Cambria" w:hAnsi="Cambria"/>
          <w:noProof/>
          <w:color w:val="365F91"/>
          <w:sz w:val="24"/>
        </w:rPr>
      </w:pPr>
      <w:r>
        <w:rPr>
          <w:rFonts w:ascii="Cambria" w:hAnsi="Cambria"/>
          <w:noProof/>
          <w:color w:val="365F91"/>
          <w:sz w:val="24"/>
        </w:rPr>
        <w:t>Tehniline abi</w:t>
      </w:r>
    </w:p>
    <w:p w14:paraId="6515FF93" w14:textId="77777777" w:rsidR="00EF74AB" w:rsidRPr="00E02B5D" w:rsidRDefault="00EF74AB" w:rsidP="00645BC7">
      <w:pPr>
        <w:keepNext/>
        <w:keepLines/>
        <w:spacing w:before="40" w:after="0" w:line="240" w:lineRule="auto"/>
        <w:jc w:val="both"/>
        <w:outlineLvl w:val="4"/>
        <w:rPr>
          <w:rFonts w:ascii="Cambria" w:eastAsia="Times New Roman" w:hAnsi="Cambria"/>
          <w:noProof/>
          <w:color w:val="365F91"/>
          <w:sz w:val="24"/>
          <w:lang w:val="en-GB"/>
        </w:rPr>
      </w:pPr>
    </w:p>
    <w:tbl>
      <w:tblPr>
        <w:tblW w:w="15617" w:type="dxa"/>
        <w:tblInd w:w="113" w:type="dxa"/>
        <w:tblLook w:val="04A0" w:firstRow="1" w:lastRow="0" w:firstColumn="1" w:lastColumn="0" w:noHBand="0" w:noVBand="1"/>
      </w:tblPr>
      <w:tblGrid>
        <w:gridCol w:w="1666"/>
        <w:gridCol w:w="1455"/>
        <w:gridCol w:w="965"/>
        <w:gridCol w:w="1755"/>
        <w:gridCol w:w="1633"/>
        <w:gridCol w:w="977"/>
        <w:gridCol w:w="1042"/>
        <w:gridCol w:w="906"/>
        <w:gridCol w:w="845"/>
        <w:gridCol w:w="769"/>
        <w:gridCol w:w="3604"/>
      </w:tblGrid>
      <w:tr w:rsidR="00356CBA" w:rsidRPr="003B132A" w14:paraId="02A5F0E7" w14:textId="77777777" w:rsidTr="005D5392">
        <w:trPr>
          <w:trHeight w:val="706"/>
          <w:tblHeader/>
        </w:trPr>
        <w:tc>
          <w:tcPr>
            <w:tcW w:w="16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FA9E65"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Järjekorranumber</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9B4311"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Seotud meede (reform või investeering)</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688365"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Eesmärk / siht</w:t>
            </w:r>
          </w:p>
        </w:tc>
        <w:tc>
          <w:tcPr>
            <w:tcW w:w="1755" w:type="dxa"/>
            <w:vMerge w:val="restart"/>
            <w:tcBorders>
              <w:top w:val="single" w:sz="4" w:space="0" w:color="auto"/>
              <w:left w:val="nil"/>
              <w:bottom w:val="single" w:sz="4" w:space="0" w:color="auto"/>
              <w:right w:val="single" w:sz="4" w:space="0" w:color="auto"/>
            </w:tcBorders>
            <w:shd w:val="clear" w:color="auto" w:fill="BDD7EE"/>
            <w:vAlign w:val="center"/>
            <w:hideMark/>
          </w:tcPr>
          <w:p w14:paraId="6B859793"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Nimi</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F14D317"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Kvalitatiivsed näitajad (eesmärkide puhul)</w:t>
            </w:r>
          </w:p>
        </w:tc>
        <w:tc>
          <w:tcPr>
            <w:tcW w:w="2925" w:type="dxa"/>
            <w:gridSpan w:val="3"/>
            <w:tcBorders>
              <w:top w:val="single" w:sz="4" w:space="0" w:color="auto"/>
              <w:left w:val="nil"/>
              <w:bottom w:val="single" w:sz="4" w:space="0" w:color="auto"/>
              <w:right w:val="single" w:sz="4" w:space="0" w:color="auto"/>
            </w:tcBorders>
            <w:shd w:val="clear" w:color="auto" w:fill="BDD7EE"/>
            <w:vAlign w:val="center"/>
            <w:hideMark/>
          </w:tcPr>
          <w:p w14:paraId="5CF320C0"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Kvantitatiivsed näitajad (sihtide puhul)</w:t>
            </w:r>
          </w:p>
        </w:tc>
        <w:tc>
          <w:tcPr>
            <w:tcW w:w="1614" w:type="dxa"/>
            <w:gridSpan w:val="2"/>
            <w:tcBorders>
              <w:top w:val="single" w:sz="4" w:space="0" w:color="auto"/>
              <w:left w:val="nil"/>
              <w:bottom w:val="single" w:sz="4" w:space="0" w:color="auto"/>
              <w:right w:val="single" w:sz="4" w:space="0" w:color="auto"/>
            </w:tcBorders>
            <w:shd w:val="clear" w:color="auto" w:fill="BDD7EE"/>
            <w:vAlign w:val="center"/>
            <w:hideMark/>
          </w:tcPr>
          <w:p w14:paraId="763C4847"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Lõpuleviimise soovituslik ajakava </w:t>
            </w:r>
          </w:p>
        </w:tc>
        <w:tc>
          <w:tcPr>
            <w:tcW w:w="36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ADC68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Iga eesmärgi ja sihi kirjeldus</w:t>
            </w:r>
          </w:p>
        </w:tc>
      </w:tr>
      <w:tr w:rsidR="00356CBA" w:rsidRPr="00E02B5D" w14:paraId="49B53957" w14:textId="77777777" w:rsidTr="005D5392">
        <w:trPr>
          <w:trHeight w:val="620"/>
        </w:trPr>
        <w:tc>
          <w:tcPr>
            <w:tcW w:w="1666" w:type="dxa"/>
            <w:vMerge/>
            <w:tcBorders>
              <w:top w:val="single" w:sz="4" w:space="0" w:color="auto"/>
              <w:left w:val="single" w:sz="4" w:space="0" w:color="auto"/>
              <w:bottom w:val="single" w:sz="4" w:space="0" w:color="auto"/>
              <w:right w:val="single" w:sz="4" w:space="0" w:color="auto"/>
            </w:tcBorders>
            <w:vAlign w:val="center"/>
            <w:hideMark/>
          </w:tcPr>
          <w:p w14:paraId="331788D1"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8E87B8F"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9D8F3A3"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755" w:type="dxa"/>
            <w:vMerge/>
            <w:tcBorders>
              <w:top w:val="single" w:sz="4" w:space="0" w:color="auto"/>
              <w:left w:val="nil"/>
              <w:bottom w:val="single" w:sz="4" w:space="0" w:color="auto"/>
              <w:right w:val="single" w:sz="4" w:space="0" w:color="auto"/>
            </w:tcBorders>
            <w:vAlign w:val="center"/>
            <w:hideMark/>
          </w:tcPr>
          <w:p w14:paraId="1307BA7D"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2A8A1412" w14:textId="77777777" w:rsidR="00356CBA" w:rsidRPr="00AD4052" w:rsidRDefault="00356CBA">
            <w:pPr>
              <w:spacing w:after="0" w:line="240" w:lineRule="auto"/>
              <w:rPr>
                <w:rFonts w:ascii="Times New Roman" w:eastAsia="Times New Roman" w:hAnsi="Times New Roman" w:cs="Times New Roman"/>
                <w:b/>
                <w:bCs/>
                <w:noProof/>
                <w:sz w:val="18"/>
                <w:szCs w:val="18"/>
                <w:lang w:eastAsia="en-GB"/>
              </w:rPr>
            </w:pPr>
          </w:p>
        </w:tc>
        <w:tc>
          <w:tcPr>
            <w:tcW w:w="977" w:type="dxa"/>
            <w:tcBorders>
              <w:top w:val="single" w:sz="4" w:space="0" w:color="auto"/>
              <w:left w:val="nil"/>
              <w:bottom w:val="single" w:sz="4" w:space="0" w:color="auto"/>
              <w:right w:val="single" w:sz="4" w:space="0" w:color="auto"/>
            </w:tcBorders>
            <w:shd w:val="clear" w:color="auto" w:fill="BDD7EE"/>
            <w:vAlign w:val="center"/>
            <w:hideMark/>
          </w:tcPr>
          <w:p w14:paraId="0E30B508"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Mõõtühik</w:t>
            </w:r>
          </w:p>
        </w:tc>
        <w:tc>
          <w:tcPr>
            <w:tcW w:w="1042" w:type="dxa"/>
            <w:tcBorders>
              <w:top w:val="single" w:sz="4" w:space="0" w:color="auto"/>
              <w:left w:val="nil"/>
              <w:bottom w:val="single" w:sz="4" w:space="0" w:color="auto"/>
              <w:right w:val="single" w:sz="4" w:space="0" w:color="auto"/>
            </w:tcBorders>
            <w:shd w:val="clear" w:color="auto" w:fill="BDD7EE"/>
            <w:vAlign w:val="center"/>
            <w:hideMark/>
          </w:tcPr>
          <w:p w14:paraId="7D9DBA1C"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Lähtetase </w:t>
            </w:r>
          </w:p>
        </w:tc>
        <w:tc>
          <w:tcPr>
            <w:tcW w:w="906" w:type="dxa"/>
            <w:tcBorders>
              <w:top w:val="single" w:sz="4" w:space="0" w:color="auto"/>
              <w:left w:val="nil"/>
              <w:bottom w:val="single" w:sz="4" w:space="0" w:color="auto"/>
              <w:right w:val="single" w:sz="4" w:space="0" w:color="auto"/>
            </w:tcBorders>
            <w:shd w:val="clear" w:color="auto" w:fill="BDD7EE"/>
            <w:vAlign w:val="center"/>
            <w:hideMark/>
          </w:tcPr>
          <w:p w14:paraId="26F9CBF2"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 xml:space="preserve">Eesmärk </w:t>
            </w:r>
          </w:p>
        </w:tc>
        <w:tc>
          <w:tcPr>
            <w:tcW w:w="845" w:type="dxa"/>
            <w:tcBorders>
              <w:top w:val="single" w:sz="4" w:space="0" w:color="auto"/>
              <w:left w:val="nil"/>
              <w:bottom w:val="single" w:sz="4" w:space="0" w:color="auto"/>
              <w:right w:val="single" w:sz="4" w:space="0" w:color="auto"/>
            </w:tcBorders>
            <w:shd w:val="clear" w:color="auto" w:fill="BDD7EE"/>
            <w:vAlign w:val="center"/>
            <w:hideMark/>
          </w:tcPr>
          <w:p w14:paraId="5811BB7C"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Kvartal</w:t>
            </w:r>
          </w:p>
        </w:tc>
        <w:tc>
          <w:tcPr>
            <w:tcW w:w="769" w:type="dxa"/>
            <w:tcBorders>
              <w:top w:val="single" w:sz="4" w:space="0" w:color="auto"/>
              <w:left w:val="nil"/>
              <w:bottom w:val="single" w:sz="4" w:space="0" w:color="auto"/>
              <w:right w:val="single" w:sz="4" w:space="0" w:color="auto"/>
            </w:tcBorders>
            <w:shd w:val="clear" w:color="auto" w:fill="BDD7EE"/>
            <w:vAlign w:val="center"/>
            <w:hideMark/>
          </w:tcPr>
          <w:p w14:paraId="3B526335" w14:textId="77777777" w:rsidR="00356CBA" w:rsidRPr="00E02B5D" w:rsidRDefault="00356CBA">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rPr>
              <w:t>Aasta</w:t>
            </w:r>
          </w:p>
        </w:tc>
        <w:tc>
          <w:tcPr>
            <w:tcW w:w="3604" w:type="dxa"/>
            <w:vMerge/>
            <w:tcBorders>
              <w:top w:val="single" w:sz="4" w:space="0" w:color="auto"/>
              <w:left w:val="single" w:sz="4" w:space="0" w:color="auto"/>
              <w:bottom w:val="single" w:sz="4" w:space="0" w:color="auto"/>
              <w:right w:val="single" w:sz="4" w:space="0" w:color="auto"/>
            </w:tcBorders>
            <w:vAlign w:val="center"/>
            <w:hideMark/>
          </w:tcPr>
          <w:p w14:paraId="62B4B5F4" w14:textId="77777777" w:rsidR="00356CBA" w:rsidRPr="00E02B5D" w:rsidRDefault="00356CBA">
            <w:pPr>
              <w:spacing w:after="0" w:line="240" w:lineRule="auto"/>
              <w:rPr>
                <w:rFonts w:ascii="Times New Roman" w:eastAsia="Times New Roman" w:hAnsi="Times New Roman" w:cs="Times New Roman"/>
                <w:b/>
                <w:bCs/>
                <w:noProof/>
                <w:sz w:val="18"/>
                <w:szCs w:val="18"/>
                <w:lang w:val="en-GB" w:eastAsia="en-GB"/>
              </w:rPr>
            </w:pPr>
          </w:p>
        </w:tc>
      </w:tr>
      <w:tr w:rsidR="00356CBA" w:rsidRPr="003B132A" w14:paraId="6C7D0A15" w14:textId="77777777" w:rsidTr="005D5392">
        <w:trPr>
          <w:trHeight w:val="309"/>
        </w:trPr>
        <w:tc>
          <w:tcPr>
            <w:tcW w:w="1666" w:type="dxa"/>
            <w:tcBorders>
              <w:top w:val="single" w:sz="4" w:space="0" w:color="auto"/>
              <w:left w:val="single" w:sz="4" w:space="0" w:color="auto"/>
              <w:bottom w:val="single" w:sz="4" w:space="0" w:color="auto"/>
              <w:right w:val="single" w:sz="4" w:space="0" w:color="auto"/>
            </w:tcBorders>
            <w:shd w:val="clear" w:color="auto" w:fill="C6EFCE"/>
            <w:noWrap/>
          </w:tcPr>
          <w:p w14:paraId="4865A76E"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331</w:t>
            </w:r>
          </w:p>
        </w:tc>
        <w:tc>
          <w:tcPr>
            <w:tcW w:w="1455" w:type="dxa"/>
            <w:tcBorders>
              <w:top w:val="single" w:sz="4" w:space="0" w:color="auto"/>
              <w:left w:val="nil"/>
              <w:bottom w:val="single" w:sz="4" w:space="0" w:color="auto"/>
              <w:right w:val="single" w:sz="4" w:space="0" w:color="auto"/>
            </w:tcBorders>
            <w:shd w:val="clear" w:color="auto" w:fill="C6EFCE"/>
            <w:noWrap/>
          </w:tcPr>
          <w:p w14:paraId="7ED50538" w14:textId="77777777" w:rsidR="00356CBA" w:rsidRPr="00E02B5D" w:rsidRDefault="00356CBA">
            <w:pPr>
              <w:spacing w:after="0" w:line="240" w:lineRule="auto"/>
              <w:rPr>
                <w:rFonts w:eastAsia="Times New Roman"/>
                <w:noProof/>
                <w:color w:val="006100"/>
                <w:sz w:val="18"/>
                <w:szCs w:val="18"/>
              </w:rPr>
            </w:pPr>
            <w:r>
              <w:rPr>
                <w:noProof/>
                <w:color w:val="006100"/>
                <w:sz w:val="18"/>
              </w:rPr>
              <w:t>19-16968_ Tehniline abi</w:t>
            </w:r>
          </w:p>
        </w:tc>
        <w:tc>
          <w:tcPr>
            <w:tcW w:w="965" w:type="dxa"/>
            <w:tcBorders>
              <w:top w:val="single" w:sz="4" w:space="0" w:color="auto"/>
              <w:left w:val="nil"/>
              <w:bottom w:val="single" w:sz="4" w:space="0" w:color="auto"/>
              <w:right w:val="single" w:sz="4" w:space="0" w:color="auto"/>
            </w:tcBorders>
            <w:shd w:val="clear" w:color="auto" w:fill="C6EFCE"/>
            <w:noWrap/>
          </w:tcPr>
          <w:p w14:paraId="4D362284" w14:textId="77777777" w:rsidR="00356CBA" w:rsidRPr="00E02B5D" w:rsidRDefault="00356CBA">
            <w:pPr>
              <w:spacing w:after="0" w:line="240" w:lineRule="auto"/>
              <w:rPr>
                <w:rFonts w:eastAsia="Times New Roman"/>
                <w:noProof/>
                <w:color w:val="006100"/>
                <w:sz w:val="18"/>
                <w:szCs w:val="18"/>
              </w:rPr>
            </w:pPr>
            <w:r>
              <w:rPr>
                <w:noProof/>
                <w:color w:val="006100"/>
                <w:sz w:val="18"/>
              </w:rPr>
              <w:t>Eesmärk</w:t>
            </w:r>
          </w:p>
        </w:tc>
        <w:tc>
          <w:tcPr>
            <w:tcW w:w="1755" w:type="dxa"/>
            <w:tcBorders>
              <w:top w:val="single" w:sz="4" w:space="0" w:color="auto"/>
              <w:left w:val="nil"/>
              <w:bottom w:val="single" w:sz="4" w:space="0" w:color="auto"/>
              <w:right w:val="single" w:sz="4" w:space="0" w:color="auto"/>
            </w:tcBorders>
            <w:shd w:val="clear" w:color="auto" w:fill="C6EFCE"/>
            <w:noWrap/>
          </w:tcPr>
          <w:p w14:paraId="30D6EE75"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EDELi õiguslik mandaat ning juhtimis-, kontrolli- ja auditisüsteemide loomine </w:t>
            </w:r>
          </w:p>
        </w:tc>
        <w:tc>
          <w:tcPr>
            <w:tcW w:w="1633" w:type="dxa"/>
            <w:tcBorders>
              <w:top w:val="single" w:sz="4" w:space="0" w:color="auto"/>
              <w:left w:val="nil"/>
              <w:bottom w:val="single" w:sz="4" w:space="0" w:color="auto"/>
              <w:right w:val="single" w:sz="4" w:space="0" w:color="auto"/>
            </w:tcBorders>
            <w:shd w:val="clear" w:color="auto" w:fill="C6EFCE"/>
            <w:noWrap/>
          </w:tcPr>
          <w:p w14:paraId="4086C370" w14:textId="77777777" w:rsidR="00356CBA" w:rsidRPr="00E02B5D" w:rsidRDefault="00356CBA">
            <w:pPr>
              <w:spacing w:after="0" w:line="240" w:lineRule="auto"/>
              <w:rPr>
                <w:rFonts w:eastAsia="Times New Roman"/>
                <w:noProof/>
                <w:color w:val="006100"/>
                <w:sz w:val="18"/>
                <w:szCs w:val="18"/>
              </w:rPr>
            </w:pPr>
            <w:r>
              <w:rPr>
                <w:noProof/>
                <w:color w:val="006100"/>
                <w:sz w:val="18"/>
              </w:rPr>
              <w:t xml:space="preserve">EDELi kehtivad õiguslikud volitused ning loodud juhtimis-, kontrolli- ja auditisüsteemid </w:t>
            </w:r>
          </w:p>
        </w:tc>
        <w:tc>
          <w:tcPr>
            <w:tcW w:w="977" w:type="dxa"/>
            <w:tcBorders>
              <w:top w:val="single" w:sz="4" w:space="0" w:color="auto"/>
              <w:left w:val="nil"/>
              <w:bottom w:val="single" w:sz="4" w:space="0" w:color="auto"/>
              <w:right w:val="single" w:sz="4" w:space="0" w:color="auto"/>
            </w:tcBorders>
            <w:shd w:val="clear" w:color="auto" w:fill="C6EFCE"/>
            <w:noWrap/>
          </w:tcPr>
          <w:p w14:paraId="0D047DBA" w14:textId="77777777" w:rsidR="00356CBA" w:rsidRPr="00AD4052" w:rsidRDefault="00356CBA">
            <w:pPr>
              <w:spacing w:after="0" w:line="240" w:lineRule="auto"/>
              <w:rPr>
                <w:rFonts w:eastAsia="Times New Roman" w:cs="Calibri"/>
                <w:noProof/>
                <w:color w:val="006100"/>
                <w:sz w:val="18"/>
                <w:szCs w:val="18"/>
                <w:lang w:eastAsia="en-GB"/>
              </w:rPr>
            </w:pPr>
          </w:p>
        </w:tc>
        <w:tc>
          <w:tcPr>
            <w:tcW w:w="1042" w:type="dxa"/>
            <w:tcBorders>
              <w:top w:val="single" w:sz="4" w:space="0" w:color="auto"/>
              <w:left w:val="nil"/>
              <w:bottom w:val="single" w:sz="4" w:space="0" w:color="auto"/>
              <w:right w:val="single" w:sz="4" w:space="0" w:color="auto"/>
            </w:tcBorders>
            <w:shd w:val="clear" w:color="auto" w:fill="C6EFCE"/>
            <w:noWrap/>
          </w:tcPr>
          <w:p w14:paraId="0057FA7A" w14:textId="77777777" w:rsidR="00356CBA" w:rsidRPr="00AD4052" w:rsidRDefault="00356CBA">
            <w:pPr>
              <w:spacing w:after="0" w:line="240" w:lineRule="auto"/>
              <w:rPr>
                <w:rFonts w:eastAsia="Times New Roman" w:cs="Calibri"/>
                <w:noProof/>
                <w:color w:val="006100"/>
                <w:sz w:val="18"/>
                <w:szCs w:val="18"/>
                <w:lang w:eastAsia="en-GB"/>
              </w:rPr>
            </w:pPr>
          </w:p>
        </w:tc>
        <w:tc>
          <w:tcPr>
            <w:tcW w:w="906" w:type="dxa"/>
            <w:tcBorders>
              <w:top w:val="single" w:sz="4" w:space="0" w:color="auto"/>
              <w:left w:val="nil"/>
              <w:bottom w:val="single" w:sz="4" w:space="0" w:color="auto"/>
              <w:right w:val="single" w:sz="4" w:space="0" w:color="auto"/>
            </w:tcBorders>
            <w:shd w:val="clear" w:color="auto" w:fill="C6EFCE"/>
            <w:noWrap/>
          </w:tcPr>
          <w:p w14:paraId="4A30CCBF" w14:textId="77777777" w:rsidR="00356CBA" w:rsidRPr="00AD4052" w:rsidRDefault="00356CBA">
            <w:pPr>
              <w:spacing w:after="0" w:line="240" w:lineRule="auto"/>
              <w:rPr>
                <w:rFonts w:eastAsia="Times New Roman" w:cs="Calibri"/>
                <w:noProof/>
                <w:color w:val="006100"/>
                <w:sz w:val="18"/>
                <w:szCs w:val="18"/>
                <w:lang w:eastAsia="en-GB"/>
              </w:rPr>
            </w:pPr>
          </w:p>
        </w:tc>
        <w:tc>
          <w:tcPr>
            <w:tcW w:w="845" w:type="dxa"/>
            <w:tcBorders>
              <w:top w:val="single" w:sz="4" w:space="0" w:color="auto"/>
              <w:left w:val="nil"/>
              <w:bottom w:val="single" w:sz="4" w:space="0" w:color="auto"/>
              <w:right w:val="single" w:sz="4" w:space="0" w:color="auto"/>
            </w:tcBorders>
            <w:shd w:val="clear" w:color="auto" w:fill="C6EFCE"/>
            <w:noWrap/>
          </w:tcPr>
          <w:p w14:paraId="4D2B9E98" w14:textId="77777777" w:rsidR="00356CBA" w:rsidRPr="00E02B5D" w:rsidRDefault="00356CBA">
            <w:pPr>
              <w:spacing w:after="0" w:line="240" w:lineRule="auto"/>
              <w:rPr>
                <w:rFonts w:eastAsia="Times New Roman"/>
                <w:noProof/>
                <w:color w:val="006100"/>
                <w:sz w:val="18"/>
                <w:szCs w:val="18"/>
              </w:rPr>
            </w:pPr>
            <w:r>
              <w:rPr>
                <w:noProof/>
                <w:color w:val="006100"/>
                <w:sz w:val="18"/>
              </w:rPr>
              <w:t>3. kv</w:t>
            </w:r>
          </w:p>
        </w:tc>
        <w:tc>
          <w:tcPr>
            <w:tcW w:w="769" w:type="dxa"/>
            <w:tcBorders>
              <w:top w:val="single" w:sz="4" w:space="0" w:color="auto"/>
              <w:left w:val="nil"/>
              <w:bottom w:val="single" w:sz="4" w:space="0" w:color="auto"/>
              <w:right w:val="single" w:sz="4" w:space="0" w:color="auto"/>
            </w:tcBorders>
            <w:shd w:val="clear" w:color="auto" w:fill="C6EFCE"/>
            <w:noWrap/>
          </w:tcPr>
          <w:p w14:paraId="1D7001F7" w14:textId="77777777" w:rsidR="00356CBA" w:rsidRPr="00E02B5D" w:rsidRDefault="00356CBA">
            <w:pPr>
              <w:spacing w:after="0" w:line="240" w:lineRule="auto"/>
              <w:rPr>
                <w:rFonts w:eastAsia="Times New Roman"/>
                <w:noProof/>
                <w:color w:val="006100"/>
                <w:sz w:val="18"/>
                <w:szCs w:val="18"/>
              </w:rPr>
            </w:pPr>
            <w:r>
              <w:rPr>
                <w:noProof/>
                <w:color w:val="006100"/>
                <w:sz w:val="18"/>
              </w:rPr>
              <w:t>2021</w:t>
            </w:r>
          </w:p>
        </w:tc>
        <w:tc>
          <w:tcPr>
            <w:tcW w:w="3604" w:type="dxa"/>
            <w:tcBorders>
              <w:top w:val="single" w:sz="4" w:space="0" w:color="auto"/>
              <w:left w:val="nil"/>
              <w:bottom w:val="single" w:sz="4" w:space="0" w:color="auto"/>
              <w:right w:val="single" w:sz="4" w:space="0" w:color="auto"/>
            </w:tcBorders>
            <w:shd w:val="clear" w:color="auto" w:fill="C6EFCE"/>
            <w:noWrap/>
          </w:tcPr>
          <w:p w14:paraId="6D0824EA" w14:textId="77777777" w:rsidR="00356CBA" w:rsidRPr="00E02B5D" w:rsidRDefault="00356CBA">
            <w:pPr>
              <w:spacing w:after="0" w:line="240" w:lineRule="auto"/>
              <w:rPr>
                <w:rFonts w:eastAsia="Times New Roman" w:cs="Calibri"/>
                <w:noProof/>
                <w:color w:val="006100"/>
                <w:sz w:val="18"/>
                <w:szCs w:val="18"/>
              </w:rPr>
            </w:pPr>
            <w:r>
              <w:rPr>
                <w:noProof/>
                <w:color w:val="006100"/>
                <w:sz w:val="18"/>
              </w:rPr>
              <w:t>EDELi õiguslike volituste jõustumine ning auditi- ja kontrollisüsteemi loomine, mis a) tagab andmete kogumise ning eesmärkide ja sihtide saavutamise järelevalve; b) võimaldada liidu vahendite haldaja kinnituste ja auditi kokkuvõtte ning maksetaotluste koostamist ning c) kehtestada vajalikud menetlused toetusesaajate, töövõtjate, alltöövõtjate ja tegelike tulusaajate andmete kogumiseks ja säilitamiseks kooskõlas määruse (EL) nr 2021/241 artikliga 22 enne esimese maksetaotluse esitamist. Tehakse spetsiaalne auditiaruanne loodud süsteemi kohta. Kui aruandes tuvastatakse puudusi, soovitatakse auditiaruandes parandusmeetmeid.</w:t>
            </w:r>
          </w:p>
        </w:tc>
      </w:tr>
    </w:tbl>
    <w:p w14:paraId="13F8C92F" w14:textId="77777777" w:rsidR="00356CBA" w:rsidRPr="00AD4052" w:rsidRDefault="00356CBA" w:rsidP="00645BC7">
      <w:pPr>
        <w:spacing w:before="120" w:after="120" w:line="240" w:lineRule="auto"/>
        <w:ind w:left="709"/>
        <w:jc w:val="both"/>
        <w:rPr>
          <w:rFonts w:ascii="Times New Roman" w:hAnsi="Times New Roman" w:cs="Times New Roman"/>
          <w:noProof/>
          <w:sz w:val="24"/>
          <w:szCs w:val="24"/>
        </w:rPr>
      </w:pPr>
    </w:p>
    <w:p w14:paraId="33CD4E67" w14:textId="77777777" w:rsidR="00356CBA" w:rsidRPr="00AD4052" w:rsidRDefault="00356CBA" w:rsidP="00645BC7">
      <w:pPr>
        <w:spacing w:before="120" w:after="120" w:line="240" w:lineRule="auto"/>
        <w:jc w:val="both"/>
        <w:rPr>
          <w:rFonts w:ascii="Times New Roman" w:hAnsi="Times New Roman" w:cs="Times New Roman"/>
          <w:noProof/>
          <w:sz w:val="24"/>
        </w:rPr>
        <w:sectPr w:rsidR="00356CBA" w:rsidRPr="00AD4052" w:rsidSect="00271D33">
          <w:headerReference w:type="even" r:id="rId404"/>
          <w:headerReference w:type="default" r:id="rId405"/>
          <w:footerReference w:type="even" r:id="rId406"/>
          <w:footerReference w:type="default" r:id="rId407"/>
          <w:headerReference w:type="first" r:id="rId408"/>
          <w:footerReference w:type="first" r:id="rId409"/>
          <w:pgSz w:w="16839" w:h="11907" w:orient="landscape"/>
          <w:pgMar w:top="720" w:right="720" w:bottom="720" w:left="720" w:header="709" w:footer="217" w:gutter="0"/>
          <w:cols w:space="720"/>
          <w:docGrid w:linePitch="360"/>
        </w:sectPr>
      </w:pPr>
    </w:p>
    <w:p w14:paraId="16CDA63B" w14:textId="22EE001C" w:rsidR="00A90382" w:rsidRPr="00E02B5D" w:rsidRDefault="00356CBA" w:rsidP="00826C9F">
      <w:pPr>
        <w:keepNext/>
        <w:spacing w:before="40" w:after="0" w:line="259" w:lineRule="auto"/>
        <w:jc w:val="both"/>
        <w:outlineLvl w:val="1"/>
        <w:rPr>
          <w:noProof/>
        </w:rPr>
      </w:pPr>
      <w:r>
        <w:rPr>
          <w:rFonts w:ascii="Times New Roman" w:hAnsi="Times New Roman"/>
          <w:noProof/>
          <w:sz w:val="24"/>
        </w:rPr>
        <w:t xml:space="preserve"> </w:t>
      </w:r>
    </w:p>
    <w:p w14:paraId="6A6EE32C" w14:textId="77777777" w:rsidR="00A90382" w:rsidRPr="00E02B5D" w:rsidRDefault="00A90382" w:rsidP="00956EB3">
      <w:pPr>
        <w:pStyle w:val="Heading4"/>
        <w:ind w:left="0" w:firstLine="0"/>
        <w:rPr>
          <w:noProof/>
        </w:rPr>
      </w:pPr>
      <w:r>
        <w:rPr>
          <w:noProof/>
        </w:rPr>
        <w:t>2. JAGU: REPOWEREU PEATÜKI KOHASED REFORMID JA INVESTEERINGUD</w:t>
      </w:r>
    </w:p>
    <w:p w14:paraId="3B0E0299"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REPowerEU peatüki eesmärk on toetada Kreeka ambitsioone energiasõltumatuse ja rohepöörde valdkonnas, võttes arvesse uut geopoliitilist ja energiaturu olukorda. Kava „REPowerEU“ raames tehtavate reformide ja investeeringute eesmärk on tugevdada Kreeka energiasõltumatust ja kiirendada selle majanduse CO</w:t>
      </w:r>
      <w:r>
        <w:rPr>
          <w:rFonts w:ascii="Times New Roman" w:hAnsi="Times New Roman"/>
          <w:noProof/>
          <w:sz w:val="24"/>
          <w:vertAlign w:val="subscript"/>
        </w:rPr>
        <w:t>2</w:t>
      </w:r>
      <w:r>
        <w:rPr>
          <w:rFonts w:ascii="Times New Roman" w:hAnsi="Times New Roman"/>
          <w:noProof/>
          <w:sz w:val="24"/>
        </w:rPr>
        <w:t xml:space="preserve"> heite vähendamist. </w:t>
      </w:r>
    </w:p>
    <w:p w14:paraId="23868BD7" w14:textId="77777777" w:rsidR="00A90382" w:rsidRPr="00E02B5D" w:rsidRDefault="00A90382" w:rsidP="00D16F13">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Kõigil REPowerEU peatükis sisalduvatel investeeringutel on piiriülene mõõde, mis hõlmab investeeringuid energia salvestamisse, tööstuse CO</w:t>
      </w:r>
      <w:r>
        <w:rPr>
          <w:rFonts w:ascii="Times New Roman" w:hAnsi="Times New Roman"/>
          <w:noProof/>
          <w:sz w:val="24"/>
          <w:vertAlign w:val="subscript"/>
        </w:rPr>
        <w:t>2</w:t>
      </w:r>
      <w:r>
        <w:rPr>
          <w:rFonts w:ascii="Times New Roman" w:hAnsi="Times New Roman"/>
          <w:noProof/>
          <w:sz w:val="24"/>
        </w:rPr>
        <w:t xml:space="preserve"> heite vähendamisse ja energiatõhususse. </w:t>
      </w:r>
      <w:r>
        <w:rPr>
          <w:rFonts w:ascii="Times New Roman" w:hAnsi="Times New Roman"/>
          <w:noProof/>
          <w:color w:val="000000" w:themeColor="text1"/>
          <w:sz w:val="24"/>
        </w:rPr>
        <w:t xml:space="preserve">REPowerEU peatükis kehtestatakse uued meetmed, mis aitavad vähendada sõltuvust fossiilkütustest, nagu on ette nähtud 2023. ja 2023. aastal vastu võetud riigipõhistes soovitustes (riigipõhised soovitused nr 4 2023 ja riigipõhised soovitused nr 4 2022). </w:t>
      </w:r>
    </w:p>
    <w:p w14:paraId="7BAF6BED" w14:textId="77777777" w:rsidR="00A90382" w:rsidRPr="00E02B5D" w:rsidRDefault="00A90382" w:rsidP="00D16F13">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Uute reformimeetmete eesmärk on veelgi laiendada taastuvenergia kasutuselevõttu, viies lõpule avamere tuuleparkide õigusraamistiku, hõlbustades investeeringuid energia salvestamisse ja arukatesse võrkudesse ning kehtestades uued õigusraamistikud taastuvallikatest toodetud vesiniku ja biometaani tootmiseks. Uue reformi eesmärk on edendada energiajagamist ja taastuvenergia tootmise detsentraliseeritud vorme (nt omatarbimine ja energiakogukonnad). Uued investeerimismeetmed toetavad salvestusvõimsuse suurendamist ja taastuvenergia hajatootmist. Peale selle on ette nähtud täiendav toetus kodumajapidamiste energiatõhususe parandamiseks, sealhulgas energiaostuvõimetutele kodumajapidamistele ja erasektorile suunatud toetus.</w:t>
      </w:r>
    </w:p>
    <w:p w14:paraId="13CC657A" w14:textId="77777777" w:rsidR="00A90382" w:rsidRPr="00E02B5D" w:rsidRDefault="00A90382" w:rsidP="00D16F13">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Eeldatakse, et ükski REPowerEU peatüki kohane meede ei kahjusta oluliselt keskkonnaeesmärkide saavutamist määruse (EL) 2020/852 artikli 17 tähenduses, võttes arvesse taaste- ja vastupidavuskavas sätestatud meetmete ja leevendusmeetmete kirjeldust kooskõlas põhimõtte „ei kahjusta oluliselt“ tehniliste suunistega (2021/C58/01).</w:t>
      </w:r>
    </w:p>
    <w:p w14:paraId="235DAEE5" w14:textId="77777777" w:rsidR="00A90382" w:rsidRPr="00AD4052" w:rsidRDefault="00A90382" w:rsidP="00D16F13">
      <w:pPr>
        <w:spacing w:after="0" w:line="240" w:lineRule="auto"/>
        <w:ind w:firstLine="6"/>
        <w:jc w:val="both"/>
        <w:outlineLvl w:val="3"/>
        <w:rPr>
          <w:rFonts w:ascii="Times New Roman" w:hAnsi="Times New Roman" w:cs="Times New Roman"/>
          <w:b/>
          <w:bCs/>
          <w:noProof/>
          <w:sz w:val="24"/>
        </w:rPr>
      </w:pPr>
    </w:p>
    <w:p w14:paraId="5C0B5C29" w14:textId="77777777" w:rsidR="00A90382" w:rsidRPr="00E02B5D" w:rsidRDefault="00A90382" w:rsidP="00645BC7">
      <w:pPr>
        <w:spacing w:before="120" w:after="120" w:line="240" w:lineRule="auto"/>
        <w:ind w:firstLine="6"/>
        <w:jc w:val="both"/>
        <w:outlineLvl w:val="3"/>
        <w:rPr>
          <w:rFonts w:ascii="Times New Roman" w:hAnsi="Times New Roman" w:cs="Times New Roman"/>
          <w:b/>
          <w:noProof/>
          <w:sz w:val="24"/>
          <w:szCs w:val="24"/>
        </w:rPr>
      </w:pPr>
      <w:r>
        <w:rPr>
          <w:rFonts w:ascii="Times New Roman" w:hAnsi="Times New Roman"/>
          <w:b/>
          <w:noProof/>
          <w:sz w:val="24"/>
        </w:rPr>
        <w:t>T. KOMPONENT 5.1. REPowerEU REFORMID</w:t>
      </w:r>
    </w:p>
    <w:p w14:paraId="3ADB69FC" w14:textId="77777777" w:rsidR="00A90382" w:rsidRPr="00E02B5D" w:rsidRDefault="00A90382" w:rsidP="00D16F13">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T.1. </w:t>
      </w:r>
      <w:r>
        <w:rPr>
          <w:noProof/>
        </w:rPr>
        <w:tab/>
      </w:r>
      <w:r>
        <w:rPr>
          <w:rFonts w:ascii="Times New Roman" w:hAnsi="Times New Roman"/>
          <w:b/>
          <w:noProof/>
          <w:sz w:val="24"/>
          <w:u w:val="single"/>
        </w:rPr>
        <w:t>Tagastamatu rahalise toetusega seotud reformide ja investeeringute kirjeldus</w:t>
      </w:r>
    </w:p>
    <w:p w14:paraId="0E7DC144"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Selles peatükis on esitatud reformid, mis edendavad CO</w:t>
      </w:r>
      <w:r>
        <w:rPr>
          <w:rFonts w:ascii="Times New Roman" w:hAnsi="Times New Roman"/>
          <w:noProof/>
          <w:sz w:val="24"/>
          <w:vertAlign w:val="subscript"/>
        </w:rPr>
        <w:t>2</w:t>
      </w:r>
      <w:r>
        <w:rPr>
          <w:rFonts w:ascii="Times New Roman" w:hAnsi="Times New Roman"/>
          <w:noProof/>
          <w:sz w:val="24"/>
        </w:rPr>
        <w:t xml:space="preserve"> heite vähendamist ning taastuvenergia ja taastuvatest energiaallikatest toodetud gaasi kasutamist, sealhulgas: 1) reform, mis käsitleb õigusraamistiku kehtestamist, et võimaldada ja hõlbustada taastuvallikatest toodetud vesiniku ja biometaani tootmist, säilitamist, transporti ja kasutamist; 2) süsinikdioksiidi kogumise, kasutamise ja säilitamise tehnoloogia regulatiivse ja turu toimimise raamistiku loomise reform, et edendada tööstuse CO</w:t>
      </w:r>
      <w:r>
        <w:rPr>
          <w:rFonts w:ascii="Times New Roman" w:hAnsi="Times New Roman"/>
          <w:noProof/>
          <w:sz w:val="24"/>
          <w:vertAlign w:val="subscript"/>
        </w:rPr>
        <w:t>2</w:t>
      </w:r>
      <w:r>
        <w:rPr>
          <w:rFonts w:ascii="Times New Roman" w:hAnsi="Times New Roman"/>
          <w:noProof/>
          <w:sz w:val="24"/>
        </w:rPr>
        <w:t xml:space="preserve"> heite vähendamist Kreekas; 3) reform maa- ja mereruumi kasutamise optimeerimiseks taastuvenergia arendamiseks ning avamere tuuleparkide rajamise õigusraamistiku edasisele edendamisele; 4) reform võrgu- ja salvestusvõimsuse suurendamiseks, käsitledes võrgu stabiilsust ja kitsaskohti, 5) arukate võrkude õigusraamistiku reform, et kiirendada arukate ja digitehnoloogiate rakendamist jaotusvõrgus ning edendada lõpptarbijate nõudlusele reageerimist, 6) reform, mille eesmärk on edendada energia jagamist, soodustades seeläbi taastuvate energiaallikate kasutamist, võimaldades detsentraliseeritud tootmist ja jagamist mitme väikesemahulise taastuvenergiasüsteemi vahel, ning 7) reform, millega kehtestatakse uuenduslike energiatõhususe meetmete tegevuskava, sealhulgas uute, toetuseta rahastamisvahendite kindlaksmääramine ja käivitamine.</w:t>
      </w:r>
    </w:p>
    <w:p w14:paraId="4DCE73B9" w14:textId="77777777" w:rsidR="00EF74AB" w:rsidRPr="00AD4052" w:rsidRDefault="00EF74AB" w:rsidP="00D16F13">
      <w:pPr>
        <w:spacing w:before="120" w:after="120" w:line="240" w:lineRule="auto"/>
        <w:jc w:val="both"/>
        <w:rPr>
          <w:rFonts w:ascii="Times New Roman" w:hAnsi="Times New Roman"/>
          <w:b/>
          <w:noProof/>
          <w:sz w:val="24"/>
        </w:rPr>
        <w:sectPr w:rsidR="00EF74AB" w:rsidRPr="00AD4052" w:rsidSect="00271D33">
          <w:headerReference w:type="even" r:id="rId410"/>
          <w:headerReference w:type="default" r:id="rId411"/>
          <w:footerReference w:type="even" r:id="rId412"/>
          <w:footerReference w:type="default" r:id="rId413"/>
          <w:headerReference w:type="first" r:id="rId414"/>
          <w:footerReference w:type="first" r:id="rId415"/>
          <w:pgSz w:w="11907" w:h="16839"/>
          <w:pgMar w:top="1134" w:right="1417" w:bottom="1134" w:left="1417" w:header="709" w:footer="327" w:gutter="0"/>
          <w:cols w:space="720"/>
          <w:docGrid w:linePitch="360"/>
        </w:sectPr>
      </w:pPr>
    </w:p>
    <w:p w14:paraId="043A4D50"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 xml:space="preserve">Reform: </w:t>
      </w:r>
      <w:r>
        <w:rPr>
          <w:rFonts w:ascii="Times New Roman" w:hAnsi="Times New Roman"/>
          <w:noProof/>
          <w:sz w:val="24"/>
        </w:rPr>
        <w:t>Taastuvallikatest toodetud vesiniku ja kestliku biometaani litsentsimise raamistik (meetme ID: 16987)</w:t>
      </w:r>
    </w:p>
    <w:p w14:paraId="4BB4A604"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eesmärk on kehtestada vajalikud õigusaktid taastuvallikatest toodetud vesiniku ja kestliku biometaani tõhusaks kasutuselevõtuks Kreekas, kõrvaldades võimalikud tõkked ja luues protsessid taastuvatest energiaallikatest toodetud gaaside sektori ja turgude arendamiseks. Reformiga nähakse ette õigusraamistiku vastuvõtmine, mille eesmärk on edendada taastuvallikatest toodetud vesiniku ja kestliku biometaani tootmist ja tarbimist. See hõlmab litsentsimis- ja loamenetluste täpsustamist, sealhulgas ruumilise planeerimise sätteid, ülekande, salvestamise ja võrku sisestamise tehniliste kirjelduste määratlemist, eri sidusrühmade, sealhulgas asjaomaste avaliku sektori asutuste rollide selgitamist, tagades samal ajal mehhanismi, millega tõendatakse, et toodetud vesinik on taastuv ja biometaan kestlik, kooskõlas taastuvenergia direktiivi delegeeritud õigusaktide hiljutiste sätetega.</w:t>
      </w:r>
    </w:p>
    <w:p w14:paraId="6C51CAE1"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rakendamine viiakse lõpule 30. juuni 2024.</w:t>
      </w:r>
    </w:p>
    <w:p w14:paraId="18E11B5E" w14:textId="77777777" w:rsidR="00A90382" w:rsidRPr="00AD4052" w:rsidRDefault="00A90382" w:rsidP="00D16F13">
      <w:pPr>
        <w:spacing w:before="120" w:after="120" w:line="240" w:lineRule="auto"/>
        <w:jc w:val="both"/>
        <w:rPr>
          <w:rFonts w:ascii="Times New Roman" w:hAnsi="Times New Roman" w:cs="Times New Roman"/>
          <w:noProof/>
          <w:sz w:val="24"/>
        </w:rPr>
      </w:pPr>
    </w:p>
    <w:p w14:paraId="0EE3A1EB" w14:textId="77777777" w:rsidR="00A90382" w:rsidRPr="00E02B5D" w:rsidRDefault="00A90382" w:rsidP="00D16F13">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Reform: </w:t>
      </w:r>
      <w:r>
        <w:rPr>
          <w:rFonts w:ascii="Times New Roman" w:hAnsi="Times New Roman"/>
          <w:noProof/>
          <w:sz w:val="24"/>
        </w:rPr>
        <w:t>Süsinikdioksiidi kogumise, kasutamise ja säilitamise tehnoloogia regulatiivne ja turu toimimise raamistik, et edendada tööstuse CO</w:t>
      </w:r>
      <w:r>
        <w:rPr>
          <w:rFonts w:ascii="Times New Roman" w:hAnsi="Times New Roman"/>
          <w:noProof/>
          <w:sz w:val="24"/>
          <w:vertAlign w:val="subscript"/>
        </w:rPr>
        <w:t>2</w:t>
      </w:r>
      <w:r>
        <w:rPr>
          <w:rFonts w:ascii="Times New Roman" w:hAnsi="Times New Roman"/>
          <w:noProof/>
          <w:sz w:val="24"/>
        </w:rPr>
        <w:t xml:space="preserve"> heite vähendamist (meetme ID: 16988)</w:t>
      </w:r>
    </w:p>
    <w:p w14:paraId="4DC773C3"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eesmärk on luua õigus-, litsentsimis- ja reguleeriv raamistik süsinikdioksiidi kogumise, kasutamise ja säilitamise tehnoloogiate jaoks. Raamistik hõlmab kogu süsinikdioksiidi kogumise, kasutamise ja säilitamise tehnoloogia jaoks vajaliku õigusliku ja reguleeriva raamistiku väljatöötamist ja vastuvõtmist ning hõlmab konsultatsiooniprotsessi asjaomaste sidusrühmadega. Eelkõige sätestatakse järgmised protsessid:</w:t>
      </w:r>
    </w:p>
    <w:p w14:paraId="77B0CCF0" w14:textId="77777777" w:rsidR="00A90382" w:rsidRPr="00E02B5D" w:rsidRDefault="00A90382" w:rsidP="00DE1EE5">
      <w:pPr>
        <w:pStyle w:val="ListParagraph"/>
        <w:numPr>
          <w:ilvl w:val="0"/>
          <w:numId w:val="76"/>
        </w:numPr>
        <w:spacing w:before="120" w:after="120" w:line="240" w:lineRule="auto"/>
        <w:jc w:val="both"/>
        <w:rPr>
          <w:rFonts w:ascii="Times New Roman" w:hAnsi="Times New Roman" w:cs="Times New Roman"/>
          <w:noProof/>
          <w:sz w:val="24"/>
        </w:rPr>
      </w:pPr>
      <w:r>
        <w:rPr>
          <w:rFonts w:ascii="Times New Roman" w:hAnsi="Times New Roman"/>
          <w:noProof/>
          <w:sz w:val="24"/>
        </w:rPr>
        <w:t>Süsinikdioksiidi kogumise, kasutamise ja säilitamise tehnoloogiate paigaldamise ja käitamise litsentsimisraamistiku väljatöötamine, sealhulgas keskkonnaloa heakskiitmise väljaandmine.</w:t>
      </w:r>
    </w:p>
    <w:p w14:paraId="54B30FDE" w14:textId="77777777" w:rsidR="00A90382" w:rsidRPr="00E02B5D" w:rsidRDefault="00A90382" w:rsidP="00DE1EE5">
      <w:pPr>
        <w:pStyle w:val="ListParagraph"/>
        <w:numPr>
          <w:ilvl w:val="0"/>
          <w:numId w:val="76"/>
        </w:numPr>
        <w:spacing w:before="120" w:after="120" w:line="240" w:lineRule="auto"/>
        <w:jc w:val="both"/>
        <w:rPr>
          <w:rFonts w:ascii="Times New Roman" w:hAnsi="Times New Roman" w:cs="Times New Roman"/>
          <w:noProof/>
          <w:sz w:val="24"/>
        </w:rPr>
      </w:pPr>
      <w:r>
        <w:rPr>
          <w:rFonts w:ascii="Times New Roman" w:hAnsi="Times New Roman"/>
          <w:noProof/>
          <w:sz w:val="24"/>
        </w:rPr>
        <w:t>Asjakohase standardimis- ja sertifitseerimismenetluse kehtestamine kogutud ja säilitatud CO</w:t>
      </w:r>
      <w:r>
        <w:rPr>
          <w:rFonts w:ascii="Times New Roman" w:hAnsi="Times New Roman"/>
          <w:noProof/>
          <w:sz w:val="24"/>
          <w:vertAlign w:val="subscript"/>
        </w:rPr>
        <w:t>2</w:t>
      </w:r>
      <w:r>
        <w:rPr>
          <w:rFonts w:ascii="Times New Roman" w:hAnsi="Times New Roman"/>
          <w:noProof/>
          <w:sz w:val="24"/>
        </w:rPr>
        <w:t xml:space="preserve"> heite jaoks.</w:t>
      </w:r>
    </w:p>
    <w:p w14:paraId="74749B13" w14:textId="77777777" w:rsidR="00A90382" w:rsidRPr="00E02B5D" w:rsidRDefault="00A90382" w:rsidP="00DE1EE5">
      <w:pPr>
        <w:pStyle w:val="ListParagraph"/>
        <w:numPr>
          <w:ilvl w:val="0"/>
          <w:numId w:val="76"/>
        </w:numPr>
        <w:spacing w:before="120" w:after="120" w:line="240" w:lineRule="auto"/>
        <w:jc w:val="both"/>
        <w:rPr>
          <w:rFonts w:ascii="Times New Roman" w:hAnsi="Times New Roman" w:cs="Times New Roman"/>
          <w:noProof/>
          <w:sz w:val="24"/>
        </w:rPr>
      </w:pPr>
      <w:r>
        <w:rPr>
          <w:rFonts w:ascii="Times New Roman" w:hAnsi="Times New Roman"/>
          <w:noProof/>
          <w:sz w:val="24"/>
        </w:rPr>
        <w:t>Süsinikdioksiidi kogumise ja säilitamise väärtusahela õigusraamistiku väljatöötamine säilitamis- ja transpordimaksude jaoks. Raamistik sisaldab sätteid hinnavahelepingute ja reguleeritud tõrvikute kohta. Kogutud CO</w:t>
      </w:r>
      <w:r>
        <w:rPr>
          <w:rFonts w:ascii="Times New Roman" w:hAnsi="Times New Roman"/>
          <w:noProof/>
          <w:sz w:val="24"/>
          <w:vertAlign w:val="subscript"/>
        </w:rPr>
        <w:t>2</w:t>
      </w:r>
      <w:r>
        <w:rPr>
          <w:rFonts w:ascii="Times New Roman" w:hAnsi="Times New Roman"/>
          <w:noProof/>
          <w:sz w:val="24"/>
        </w:rPr>
        <w:t xml:space="preserve"> kasutamise/kasutamise raamistiku loomine</w:t>
      </w:r>
    </w:p>
    <w:p w14:paraId="386E2987" w14:textId="77777777" w:rsidR="00A90382" w:rsidRPr="00E02B5D" w:rsidRDefault="00A90382" w:rsidP="00DE1EE5">
      <w:pPr>
        <w:pStyle w:val="ListParagraph"/>
        <w:numPr>
          <w:ilvl w:val="0"/>
          <w:numId w:val="76"/>
        </w:numPr>
        <w:spacing w:before="120" w:after="120" w:line="240" w:lineRule="auto"/>
        <w:jc w:val="both"/>
        <w:rPr>
          <w:rFonts w:ascii="Times New Roman" w:hAnsi="Times New Roman" w:cs="Times New Roman"/>
          <w:noProof/>
          <w:sz w:val="24"/>
        </w:rPr>
      </w:pPr>
      <w:r>
        <w:rPr>
          <w:rFonts w:ascii="Times New Roman" w:hAnsi="Times New Roman"/>
          <w:noProof/>
          <w:sz w:val="24"/>
        </w:rPr>
        <w:t>Kolmanda isiku juurdepääsu raamistiku vastuvõtmine võrgus/transporditaristus ja hoidlas.</w:t>
      </w:r>
    </w:p>
    <w:p w14:paraId="753C032C" w14:textId="77777777" w:rsidR="00A90382" w:rsidRPr="00E02B5D" w:rsidRDefault="00A90382" w:rsidP="00DE1EE5">
      <w:pPr>
        <w:pStyle w:val="ListParagraph"/>
        <w:numPr>
          <w:ilvl w:val="0"/>
          <w:numId w:val="76"/>
        </w:numPr>
        <w:spacing w:before="120" w:after="120" w:line="240" w:lineRule="auto"/>
        <w:jc w:val="both"/>
        <w:rPr>
          <w:rFonts w:ascii="Times New Roman" w:hAnsi="Times New Roman" w:cs="Times New Roman"/>
          <w:noProof/>
          <w:sz w:val="24"/>
        </w:rPr>
      </w:pPr>
      <w:r>
        <w:rPr>
          <w:rFonts w:ascii="Times New Roman" w:hAnsi="Times New Roman"/>
          <w:noProof/>
          <w:sz w:val="24"/>
        </w:rPr>
        <w:t>Süsinikdioksiidi kogumise, kasutamise ja säilitamise tehnoloogiate toimimise ning vastava turu järelevalvega seotud eri sidusrühmade konkreetsete kohustuste määramine.</w:t>
      </w:r>
    </w:p>
    <w:p w14:paraId="1A5294BD" w14:textId="77777777" w:rsidR="00A90382" w:rsidRPr="00E02B5D" w:rsidRDefault="00A90382" w:rsidP="00D16F13">
      <w:pPr>
        <w:rPr>
          <w:rFonts w:eastAsiaTheme="minorHAnsi" w:cs="Calibri"/>
          <w:noProof/>
        </w:rPr>
      </w:pPr>
      <w:r>
        <w:rPr>
          <w:rFonts w:ascii="Times New Roman" w:hAnsi="Times New Roman"/>
          <w:noProof/>
          <w:sz w:val="24"/>
        </w:rPr>
        <w:t>Meede vastab põhimõtte „Ei kahjusta oluliselt“ tehnilistele suunistele (2021/C58/01).</w:t>
      </w:r>
    </w:p>
    <w:p w14:paraId="6D20E3E9" w14:textId="77777777" w:rsidR="00A90382" w:rsidRPr="00AD4052" w:rsidRDefault="00A90382" w:rsidP="00D16F13">
      <w:pPr>
        <w:spacing w:before="120" w:after="120" w:line="240" w:lineRule="auto"/>
        <w:jc w:val="both"/>
        <w:rPr>
          <w:rFonts w:ascii="Times New Roman" w:hAnsi="Times New Roman" w:cs="Times New Roman"/>
          <w:noProof/>
          <w:sz w:val="24"/>
          <w:szCs w:val="24"/>
          <w:highlight w:val="yellow"/>
        </w:rPr>
      </w:pPr>
    </w:p>
    <w:p w14:paraId="21D445E7" w14:textId="77777777" w:rsidR="00A90382" w:rsidRPr="00E02B5D" w:rsidRDefault="00A90382" w:rsidP="00D16F13">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Reformi rakendamine viiakse lõpule 30. juuni 2024. </w:t>
      </w:r>
    </w:p>
    <w:p w14:paraId="678A63E4" w14:textId="77777777" w:rsidR="00A90382" w:rsidRPr="00AD4052" w:rsidRDefault="00A90382" w:rsidP="00D16F13">
      <w:pPr>
        <w:spacing w:before="120" w:after="120" w:line="240" w:lineRule="auto"/>
        <w:jc w:val="both"/>
        <w:rPr>
          <w:rFonts w:ascii="Times New Roman" w:hAnsi="Times New Roman" w:cs="Times New Roman"/>
          <w:noProof/>
          <w:sz w:val="24"/>
        </w:rPr>
      </w:pPr>
    </w:p>
    <w:p w14:paraId="43270BC7" w14:textId="77777777" w:rsidR="00A90382" w:rsidRPr="00E02B5D" w:rsidRDefault="00A90382" w:rsidP="00D16F13">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Reform: </w:t>
      </w:r>
      <w:r>
        <w:rPr>
          <w:rFonts w:ascii="Times New Roman" w:hAnsi="Times New Roman"/>
          <w:noProof/>
          <w:sz w:val="24"/>
        </w:rPr>
        <w:t>Maa- ja mereruumi kasutamise optimeerimine taastuvate energiaallikate ja avamere tuuleenergia arendamiseks (meetme ID: 16989)</w:t>
      </w:r>
    </w:p>
    <w:p w14:paraId="4BFBA4FD"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eesmärk on edendada taastuvate energiaallikate (edaspidi „RES“) edasist arengut Kreekas. Reform koosneb kahest sambast:</w:t>
      </w:r>
    </w:p>
    <w:p w14:paraId="0FF553A2" w14:textId="77777777" w:rsidR="00A90382" w:rsidRPr="00E02B5D" w:rsidRDefault="00A90382" w:rsidP="00DE1EE5">
      <w:pPr>
        <w:pStyle w:val="ListParagraph"/>
        <w:numPr>
          <w:ilvl w:val="0"/>
          <w:numId w:val="7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Esimene sammas – Avamere tuuleparkide õigusraamistiku tugevdamine (nagu on sätestatud seaduses nr 4964/2022 „Sätted keskkonnalubade väljastamise lihtsustamiseks, avamere tuuleparkide arendamise raamistiku loomiseks, energiakriisiga tegelemiseks, keskkonnakaitse ja muude sätetega tegelemiseks“ (ELT A 150–30.07.2022), määrates avamere tuuleenergia projektide jaoks esimesed arenduspiirkonnad; ning</w:t>
      </w:r>
    </w:p>
    <w:p w14:paraId="51961989" w14:textId="77777777" w:rsidR="00A90382" w:rsidRPr="00E02B5D" w:rsidRDefault="00A90382" w:rsidP="00DE1EE5">
      <w:pPr>
        <w:pStyle w:val="ListParagraph"/>
        <w:numPr>
          <w:ilvl w:val="0"/>
          <w:numId w:val="7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Teine sammas – Praeguse taastuvenergia projektiarenduse ruumilise hajutamise läbivaatamine (uuringu vormis) ja maakasutuse optimeerimine uute taastuvate energiaallikate potentsiaali saavutamiseks Kreekas. Uuringus tehakse lisaks nende alade keskkonnamõju strateegilisele hindamisele kindlaks optimaalsed alad, kus taastuvenergia projektid võiksid Kreekas asuda. Lisaks jõustub põllumajanduse fotogalvaanika paigaldamise edendamiseks terviklik poliitikaraamistik maa kahesuguseks kasutamiseks põllumajanduses ja fotogalvaanilise päikeseenergia tootmiseks.</w:t>
      </w:r>
    </w:p>
    <w:p w14:paraId="065E72A4" w14:textId="77777777" w:rsidR="00A90382" w:rsidRPr="00E02B5D" w:rsidRDefault="00A90382" w:rsidP="00D16F13">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Reformi rakendamine viiakse lõpule 30. juuni 2025. </w:t>
      </w:r>
    </w:p>
    <w:p w14:paraId="7060B732" w14:textId="77777777" w:rsidR="00A90382" w:rsidRPr="00AD4052" w:rsidRDefault="00A90382" w:rsidP="00D16F13">
      <w:pPr>
        <w:spacing w:before="120" w:after="120" w:line="240" w:lineRule="auto"/>
        <w:jc w:val="both"/>
        <w:rPr>
          <w:rFonts w:ascii="Times New Roman" w:hAnsi="Times New Roman" w:cs="Times New Roman"/>
          <w:noProof/>
          <w:sz w:val="24"/>
        </w:rPr>
      </w:pPr>
    </w:p>
    <w:p w14:paraId="4960ED27" w14:textId="77777777" w:rsidR="00A90382" w:rsidRPr="00E02B5D" w:rsidRDefault="00A90382" w:rsidP="00D16F13">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Reform: </w:t>
      </w:r>
      <w:r>
        <w:rPr>
          <w:rFonts w:ascii="Times New Roman" w:hAnsi="Times New Roman"/>
          <w:noProof/>
          <w:sz w:val="24"/>
        </w:rPr>
        <w:t>Võrk ja salvestusvõimsus – salvestusinvesteeringute edendamine (meetme ID: 16990)</w:t>
      </w:r>
    </w:p>
    <w:p w14:paraId="2676D1E7"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Reformi eesmärk on edendada investeeringuid energia salvestamise lahendustesse nii eraldiseisvate üksustena kui ka salvestamiseks koos taastuvate energiaallikatega. Programmi eesmärk on luua raamistik, millega toetatakse investeerimisabi kombineerimise kaudu lõppkokkuvõttes vähemalt 900 MW eraldiseisvaid akusalvestusprojekte. Reformi eesmärgid saavutatakse järgmiste meetmete abil: </w:t>
      </w:r>
    </w:p>
    <w:p w14:paraId="375F5180" w14:textId="77777777" w:rsidR="00A90382" w:rsidRPr="00E02B5D" w:rsidRDefault="00A90382" w:rsidP="00DE1EE5">
      <w:pPr>
        <w:pStyle w:val="ListParagraph"/>
        <w:numPr>
          <w:ilvl w:val="0"/>
          <w:numId w:val="7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Õigus- ja reguleeriva raamistiku vastuvõtmine, mis hõlbustab salvestusseadmete paigaldamist olemasolevatele või uutele taastuvate energiaallikate elektrijaamadele. Sellega parandatakse ja täiendatakse õiguslikku ja reguleerivat raamistikku, et võimaldada taastuvenergiajaamadesse salvestamise integreerimist ja soodustada uusi projekte, andes neile eelisõiguse litsentsimismenetlustes ja võrgule juurdepääsus; ning </w:t>
      </w:r>
    </w:p>
    <w:p w14:paraId="5EC67962" w14:textId="77777777" w:rsidR="00A90382" w:rsidRPr="00E02B5D" w:rsidRDefault="00A90382" w:rsidP="00DE1EE5">
      <w:pPr>
        <w:pStyle w:val="ListParagraph"/>
        <w:numPr>
          <w:ilvl w:val="0"/>
          <w:numId w:val="7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Sihipäraste stiimulite rakendamine kombineeritud taastuvenergia- ja salvestusseadmete jaoks, mis hõlmavad stiimulite kavandamist ja vastuvõtmist, et soodustada investeeringuid kombineeritud taastuvenergia tootmisse ja energia salvestamisse. </w:t>
      </w:r>
    </w:p>
    <w:p w14:paraId="7F2B954A"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Reformi rakendamine viiakse lõpule 30. juuni 2025. </w:t>
      </w:r>
    </w:p>
    <w:p w14:paraId="460B3F47" w14:textId="77777777" w:rsidR="00A90382" w:rsidRPr="00AD4052" w:rsidRDefault="00A90382" w:rsidP="00D16F13">
      <w:pPr>
        <w:spacing w:before="120" w:after="120" w:line="240" w:lineRule="auto"/>
        <w:jc w:val="both"/>
        <w:rPr>
          <w:rFonts w:ascii="Times New Roman" w:hAnsi="Times New Roman" w:cs="Times New Roman"/>
          <w:noProof/>
          <w:sz w:val="24"/>
        </w:rPr>
      </w:pPr>
    </w:p>
    <w:p w14:paraId="38876953"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Reform:</w:t>
      </w:r>
      <w:r>
        <w:rPr>
          <w:rFonts w:ascii="Times New Roman" w:hAnsi="Times New Roman"/>
          <w:noProof/>
          <w:sz w:val="24"/>
        </w:rPr>
        <w:t xml:space="preserve"> Arukat võrku käsitlev õigusraamistik (meetme ID: 16991)</w:t>
      </w:r>
    </w:p>
    <w:p w14:paraId="3DE06986"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Reformi eesmärk on aidata kaasa arukate võrkude tehnoloogiate ja tavade edendamisele Kreeka elektriturul. Riigi arukate võrkude visiooni põhialused on suutlikkus jälgida ja kontrollida koormust ja vooge jaotusvõrgus; kontrollitehnoloogiate integreerimine telekommunikatsioonivõrkudega, et edendada reaalajas suhtlemist nii varade ja tarbijate kui ka turuosalistega; ning toetava õigus- ja reguleeriva raamistiku vastuvõtmine, et hõlbustada tehnoloogia kiiret rakendamist ja klientide kaasamist. Reformi poliitilised eesmärgid on kiirendada arukate ja digitehnoloogiate rakendamist jaotusvõrgus ning püüelda energiakasutuse tõhusama juhtimise poole lõpptarbija jaoks. </w:t>
      </w:r>
    </w:p>
    <w:p w14:paraId="653D0162" w14:textId="77777777" w:rsidR="00A90382" w:rsidRPr="00E02B5D" w:rsidRDefault="00A90382" w:rsidP="00D16F13">
      <w:pPr>
        <w:spacing w:before="120" w:after="120" w:line="240" w:lineRule="auto"/>
        <w:jc w:val="both"/>
        <w:rPr>
          <w:rFonts w:ascii="Times New Roman" w:hAnsi="Times New Roman" w:cs="Times New Roman"/>
          <w:noProof/>
          <w:sz w:val="24"/>
        </w:rPr>
      </w:pPr>
      <w:r>
        <w:rPr>
          <w:rFonts w:ascii="Times New Roman" w:hAnsi="Times New Roman"/>
          <w:noProof/>
          <w:sz w:val="24"/>
        </w:rPr>
        <w:t>Kavandatud reformide rakendamine on kavandatud kolmes konkreetses teemavaldkonnas:</w:t>
      </w:r>
    </w:p>
    <w:p w14:paraId="706B0648" w14:textId="77777777" w:rsidR="00A90382" w:rsidRPr="00E02B5D" w:rsidRDefault="00A90382" w:rsidP="00DE1EE5">
      <w:pPr>
        <w:numPr>
          <w:ilvl w:val="0"/>
          <w:numId w:val="72"/>
        </w:numPr>
        <w:spacing w:before="120" w:after="120" w:line="240" w:lineRule="auto"/>
        <w:rPr>
          <w:rFonts w:ascii="Times New Roman" w:hAnsi="Times New Roman" w:cs="Times New Roman"/>
          <w:noProof/>
          <w:sz w:val="24"/>
          <w:szCs w:val="24"/>
        </w:rPr>
      </w:pPr>
      <w:r>
        <w:rPr>
          <w:rFonts w:ascii="Times New Roman" w:hAnsi="Times New Roman"/>
          <w:noProof/>
          <w:sz w:val="24"/>
        </w:rPr>
        <w:t>Esimene sammas – Arukate arvestite kasutuselevõtu ja kasutamise stiimulite süsteemi arendamine. Reformiga nähakse eelkõige ette karistus- ja/või premeerimissüsteemi kujundamine jaotusvõrguettevõtja jaoks tariifimehhanismi kaudu, tingimusel et on saavutatud teatavad peamised tulemusnäitajad, mis on seotud arukate võrkude kasutuselevõtu ja järelevalvega.</w:t>
      </w:r>
    </w:p>
    <w:p w14:paraId="54DCF7C2" w14:textId="77777777" w:rsidR="00A90382" w:rsidRPr="00E02B5D" w:rsidRDefault="00A90382" w:rsidP="00DE1EE5">
      <w:pPr>
        <w:numPr>
          <w:ilvl w:val="0"/>
          <w:numId w:val="72"/>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Teine sammas – Mis puudutab jaotusvõrgu haldamise digitaliseerimist, siis saavutatakse jaotusvõrgu digitaliseerimine Kreeka jaotusvõrguettevõtja aktiivse kontrollikeskuse arendamisega. Projekt hõlmab Kreeka jaotusvõrguettevõtja ülejäänud kolme piirkonna jaotusvõrgu juhtimiskeskuste ajakohastamist uue järelevalvekontrolli ja andmesoe-andmehaldussüsteemi (SCADA-DMS) paigaldamise ja sidepidamise kaudu kaugedastusüksustega kõrgepinge/keskmise pingega (HV/MT) alajaamades ning vajaliku tugitaristu loomist kolme integreeritud keskuse jaoks. Projekti eesmärk on parandada võrgu usaldusväärsust, kvaliteedinäitajaid ja võrgustiku nõrkade kohtade kindlakstegemist, ressursside säästmist, inimressursside tõhusamat haldamist seisakute ajal ning paremat ja kiiremat puuduste kõrvaldamist, käitiste energiakoormuse juhtimist suurenenud nõudluse ajal, võrgus elektri- ja energiakadude piiramist ning võrgu haldamise suutlikkuse parandamist.</w:t>
      </w:r>
    </w:p>
    <w:p w14:paraId="3C19B434" w14:textId="77777777" w:rsidR="00A90382" w:rsidRPr="00E02B5D" w:rsidRDefault="00A90382" w:rsidP="00DE1EE5">
      <w:pPr>
        <w:numPr>
          <w:ilvl w:val="0"/>
          <w:numId w:val="72"/>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3. sammas – Dünaamilise hinnakujunduse raamistik viitab direktiivi 2019/944 artikli 11 nõuetele, mis on juba riigisisesesse õigusesse üle võetud. Reformiga võetakse vastu teisesed õigusaktid ja raamistik, et rakendada dünaamilist hinnakujundust kõigi lõpptarbijate jaoks niipea, kui nende teenuseühendusse on paigaldatud nutiarvesti. Dünaamilise hinnakujunduse lepingute rakendamist arendab keskkonna- ja energeetikaministeerium, võttes vastu ministrite ühisotsuse, milles sätestatakse dünaamiliste lepingute kavandamisega seotud küsimused ja peamised tingimused. Ministrite ühisotsusega kehtestatakse ettevõtjate, veoseesindajate ja klientide õigused ja kohustused seoses dünaamilise hinnakujunduse rakendamisega. Lisaks lisatakse reformiga muudatused asjakohastesse riiklikesse võrgueeskirjadesse (edastamine ja jaotamine), et tagada nõuetekohane rakendamine.</w:t>
      </w:r>
      <w:r>
        <w:rPr>
          <w:rFonts w:ascii="Times New Roman" w:hAnsi="Times New Roman"/>
          <w:noProof/>
        </w:rPr>
        <w:t xml:space="preserve"> </w:t>
      </w:r>
      <w:r>
        <w:rPr>
          <w:rFonts w:ascii="Times New Roman" w:hAnsi="Times New Roman"/>
          <w:noProof/>
          <w:sz w:val="24"/>
        </w:rPr>
        <w:t xml:space="preserve"> </w:t>
      </w:r>
    </w:p>
    <w:p w14:paraId="412309DB"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Reformi rakendamine viiakse lõpule 31. detsembriks 2025. </w:t>
      </w:r>
    </w:p>
    <w:p w14:paraId="783DDDAA" w14:textId="77777777" w:rsidR="00A90382" w:rsidRPr="00AD4052" w:rsidRDefault="00A90382" w:rsidP="00D16F13">
      <w:pPr>
        <w:spacing w:before="120" w:after="120" w:line="240" w:lineRule="auto"/>
        <w:jc w:val="both"/>
        <w:rPr>
          <w:rFonts w:ascii="Times New Roman" w:hAnsi="Times New Roman" w:cs="Times New Roman"/>
          <w:noProof/>
          <w:sz w:val="24"/>
        </w:rPr>
      </w:pPr>
    </w:p>
    <w:p w14:paraId="786DAB0E"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 xml:space="preserve">Reform: </w:t>
      </w:r>
      <w:r>
        <w:rPr>
          <w:rFonts w:ascii="Times New Roman" w:hAnsi="Times New Roman"/>
          <w:noProof/>
          <w:sz w:val="24"/>
        </w:rPr>
        <w:t>Vahendid energia jagamise, omatarbimise ja taastuvenergiakogukondade edendamiseks (meetme ID: 16992)</w:t>
      </w:r>
    </w:p>
    <w:p w14:paraId="2248324C"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eesmärk on võtta kasutusele terviklik poliitiline algatus ja vahendid energia jagamise edendamiseks. Reformiga nähakse ette järgmised meetmed:</w:t>
      </w:r>
    </w:p>
    <w:p w14:paraId="46BE4AFA" w14:textId="77777777" w:rsidR="00A90382" w:rsidRPr="00E02B5D" w:rsidRDefault="00A90382" w:rsidP="00DE1EE5">
      <w:pPr>
        <w:pStyle w:val="ListParagraph"/>
        <w:numPr>
          <w:ilvl w:val="0"/>
          <w:numId w:val="75"/>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Taastuvenergiajaamade hoonetesse paigaldamise hõlbustamine ja kiirendamine;</w:t>
      </w:r>
    </w:p>
    <w:p w14:paraId="0D4F2999" w14:textId="4E5647EF" w:rsidR="00EE7E64" w:rsidRDefault="00A90382" w:rsidP="00DE1EE5">
      <w:pPr>
        <w:pStyle w:val="ListParagraph"/>
        <w:numPr>
          <w:ilvl w:val="0"/>
          <w:numId w:val="75"/>
        </w:numPr>
        <w:spacing w:before="120" w:after="120" w:line="240" w:lineRule="auto"/>
        <w:jc w:val="both"/>
        <w:rPr>
          <w:rFonts w:ascii="Times New Roman" w:hAnsi="Times New Roman"/>
          <w:noProof/>
          <w:sz w:val="24"/>
        </w:rPr>
      </w:pPr>
      <w:r>
        <w:rPr>
          <w:rFonts w:ascii="Times New Roman" w:hAnsi="Times New Roman"/>
          <w:noProof/>
          <w:sz w:val="24"/>
        </w:rPr>
        <w:t>Kehtestada vajalik õigusraamistik, et rakendada omatarbimist, kollektiivset omatarbimist ja omatarbimist virtuaalsete netoarvetega kooskõlas seadusega 5037/2023;</w:t>
      </w:r>
    </w:p>
    <w:p w14:paraId="5F12725D" w14:textId="77777777" w:rsidR="00EE7E64" w:rsidRDefault="00EE7E64">
      <w:pPr>
        <w:rPr>
          <w:rFonts w:ascii="Times New Roman" w:hAnsi="Times New Roman"/>
          <w:noProof/>
          <w:sz w:val="24"/>
        </w:rPr>
      </w:pPr>
      <w:r>
        <w:rPr>
          <w:noProof/>
        </w:rPr>
        <w:br w:type="page"/>
      </w:r>
    </w:p>
    <w:p w14:paraId="30FB7EB7" w14:textId="77777777" w:rsidR="00A90382" w:rsidRPr="00E02B5D" w:rsidRDefault="00A90382" w:rsidP="00DE1EE5">
      <w:pPr>
        <w:pStyle w:val="ListParagraph"/>
        <w:numPr>
          <w:ilvl w:val="0"/>
          <w:numId w:val="75"/>
        </w:numPr>
        <w:jc w:val="both"/>
        <w:rPr>
          <w:rFonts w:ascii="Times New Roman" w:hAnsi="Times New Roman" w:cs="Times New Roman"/>
          <w:noProof/>
          <w:sz w:val="24"/>
          <w:szCs w:val="24"/>
        </w:rPr>
      </w:pPr>
      <w:r>
        <w:rPr>
          <w:rFonts w:ascii="Times New Roman" w:hAnsi="Times New Roman"/>
          <w:noProof/>
          <w:sz w:val="24"/>
        </w:rPr>
        <w:t xml:space="preserve">Omatarbeks toodetud tarbijate registri loomine ning taastuvenergiakogukondade ja kodanike energiakogukondade tehnilise abi meetmete kavandamine ja rakendamine, mis pakub ühendustele tehnilist ja nõustamist, õigusabi, pakub lahendusi tekkinud takistustele, annab teavet projektide, protsesside ja rahastamisvõimaluste kohta. Lisaks tehnilisele abile aitavad meetmed luua ka suutlikkuse suurendamise materjale, teavitus- ja teadlikkuse suurendamise kampaaniaid, teavitusalgatusi ja -üritusi (nt õpikojad). </w:t>
      </w:r>
    </w:p>
    <w:p w14:paraId="3B390BCC"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Reformi rakendamine viiakse lõpule 31. märts 2025.</w:t>
      </w:r>
    </w:p>
    <w:p w14:paraId="1686585E" w14:textId="77777777" w:rsidR="00A90382" w:rsidRPr="00AD4052" w:rsidRDefault="00A90382" w:rsidP="00D16F13">
      <w:pPr>
        <w:spacing w:before="120" w:after="120" w:line="240" w:lineRule="auto"/>
        <w:jc w:val="both"/>
        <w:rPr>
          <w:rFonts w:ascii="Times New Roman" w:hAnsi="Times New Roman" w:cs="Times New Roman"/>
          <w:noProof/>
          <w:sz w:val="24"/>
        </w:rPr>
      </w:pPr>
    </w:p>
    <w:p w14:paraId="3AF8DE06" w14:textId="77777777" w:rsidR="00A90382" w:rsidRPr="00E02B5D" w:rsidRDefault="00A90382" w:rsidP="00D16F13">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Reform: </w:t>
      </w:r>
      <w:r>
        <w:rPr>
          <w:rFonts w:ascii="Times New Roman" w:hAnsi="Times New Roman"/>
          <w:noProof/>
          <w:sz w:val="24"/>
        </w:rPr>
        <w:t>Energiatõhususega seotud uuenduslike sekkumiste tegevuskava ja uute rahastamisvahendite kindlaksmääramine (meetme ID: 16993)</w:t>
      </w:r>
    </w:p>
    <w:p w14:paraId="786A57C7" w14:textId="77777777" w:rsidR="00A90382" w:rsidRPr="00E02B5D" w:rsidRDefault="00A90382" w:rsidP="00D16F13">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Reformi eesmärk on koostada uuenduslike energiatõhususe meetmete tegevuskava, sealhulgas võtta kasutusele rahastamisvahendid, mis ei ole toetusvahendid, et veelgi hoogustada omandis olevate või üüritavate eluruumide põhjalikku renoveerimist koos tööstushoonete põhjaliku renoveerimisega. Uue rahastamisvahendiga, mis ei ole toetus, nähakse ette kas maksusoodustused, subsideeritud või tagatud laenud ja muud rahastamisvahendid energiatõhususe investeeringute toetamiseks ehitussektoris. See reform tähendab eemaldumist toetuspõhistelt rahastamisvahenditelt, mis eeldatavasti suurendavad toetatavate hoonete arvu. Reformiga i) viiakse lõpule tegevuskava, milles määratakse kindlaks uuenduslikud energiatõhususe meetmed; ning ii) käivitada energiatõhususe rahastamisvahend, nagu on sätestatud tegevuskavas ja mis põhineb rahastamisallikatel, mis ei ole toetused. </w:t>
      </w:r>
    </w:p>
    <w:p w14:paraId="22B67810" w14:textId="77777777" w:rsidR="00A90382" w:rsidRPr="00E02B5D" w:rsidRDefault="00A90382" w:rsidP="00D16F13">
      <w:pPr>
        <w:spacing w:before="120" w:after="120" w:line="240" w:lineRule="auto"/>
        <w:jc w:val="both"/>
        <w:rPr>
          <w:rFonts w:ascii="Times New Roman" w:hAnsi="Times New Roman" w:cs="Times New Roman"/>
          <w:noProof/>
          <w:sz w:val="24"/>
        </w:rPr>
      </w:pPr>
      <w:r>
        <w:rPr>
          <w:rFonts w:ascii="Times New Roman" w:hAnsi="Times New Roman"/>
          <w:noProof/>
          <w:sz w:val="24"/>
        </w:rPr>
        <w:t>Reformi rakendamine viiakse lõpule 30. september 2025.</w:t>
      </w:r>
    </w:p>
    <w:p w14:paraId="4D28C093" w14:textId="77777777" w:rsidR="00A90382" w:rsidRPr="00AD4052" w:rsidRDefault="00A90382" w:rsidP="00D16F13">
      <w:pPr>
        <w:spacing w:before="120" w:after="120" w:line="240" w:lineRule="auto"/>
        <w:jc w:val="both"/>
        <w:rPr>
          <w:rFonts w:ascii="Times New Roman" w:hAnsi="Times New Roman" w:cs="Times New Roman"/>
          <w:noProof/>
          <w:sz w:val="24"/>
        </w:rPr>
      </w:pPr>
    </w:p>
    <w:p w14:paraId="2F709B2C" w14:textId="77777777" w:rsidR="00A90382" w:rsidRPr="00AD4052" w:rsidRDefault="00A90382" w:rsidP="00D16F13">
      <w:pPr>
        <w:spacing w:before="120" w:after="120" w:line="240" w:lineRule="auto"/>
        <w:jc w:val="both"/>
        <w:rPr>
          <w:rFonts w:ascii="Times New Roman" w:hAnsi="Times New Roman" w:cs="Times New Roman"/>
          <w:noProof/>
          <w:sz w:val="24"/>
        </w:rPr>
        <w:sectPr w:rsidR="00A90382" w:rsidRPr="00AD4052" w:rsidSect="00271D33">
          <w:headerReference w:type="even" r:id="rId416"/>
          <w:headerReference w:type="default" r:id="rId417"/>
          <w:footerReference w:type="even" r:id="rId418"/>
          <w:footerReference w:type="default" r:id="rId419"/>
          <w:headerReference w:type="first" r:id="rId420"/>
          <w:footerReference w:type="first" r:id="rId421"/>
          <w:pgSz w:w="11907" w:h="16839"/>
          <w:pgMar w:top="1134" w:right="1417" w:bottom="1134" w:left="1417" w:header="709" w:footer="709" w:gutter="0"/>
          <w:cols w:space="720"/>
          <w:docGrid w:linePitch="360"/>
        </w:sectPr>
      </w:pPr>
    </w:p>
    <w:p w14:paraId="0DFDC3AD" w14:textId="77777777" w:rsidR="00A90382" w:rsidRPr="00E02B5D" w:rsidRDefault="00A90382" w:rsidP="00645BC7">
      <w:pPr>
        <w:keepNext/>
        <w:keepLines/>
        <w:spacing w:before="240" w:after="0" w:line="240" w:lineRule="auto"/>
        <w:jc w:val="both"/>
        <w:outlineLvl w:val="4"/>
        <w:rPr>
          <w:rFonts w:ascii="Cambria" w:eastAsia="Times New Roman" w:hAnsi="Cambria"/>
          <w:noProof/>
          <w:color w:val="365F91"/>
          <w:sz w:val="24"/>
        </w:rPr>
      </w:pPr>
      <w:r>
        <w:rPr>
          <w:rFonts w:ascii="Times New Roman" w:hAnsi="Times New Roman"/>
          <w:b/>
          <w:noProof/>
          <w:sz w:val="24"/>
          <w:u w:val="single"/>
        </w:rPr>
        <w:t xml:space="preserve">T.2. </w:t>
      </w:r>
      <w:r>
        <w:rPr>
          <w:noProof/>
        </w:rPr>
        <w:tab/>
      </w:r>
      <w:r>
        <w:rPr>
          <w:rFonts w:ascii="Times New Roman" w:hAnsi="Times New Roman"/>
          <w:b/>
          <w:noProof/>
          <w:sz w:val="24"/>
          <w:u w:val="single"/>
        </w:rPr>
        <w:t>Tagastamatu rahalise toetuse eesmärgid, sihid, näitajad ning seire ja rakendamise ajakava</w:t>
      </w:r>
    </w:p>
    <w:p w14:paraId="5B486B69" w14:textId="77777777" w:rsidR="00A90382" w:rsidRPr="00E02B5D" w:rsidRDefault="00A90382" w:rsidP="00D16F13">
      <w:pPr>
        <w:keepNext/>
        <w:keepLines/>
        <w:spacing w:before="240" w:after="240" w:line="240" w:lineRule="auto"/>
        <w:jc w:val="both"/>
        <w:outlineLvl w:val="4"/>
        <w:rPr>
          <w:rFonts w:ascii="Cambria" w:eastAsia="Times New Roman" w:hAnsi="Cambria"/>
          <w:noProof/>
          <w:color w:val="365F91"/>
          <w:sz w:val="24"/>
          <w:szCs w:val="24"/>
        </w:rPr>
      </w:pPr>
      <w:r>
        <w:rPr>
          <w:rFonts w:ascii="Cambria" w:hAnsi="Cambria"/>
          <w:noProof/>
          <w:color w:val="365F91" w:themeColor="accent1" w:themeShade="BF"/>
          <w:sz w:val="24"/>
        </w:rPr>
        <w:t xml:space="preserve">Reform 1: Taastuvallikatest toodetud vesiniku ja kestliku biometaani litsentsimise raamistik (meetme ID: 16987)  </w:t>
      </w:r>
    </w:p>
    <w:tbl>
      <w:tblPr>
        <w:tblpPr w:leftFromText="180" w:rightFromText="180" w:vertAnchor="text" w:tblpX="113" w:tblpY="1"/>
        <w:tblOverlap w:val="never"/>
        <w:tblW w:w="14312" w:type="dxa"/>
        <w:tblLook w:val="04A0" w:firstRow="1" w:lastRow="0" w:firstColumn="1" w:lastColumn="0" w:noHBand="0" w:noVBand="1"/>
      </w:tblPr>
      <w:tblGrid>
        <w:gridCol w:w="1541"/>
        <w:gridCol w:w="1884"/>
        <w:gridCol w:w="1055"/>
        <w:gridCol w:w="1337"/>
        <w:gridCol w:w="1194"/>
        <w:gridCol w:w="926"/>
        <w:gridCol w:w="1055"/>
        <w:gridCol w:w="847"/>
        <w:gridCol w:w="797"/>
        <w:gridCol w:w="796"/>
        <w:gridCol w:w="3129"/>
      </w:tblGrid>
      <w:tr w:rsidR="00A90382" w:rsidRPr="003B132A" w14:paraId="6C03BCE7" w14:textId="77777777" w:rsidTr="0076750E">
        <w:trPr>
          <w:trHeight w:val="540"/>
          <w:tblHeader/>
        </w:trPr>
        <w:tc>
          <w:tcPr>
            <w:tcW w:w="1043"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044D7164"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2A03BF6E"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6CD397FB"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0C7A5ACB"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4CF9D2B8"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977" w:type="dxa"/>
            <w:gridSpan w:val="3"/>
            <w:tcBorders>
              <w:top w:val="single" w:sz="4" w:space="0" w:color="auto"/>
              <w:left w:val="single" w:sz="4" w:space="0" w:color="auto"/>
              <w:bottom w:val="single" w:sz="4" w:space="0" w:color="auto"/>
              <w:right w:val="single" w:sz="4" w:space="0" w:color="auto"/>
            </w:tcBorders>
            <w:shd w:val="clear" w:color="auto" w:fill="BDD7EE"/>
            <w:noWrap/>
            <w:vAlign w:val="center"/>
          </w:tcPr>
          <w:p w14:paraId="2715C6CB"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701" w:type="dxa"/>
            <w:gridSpan w:val="2"/>
            <w:tcBorders>
              <w:top w:val="single" w:sz="4" w:space="0" w:color="auto"/>
              <w:left w:val="nil"/>
              <w:bottom w:val="single" w:sz="4" w:space="0" w:color="auto"/>
              <w:right w:val="single" w:sz="4" w:space="0" w:color="auto"/>
            </w:tcBorders>
            <w:shd w:val="clear" w:color="auto" w:fill="BDD7EE"/>
            <w:noWrap/>
          </w:tcPr>
          <w:p w14:paraId="09782D72"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Lõpuleviimise soovituslik ajakava</w:t>
            </w:r>
          </w:p>
        </w:tc>
        <w:tc>
          <w:tcPr>
            <w:tcW w:w="3402" w:type="dxa"/>
            <w:vMerge w:val="restart"/>
            <w:tcBorders>
              <w:top w:val="single" w:sz="4" w:space="0" w:color="auto"/>
              <w:left w:val="nil"/>
              <w:bottom w:val="single" w:sz="4" w:space="0" w:color="auto"/>
              <w:right w:val="single" w:sz="4" w:space="0" w:color="auto"/>
            </w:tcBorders>
            <w:shd w:val="clear" w:color="auto" w:fill="BDD7EE"/>
            <w:noWrap/>
          </w:tcPr>
          <w:p w14:paraId="62741DC4" w14:textId="77777777" w:rsidR="00A90382" w:rsidRPr="00AD4052" w:rsidRDefault="00A90382" w:rsidP="00D16F13">
            <w:pPr>
              <w:spacing w:before="120" w:after="120" w:line="240" w:lineRule="auto"/>
              <w:jc w:val="center"/>
              <w:rPr>
                <w:rFonts w:ascii="Times New Roman" w:eastAsia="Times New Roman" w:hAnsi="Times New Roman" w:cs="Times New Roman"/>
                <w:b/>
                <w:bCs/>
                <w:noProof/>
                <w:sz w:val="18"/>
                <w:szCs w:val="18"/>
                <w:lang w:eastAsia="en-GB"/>
              </w:rPr>
            </w:pPr>
          </w:p>
          <w:p w14:paraId="1BA6E09E" w14:textId="77777777" w:rsidR="00A90382" w:rsidRPr="00E02B5D" w:rsidRDefault="00A90382" w:rsidP="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A90382" w:rsidRPr="00E02B5D" w14:paraId="7099E622" w14:textId="77777777" w:rsidTr="0076750E">
        <w:trPr>
          <w:trHeight w:val="557"/>
        </w:trPr>
        <w:tc>
          <w:tcPr>
            <w:tcW w:w="1043" w:type="dxa"/>
            <w:vMerge/>
            <w:tcBorders>
              <w:top w:val="single" w:sz="4" w:space="0" w:color="auto"/>
              <w:left w:val="single" w:sz="4" w:space="0" w:color="auto"/>
              <w:bottom w:val="single" w:sz="4" w:space="0" w:color="auto"/>
              <w:right w:val="single" w:sz="4" w:space="0" w:color="auto"/>
            </w:tcBorders>
            <w:noWrap/>
            <w:vAlign w:val="center"/>
          </w:tcPr>
          <w:p w14:paraId="6672C9E6"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646" w:type="dxa"/>
            <w:vMerge/>
            <w:tcBorders>
              <w:top w:val="single" w:sz="4" w:space="0" w:color="auto"/>
              <w:left w:val="single" w:sz="4" w:space="0" w:color="auto"/>
              <w:bottom w:val="single" w:sz="4" w:space="0" w:color="auto"/>
              <w:right w:val="single" w:sz="4" w:space="0" w:color="auto"/>
            </w:tcBorders>
            <w:noWrap/>
            <w:vAlign w:val="center"/>
          </w:tcPr>
          <w:p w14:paraId="5CB8709E"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14:paraId="2AC5451A"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275" w:type="dxa"/>
            <w:vMerge/>
            <w:tcBorders>
              <w:top w:val="single" w:sz="4" w:space="0" w:color="auto"/>
              <w:left w:val="single" w:sz="4" w:space="0" w:color="auto"/>
              <w:bottom w:val="single" w:sz="4" w:space="0" w:color="auto"/>
              <w:right w:val="single" w:sz="4" w:space="0" w:color="auto"/>
            </w:tcBorders>
            <w:noWrap/>
            <w:vAlign w:val="center"/>
          </w:tcPr>
          <w:p w14:paraId="6CF8B8E7"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14:paraId="1CDA7A8B"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049BED75"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134" w:type="dxa"/>
            <w:tcBorders>
              <w:top w:val="single" w:sz="4" w:space="0" w:color="auto"/>
              <w:left w:val="nil"/>
              <w:bottom w:val="single" w:sz="4" w:space="0" w:color="auto"/>
              <w:right w:val="single" w:sz="4" w:space="0" w:color="auto"/>
            </w:tcBorders>
            <w:shd w:val="clear" w:color="auto" w:fill="BDD7EE"/>
            <w:vAlign w:val="center"/>
          </w:tcPr>
          <w:p w14:paraId="6CF15580"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850" w:type="dxa"/>
            <w:tcBorders>
              <w:top w:val="single" w:sz="4" w:space="0" w:color="auto"/>
              <w:left w:val="nil"/>
              <w:bottom w:val="single" w:sz="4" w:space="0" w:color="auto"/>
              <w:right w:val="single" w:sz="4" w:space="0" w:color="auto"/>
            </w:tcBorders>
            <w:shd w:val="clear" w:color="auto" w:fill="BDD7EE"/>
            <w:vAlign w:val="center"/>
          </w:tcPr>
          <w:p w14:paraId="016A11F4"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851" w:type="dxa"/>
            <w:tcBorders>
              <w:top w:val="single" w:sz="4" w:space="0" w:color="auto"/>
              <w:left w:val="nil"/>
              <w:bottom w:val="single" w:sz="4" w:space="0" w:color="auto"/>
              <w:right w:val="single" w:sz="4" w:space="0" w:color="auto"/>
            </w:tcBorders>
            <w:shd w:val="clear" w:color="auto" w:fill="BDD7EE"/>
            <w:noWrap/>
          </w:tcPr>
          <w:p w14:paraId="5D3F7A42"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850" w:type="dxa"/>
            <w:tcBorders>
              <w:top w:val="single" w:sz="4" w:space="0" w:color="auto"/>
              <w:left w:val="nil"/>
              <w:bottom w:val="single" w:sz="4" w:space="0" w:color="auto"/>
              <w:right w:val="single" w:sz="4" w:space="0" w:color="auto"/>
            </w:tcBorders>
            <w:shd w:val="clear" w:color="auto" w:fill="BDD7EE"/>
          </w:tcPr>
          <w:p w14:paraId="67420DCB" w14:textId="77777777" w:rsidR="00A90382" w:rsidRPr="00E02B5D" w:rsidRDefault="00A90382" w:rsidP="00D16F13">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402" w:type="dxa"/>
            <w:vMerge/>
            <w:tcBorders>
              <w:bottom w:val="single" w:sz="4" w:space="0" w:color="auto"/>
              <w:right w:val="single" w:sz="4" w:space="0" w:color="auto"/>
            </w:tcBorders>
            <w:noWrap/>
          </w:tcPr>
          <w:p w14:paraId="6C18058D" w14:textId="77777777" w:rsidR="00A90382" w:rsidRPr="00E02B5D" w:rsidRDefault="00A90382" w:rsidP="00D16F13">
            <w:pPr>
              <w:spacing w:after="0" w:line="240" w:lineRule="auto"/>
              <w:rPr>
                <w:rFonts w:ascii="Times New Roman" w:eastAsia="Times New Roman" w:hAnsi="Times New Roman" w:cs="Times New Roman"/>
                <w:b/>
                <w:bCs/>
                <w:noProof/>
                <w:sz w:val="18"/>
                <w:szCs w:val="18"/>
                <w:lang w:val="en-GB" w:eastAsia="en-GB"/>
              </w:rPr>
            </w:pPr>
          </w:p>
        </w:tc>
      </w:tr>
      <w:tr w:rsidR="00A90382" w:rsidRPr="003B132A" w14:paraId="00714AAE" w14:textId="77777777" w:rsidTr="0076750E">
        <w:tc>
          <w:tcPr>
            <w:tcW w:w="1043" w:type="dxa"/>
            <w:tcBorders>
              <w:top w:val="single" w:sz="4" w:space="0" w:color="auto"/>
              <w:left w:val="single" w:sz="4" w:space="0" w:color="auto"/>
              <w:bottom w:val="single" w:sz="4" w:space="0" w:color="auto"/>
              <w:right w:val="single" w:sz="4" w:space="0" w:color="auto"/>
            </w:tcBorders>
            <w:shd w:val="clear" w:color="auto" w:fill="C6EFCE"/>
            <w:noWrap/>
          </w:tcPr>
          <w:p w14:paraId="5B1EA68D"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351</w:t>
            </w:r>
          </w:p>
        </w:tc>
        <w:tc>
          <w:tcPr>
            <w:tcW w:w="1646" w:type="dxa"/>
            <w:tcBorders>
              <w:top w:val="single" w:sz="4" w:space="0" w:color="auto"/>
              <w:left w:val="nil"/>
              <w:bottom w:val="single" w:sz="4" w:space="0" w:color="auto"/>
              <w:right w:val="single" w:sz="4" w:space="0" w:color="auto"/>
            </w:tcBorders>
            <w:shd w:val="clear" w:color="auto" w:fill="C6EFCE"/>
            <w:noWrap/>
          </w:tcPr>
          <w:p w14:paraId="41E86755"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20-5.1. REPowerEU reformid – 16987_Litsentsiraamistik taastuvallikatest toodetud vesiniku ja kestliku biometaani jaoks</w:t>
            </w:r>
          </w:p>
        </w:tc>
        <w:tc>
          <w:tcPr>
            <w:tcW w:w="1134" w:type="dxa"/>
            <w:tcBorders>
              <w:top w:val="single" w:sz="4" w:space="0" w:color="auto"/>
              <w:left w:val="nil"/>
              <w:bottom w:val="single" w:sz="4" w:space="0" w:color="auto"/>
              <w:right w:val="single" w:sz="4" w:space="0" w:color="auto"/>
            </w:tcBorders>
            <w:shd w:val="clear" w:color="auto" w:fill="C6EFCE"/>
            <w:noWrap/>
          </w:tcPr>
          <w:p w14:paraId="0BD1083D"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Eesmärk</w:t>
            </w:r>
          </w:p>
        </w:tc>
        <w:tc>
          <w:tcPr>
            <w:tcW w:w="1275" w:type="dxa"/>
            <w:tcBorders>
              <w:top w:val="single" w:sz="4" w:space="0" w:color="auto"/>
              <w:left w:val="nil"/>
              <w:bottom w:val="single" w:sz="4" w:space="0" w:color="auto"/>
              <w:right w:val="single" w:sz="4" w:space="0" w:color="auto"/>
            </w:tcBorders>
            <w:shd w:val="clear" w:color="auto" w:fill="C6EFCE"/>
            <w:noWrap/>
          </w:tcPr>
          <w:p w14:paraId="6D35D643"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Taastuvallikatest toodetud vesinikku ja kestlikku biometaani käsitlev õigusraamistik</w:t>
            </w:r>
          </w:p>
        </w:tc>
        <w:tc>
          <w:tcPr>
            <w:tcW w:w="1134" w:type="dxa"/>
            <w:tcBorders>
              <w:top w:val="single" w:sz="4" w:space="0" w:color="auto"/>
              <w:left w:val="nil"/>
              <w:bottom w:val="single" w:sz="4" w:space="0" w:color="auto"/>
              <w:right w:val="single" w:sz="4" w:space="0" w:color="auto"/>
            </w:tcBorders>
            <w:shd w:val="clear" w:color="auto" w:fill="C6EFCE"/>
            <w:noWrap/>
          </w:tcPr>
          <w:p w14:paraId="4569BAD5"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Liitumine </w:t>
            </w:r>
          </w:p>
          <w:p w14:paraId="043145D7"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järgmise jõuga: </w:t>
            </w:r>
          </w:p>
          <w:p w14:paraId="7150EF04"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õigusaktidest nähtuv teave </w:t>
            </w:r>
          </w:p>
          <w:p w14:paraId="48EE6935" w14:textId="77777777" w:rsidR="00A90382" w:rsidRPr="00AD4052" w:rsidRDefault="00A90382" w:rsidP="00D16F13">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14:paraId="7D4700B9" w14:textId="77777777" w:rsidR="00A90382" w:rsidRPr="00AD4052" w:rsidRDefault="00A90382" w:rsidP="00D16F13">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27F3BDAF" w14:textId="77777777" w:rsidR="00A90382" w:rsidRPr="00AD4052" w:rsidRDefault="00A90382" w:rsidP="00D16F13">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4CC09B72" w14:textId="77777777" w:rsidR="00A90382" w:rsidRPr="00AD4052" w:rsidRDefault="00A90382" w:rsidP="00D16F13">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14:paraId="14183916"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 kv</w:t>
            </w:r>
          </w:p>
        </w:tc>
        <w:tc>
          <w:tcPr>
            <w:tcW w:w="850" w:type="dxa"/>
            <w:tcBorders>
              <w:top w:val="single" w:sz="4" w:space="0" w:color="auto"/>
              <w:left w:val="nil"/>
              <w:bottom w:val="single" w:sz="4" w:space="0" w:color="auto"/>
              <w:right w:val="single" w:sz="4" w:space="0" w:color="auto"/>
            </w:tcBorders>
            <w:shd w:val="clear" w:color="auto" w:fill="C6EFCE"/>
            <w:noWrap/>
          </w:tcPr>
          <w:p w14:paraId="0052BE36"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2024</w:t>
            </w:r>
          </w:p>
        </w:tc>
        <w:tc>
          <w:tcPr>
            <w:tcW w:w="3402" w:type="dxa"/>
            <w:tcBorders>
              <w:top w:val="single" w:sz="4" w:space="0" w:color="auto"/>
              <w:left w:val="nil"/>
              <w:bottom w:val="single" w:sz="4" w:space="0" w:color="auto"/>
              <w:right w:val="single" w:sz="4" w:space="0" w:color="auto"/>
            </w:tcBorders>
            <w:shd w:val="clear" w:color="auto" w:fill="C6EFCE"/>
            <w:noWrap/>
          </w:tcPr>
          <w:p w14:paraId="0157E075" w14:textId="77777777" w:rsidR="00A90382" w:rsidRPr="00E02B5D" w:rsidRDefault="00A90382" w:rsidP="00D16F13">
            <w:pPr>
              <w:spacing w:after="0" w:line="240" w:lineRule="auto"/>
              <w:rPr>
                <w:rFonts w:eastAsia="Times New Roman" w:cs="Calibri"/>
                <w:noProof/>
                <w:color w:val="006100"/>
                <w:sz w:val="18"/>
                <w:szCs w:val="18"/>
                <w:highlight w:val="yellow"/>
              </w:rPr>
            </w:pPr>
            <w:r>
              <w:rPr>
                <w:noProof/>
                <w:color w:val="006100"/>
                <w:sz w:val="18"/>
              </w:rPr>
              <w:t xml:space="preserve">Taastuvallikatest toodetud vesiniku ja kestliku biometaani toetamist käsitleva õigusakti (esmane ja teisene) jõustumine. </w:t>
            </w:r>
          </w:p>
          <w:p w14:paraId="234A9CE2"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Õigusaktid hõlmavad järgmist: taastuvallikatest toodetud vesiniku ja kestliku biometaani tootmise ja tarbimise edendamine, sealhulgas litsentsimis- ja loamenetluste spetsifikatsioon, ruumilise planeerimise sätted, ülekande, hoiustamise ja võrku sisestamise tehniliste kirjelduste kindlaksmääramine, eri sidusrühmade ja kaasatud avaliku sektori asutuste rollide selgitamine, tagades samal ajal mehhanismi, millega tõendatakse, et toodetud vesinik oleks taastuvallikatest toodetud ja biometaan kestlik, kooskõlas taastuvenergia direktiivi delegeeritud õigusaktide hiljutiste sätetega.</w:t>
            </w:r>
          </w:p>
        </w:tc>
      </w:tr>
    </w:tbl>
    <w:p w14:paraId="154AB354" w14:textId="77777777" w:rsidR="00A90382" w:rsidRPr="00AD4052" w:rsidRDefault="00A90382">
      <w:pPr>
        <w:rPr>
          <w:noProof/>
        </w:rPr>
      </w:pPr>
    </w:p>
    <w:p w14:paraId="6DCE673E" w14:textId="77777777" w:rsidR="00A90382" w:rsidRDefault="00A90382" w:rsidP="00D16F13">
      <w:pPr>
        <w:keepNext/>
        <w:keepLines/>
        <w:spacing w:before="240" w:after="0" w:line="240" w:lineRule="auto"/>
        <w:jc w:val="both"/>
        <w:outlineLvl w:val="4"/>
        <w:rPr>
          <w:rFonts w:ascii="Cambria" w:hAnsi="Cambria"/>
          <w:noProof/>
          <w:color w:val="365F91" w:themeColor="accent1" w:themeShade="BF"/>
          <w:sz w:val="24"/>
        </w:rPr>
      </w:pPr>
      <w:r>
        <w:rPr>
          <w:rFonts w:ascii="Cambria" w:hAnsi="Cambria"/>
          <w:noProof/>
          <w:color w:val="365F91" w:themeColor="accent1" w:themeShade="BF"/>
          <w:sz w:val="24"/>
        </w:rPr>
        <w:t>Reform 2: Maa- ja mereruumi kasutamise optimeerimine taastuvate energiaallikate ja avamere tuuleenergia arendamiseks (meetme ID: 16989)</w:t>
      </w:r>
    </w:p>
    <w:p w14:paraId="225BB70A" w14:textId="77777777" w:rsidR="00EF74AB" w:rsidRPr="00AD4052" w:rsidRDefault="00EF74AB" w:rsidP="00D16F13">
      <w:pPr>
        <w:keepNext/>
        <w:keepLines/>
        <w:spacing w:before="240" w:after="0" w:line="240" w:lineRule="auto"/>
        <w:jc w:val="both"/>
        <w:outlineLvl w:val="4"/>
        <w:rPr>
          <w:rFonts w:ascii="Cambria" w:eastAsia="Times New Roman" w:hAnsi="Cambria"/>
          <w:noProof/>
          <w:color w:val="365F91"/>
          <w:sz w:val="24"/>
          <w:szCs w:val="24"/>
        </w:rPr>
      </w:pPr>
    </w:p>
    <w:tbl>
      <w:tblPr>
        <w:tblW w:w="14454" w:type="dxa"/>
        <w:jc w:val="center"/>
        <w:tblLayout w:type="fixed"/>
        <w:tblLook w:val="04A0" w:firstRow="1" w:lastRow="0" w:firstColumn="1" w:lastColumn="0" w:noHBand="0" w:noVBand="1"/>
      </w:tblPr>
      <w:tblGrid>
        <w:gridCol w:w="1134"/>
        <w:gridCol w:w="2078"/>
        <w:gridCol w:w="1007"/>
        <w:gridCol w:w="1134"/>
        <w:gridCol w:w="1305"/>
        <w:gridCol w:w="992"/>
        <w:gridCol w:w="1050"/>
        <w:gridCol w:w="666"/>
        <w:gridCol w:w="921"/>
        <w:gridCol w:w="10"/>
        <w:gridCol w:w="911"/>
        <w:gridCol w:w="3246"/>
      </w:tblGrid>
      <w:tr w:rsidR="00D14590" w:rsidRPr="003B132A" w14:paraId="455C6A84" w14:textId="77777777" w:rsidTr="00EF74AB">
        <w:trPr>
          <w:trHeight w:val="844"/>
          <w:tblHeader/>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389C018" w14:textId="77777777" w:rsidR="00D14590" w:rsidRPr="00E02B5D" w:rsidRDefault="00D14590" w:rsidP="00C35E51">
            <w:pPr>
              <w:spacing w:before="120" w:after="120" w:line="240" w:lineRule="auto"/>
              <w:jc w:val="center"/>
              <w:rPr>
                <w:rFonts w:ascii="Times New Roman" w:hAnsi="Times New Roman" w:cs="Times New Roman"/>
                <w:noProof/>
                <w:sz w:val="24"/>
              </w:rPr>
            </w:pPr>
            <w:r>
              <w:rPr>
                <w:rFonts w:ascii="Times New Roman" w:hAnsi="Times New Roman"/>
                <w:b/>
                <w:noProof/>
                <w:sz w:val="18"/>
              </w:rPr>
              <w:t>Järjekorranumber</w:t>
            </w:r>
          </w:p>
        </w:tc>
        <w:tc>
          <w:tcPr>
            <w:tcW w:w="2078" w:type="dxa"/>
            <w:vMerge w:val="restart"/>
            <w:tcBorders>
              <w:top w:val="single" w:sz="4" w:space="0" w:color="auto"/>
              <w:left w:val="single" w:sz="4" w:space="0" w:color="auto"/>
              <w:right w:val="single" w:sz="4" w:space="0" w:color="auto"/>
            </w:tcBorders>
            <w:shd w:val="clear" w:color="auto" w:fill="BDD7EE"/>
            <w:vAlign w:val="center"/>
            <w:hideMark/>
          </w:tcPr>
          <w:p w14:paraId="469B1ACE" w14:textId="77777777" w:rsidR="00D14590" w:rsidRPr="00E02B5D" w:rsidRDefault="00D14590" w:rsidP="00D14590">
            <w:pPr>
              <w:spacing w:before="120" w:after="120" w:line="240" w:lineRule="auto"/>
              <w:jc w:val="center"/>
              <w:rPr>
                <w:rFonts w:ascii="Times New Roman" w:hAnsi="Times New Roman" w:cs="Times New Roman"/>
                <w:noProof/>
                <w:sz w:val="24"/>
              </w:rPr>
            </w:pPr>
            <w:r>
              <w:rPr>
                <w:rFonts w:ascii="Times New Roman" w:hAnsi="Times New Roman"/>
                <w:b/>
                <w:noProof/>
                <w:sz w:val="18"/>
              </w:rPr>
              <w:t>Seotud meede (reform või investeering)</w:t>
            </w:r>
          </w:p>
        </w:tc>
        <w:tc>
          <w:tcPr>
            <w:tcW w:w="1007" w:type="dxa"/>
            <w:vMerge w:val="restart"/>
            <w:tcBorders>
              <w:top w:val="single" w:sz="4" w:space="0" w:color="auto"/>
              <w:left w:val="single" w:sz="4" w:space="0" w:color="auto"/>
              <w:right w:val="single" w:sz="4" w:space="0" w:color="auto"/>
            </w:tcBorders>
            <w:shd w:val="clear" w:color="auto" w:fill="BDD7EE"/>
            <w:vAlign w:val="center"/>
            <w:hideMark/>
          </w:tcPr>
          <w:p w14:paraId="4760329E" w14:textId="77777777" w:rsidR="00D14590" w:rsidRPr="00E02B5D" w:rsidRDefault="00D14590" w:rsidP="00D14590">
            <w:pPr>
              <w:spacing w:before="120" w:after="120" w:line="240" w:lineRule="auto"/>
              <w:jc w:val="center"/>
              <w:rPr>
                <w:rFonts w:ascii="Times New Roman" w:hAnsi="Times New Roman" w:cs="Times New Roman"/>
                <w:noProof/>
                <w:sz w:val="24"/>
              </w:rPr>
            </w:pPr>
            <w:r>
              <w:rPr>
                <w:rFonts w:ascii="Times New Roman" w:hAnsi="Times New Roman"/>
                <w:b/>
                <w:noProof/>
                <w:sz w:val="18"/>
              </w:rPr>
              <w:t>Eesmärk / siht</w:t>
            </w:r>
          </w:p>
        </w:tc>
        <w:tc>
          <w:tcPr>
            <w:tcW w:w="1134" w:type="dxa"/>
            <w:vMerge w:val="restart"/>
            <w:tcBorders>
              <w:top w:val="single" w:sz="4" w:space="0" w:color="auto"/>
              <w:left w:val="single" w:sz="4" w:space="0" w:color="auto"/>
              <w:right w:val="single" w:sz="4" w:space="0" w:color="auto"/>
            </w:tcBorders>
            <w:shd w:val="clear" w:color="auto" w:fill="BDD7EE"/>
            <w:vAlign w:val="center"/>
            <w:hideMark/>
          </w:tcPr>
          <w:p w14:paraId="5082B2CF" w14:textId="77777777" w:rsidR="00D14590" w:rsidRPr="00E02B5D" w:rsidRDefault="00D14590" w:rsidP="00D14590">
            <w:pPr>
              <w:spacing w:before="120" w:after="120" w:line="240" w:lineRule="auto"/>
              <w:jc w:val="center"/>
              <w:rPr>
                <w:rFonts w:ascii="Times New Roman" w:hAnsi="Times New Roman" w:cs="Times New Roman"/>
                <w:noProof/>
                <w:sz w:val="24"/>
              </w:rPr>
            </w:pPr>
            <w:r>
              <w:rPr>
                <w:rFonts w:ascii="Times New Roman" w:hAnsi="Times New Roman"/>
                <w:b/>
                <w:noProof/>
                <w:sz w:val="18"/>
              </w:rPr>
              <w:t>Nimi</w:t>
            </w:r>
          </w:p>
        </w:tc>
        <w:tc>
          <w:tcPr>
            <w:tcW w:w="1305" w:type="dxa"/>
            <w:vMerge w:val="restart"/>
            <w:tcBorders>
              <w:top w:val="single" w:sz="4" w:space="0" w:color="auto"/>
              <w:left w:val="single" w:sz="4" w:space="0" w:color="auto"/>
              <w:right w:val="single" w:sz="4" w:space="0" w:color="auto"/>
            </w:tcBorders>
            <w:shd w:val="clear" w:color="auto" w:fill="BDD7EE"/>
            <w:vAlign w:val="center"/>
            <w:hideMark/>
          </w:tcPr>
          <w:p w14:paraId="4112A01E" w14:textId="77777777" w:rsidR="00D14590" w:rsidRPr="00E02B5D" w:rsidRDefault="00D14590" w:rsidP="00D14590">
            <w:pPr>
              <w:spacing w:before="120" w:after="120" w:line="240" w:lineRule="auto"/>
              <w:jc w:val="center"/>
              <w:rPr>
                <w:rFonts w:ascii="Times New Roman" w:hAnsi="Times New Roman" w:cs="Times New Roman"/>
                <w:noProof/>
                <w:sz w:val="24"/>
                <w:szCs w:val="24"/>
              </w:rPr>
            </w:pPr>
            <w:r>
              <w:rPr>
                <w:rFonts w:ascii="Times New Roman" w:hAnsi="Times New Roman"/>
                <w:b/>
                <w:noProof/>
                <w:sz w:val="18"/>
              </w:rPr>
              <w:t>Kvalitatiivsed näitajad (eesmärkide puhul)</w:t>
            </w:r>
          </w:p>
        </w:tc>
        <w:tc>
          <w:tcPr>
            <w:tcW w:w="2708" w:type="dxa"/>
            <w:gridSpan w:val="3"/>
            <w:tcBorders>
              <w:top w:val="single" w:sz="4" w:space="0" w:color="auto"/>
              <w:left w:val="nil"/>
              <w:bottom w:val="single" w:sz="4" w:space="0" w:color="auto"/>
              <w:right w:val="single" w:sz="4" w:space="0" w:color="auto"/>
            </w:tcBorders>
            <w:shd w:val="clear" w:color="auto" w:fill="BDD7EE"/>
            <w:vAlign w:val="center"/>
            <w:hideMark/>
          </w:tcPr>
          <w:p w14:paraId="02956E7A" w14:textId="77777777" w:rsidR="00D14590" w:rsidRPr="00E02B5D" w:rsidRDefault="00D14590" w:rsidP="00D14590">
            <w:pPr>
              <w:spacing w:before="120" w:after="120" w:line="240" w:lineRule="auto"/>
              <w:jc w:val="center"/>
              <w:rPr>
                <w:rFonts w:ascii="Times New Roman" w:hAnsi="Times New Roman" w:cs="Times New Roman"/>
                <w:noProof/>
                <w:sz w:val="24"/>
                <w:szCs w:val="24"/>
              </w:rPr>
            </w:pPr>
            <w:r>
              <w:rPr>
                <w:rFonts w:ascii="Times New Roman" w:hAnsi="Times New Roman"/>
                <w:b/>
                <w:noProof/>
                <w:sz w:val="18"/>
              </w:rPr>
              <w:t>Kvantitatiivsed näitajad (sihtide puhul)</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14:paraId="39BBEE0D" w14:textId="77777777" w:rsidR="00D14590" w:rsidRPr="00E02B5D" w:rsidRDefault="00D14590" w:rsidP="00D14590">
            <w:pPr>
              <w:spacing w:before="120" w:after="120" w:line="240" w:lineRule="auto"/>
              <w:jc w:val="center"/>
              <w:rPr>
                <w:rFonts w:ascii="Times New Roman" w:hAnsi="Times New Roman" w:cs="Times New Roman"/>
                <w:noProof/>
                <w:sz w:val="24"/>
              </w:rPr>
            </w:pPr>
            <w:r>
              <w:rPr>
                <w:rFonts w:ascii="Times New Roman" w:hAnsi="Times New Roman"/>
                <w:b/>
                <w:noProof/>
                <w:sz w:val="18"/>
              </w:rPr>
              <w:t>Lõpuleviimise soovituslik ajakava</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A8373F" w14:textId="77777777" w:rsidR="00D14590" w:rsidRPr="00E02B5D" w:rsidRDefault="00D14590" w:rsidP="00C35E51">
            <w:pPr>
              <w:spacing w:before="120" w:after="120" w:line="240" w:lineRule="auto"/>
              <w:jc w:val="center"/>
              <w:rPr>
                <w:rFonts w:ascii="Times New Roman" w:hAnsi="Times New Roman" w:cs="Times New Roman"/>
                <w:noProof/>
                <w:sz w:val="24"/>
              </w:rPr>
            </w:pPr>
            <w:r>
              <w:rPr>
                <w:rFonts w:ascii="Times New Roman" w:hAnsi="Times New Roman"/>
                <w:b/>
                <w:noProof/>
                <w:sz w:val="18"/>
              </w:rPr>
              <w:t>Iga eesmärgi ja sihi kirjeldus</w:t>
            </w:r>
          </w:p>
        </w:tc>
      </w:tr>
      <w:tr w:rsidR="00D14590" w:rsidRPr="00E02B5D" w14:paraId="075A73C2" w14:textId="77777777" w:rsidTr="00EF74AB">
        <w:trPr>
          <w:trHeight w:val="277"/>
          <w:tblHeader/>
          <w:jc w:val="center"/>
        </w:trPr>
        <w:tc>
          <w:tcPr>
            <w:tcW w:w="1134" w:type="dxa"/>
            <w:vMerge/>
            <w:tcBorders>
              <w:top w:val="single" w:sz="4" w:space="0" w:color="auto"/>
              <w:left w:val="single" w:sz="4" w:space="0" w:color="auto"/>
              <w:bottom w:val="single" w:sz="4" w:space="0" w:color="auto"/>
              <w:right w:val="single" w:sz="4" w:space="0" w:color="auto"/>
            </w:tcBorders>
            <w:vAlign w:val="center"/>
          </w:tcPr>
          <w:p w14:paraId="056F22E6" w14:textId="77777777" w:rsidR="00D14590" w:rsidRPr="00AD4052" w:rsidRDefault="00D14590" w:rsidP="00D14590">
            <w:pPr>
              <w:spacing w:before="120" w:after="120" w:line="240" w:lineRule="auto"/>
              <w:jc w:val="center"/>
              <w:rPr>
                <w:rFonts w:ascii="Times New Roman" w:eastAsia="Times New Roman" w:hAnsi="Times New Roman" w:cs="Times New Roman"/>
                <w:b/>
                <w:bCs/>
                <w:noProof/>
                <w:sz w:val="18"/>
                <w:szCs w:val="18"/>
                <w:lang w:eastAsia="en-GB"/>
              </w:rPr>
            </w:pPr>
          </w:p>
        </w:tc>
        <w:tc>
          <w:tcPr>
            <w:tcW w:w="2078" w:type="dxa"/>
            <w:vMerge/>
            <w:tcBorders>
              <w:left w:val="single" w:sz="4" w:space="0" w:color="auto"/>
              <w:bottom w:val="single" w:sz="4" w:space="0" w:color="auto"/>
              <w:right w:val="single" w:sz="4" w:space="0" w:color="auto"/>
            </w:tcBorders>
            <w:shd w:val="clear" w:color="auto" w:fill="BDD7EE"/>
            <w:vAlign w:val="center"/>
          </w:tcPr>
          <w:p w14:paraId="139A75F9" w14:textId="77777777" w:rsidR="00D14590" w:rsidRPr="00AD4052" w:rsidRDefault="00D14590" w:rsidP="00D14590">
            <w:pPr>
              <w:spacing w:before="120" w:after="120" w:line="240" w:lineRule="auto"/>
              <w:jc w:val="center"/>
              <w:rPr>
                <w:rFonts w:ascii="Times New Roman" w:eastAsia="Times New Roman" w:hAnsi="Times New Roman" w:cs="Times New Roman"/>
                <w:b/>
                <w:bCs/>
                <w:noProof/>
                <w:sz w:val="18"/>
                <w:szCs w:val="18"/>
                <w:lang w:eastAsia="en-GB"/>
              </w:rPr>
            </w:pPr>
          </w:p>
        </w:tc>
        <w:tc>
          <w:tcPr>
            <w:tcW w:w="1007" w:type="dxa"/>
            <w:vMerge/>
            <w:tcBorders>
              <w:left w:val="single" w:sz="4" w:space="0" w:color="auto"/>
              <w:bottom w:val="single" w:sz="4" w:space="0" w:color="auto"/>
              <w:right w:val="single" w:sz="4" w:space="0" w:color="auto"/>
            </w:tcBorders>
            <w:shd w:val="clear" w:color="auto" w:fill="BDD7EE"/>
            <w:vAlign w:val="center"/>
          </w:tcPr>
          <w:p w14:paraId="27AC8F93" w14:textId="77777777" w:rsidR="00D14590" w:rsidRPr="00AD4052" w:rsidRDefault="00D14590" w:rsidP="00D14590">
            <w:pPr>
              <w:spacing w:before="120" w:after="120" w:line="240" w:lineRule="auto"/>
              <w:jc w:val="center"/>
              <w:rPr>
                <w:rFonts w:ascii="Times New Roman" w:eastAsia="Times New Roman" w:hAnsi="Times New Roman" w:cs="Times New Roman"/>
                <w:b/>
                <w:bCs/>
                <w:noProof/>
                <w:sz w:val="18"/>
                <w:szCs w:val="18"/>
                <w:lang w:eastAsia="en-GB"/>
              </w:rPr>
            </w:pPr>
          </w:p>
        </w:tc>
        <w:tc>
          <w:tcPr>
            <w:tcW w:w="1134" w:type="dxa"/>
            <w:vMerge/>
            <w:tcBorders>
              <w:left w:val="single" w:sz="4" w:space="0" w:color="auto"/>
              <w:bottom w:val="single" w:sz="4" w:space="0" w:color="auto"/>
              <w:right w:val="single" w:sz="4" w:space="0" w:color="auto"/>
            </w:tcBorders>
            <w:shd w:val="clear" w:color="auto" w:fill="BDD7EE"/>
            <w:vAlign w:val="center"/>
          </w:tcPr>
          <w:p w14:paraId="220CC422" w14:textId="77777777" w:rsidR="00D14590" w:rsidRPr="00AD4052" w:rsidRDefault="00D14590" w:rsidP="00D14590">
            <w:pPr>
              <w:spacing w:before="120" w:after="120" w:line="240" w:lineRule="auto"/>
              <w:jc w:val="center"/>
              <w:rPr>
                <w:rFonts w:ascii="Times New Roman" w:eastAsia="Times New Roman" w:hAnsi="Times New Roman" w:cs="Times New Roman"/>
                <w:b/>
                <w:bCs/>
                <w:noProof/>
                <w:sz w:val="18"/>
                <w:szCs w:val="18"/>
                <w:lang w:eastAsia="en-GB"/>
              </w:rPr>
            </w:pPr>
          </w:p>
        </w:tc>
        <w:tc>
          <w:tcPr>
            <w:tcW w:w="1305" w:type="dxa"/>
            <w:vMerge/>
            <w:tcBorders>
              <w:left w:val="single" w:sz="4" w:space="0" w:color="auto"/>
              <w:bottom w:val="single" w:sz="4" w:space="0" w:color="auto"/>
              <w:right w:val="single" w:sz="4" w:space="0" w:color="auto"/>
            </w:tcBorders>
            <w:shd w:val="clear" w:color="auto" w:fill="BDD7EE"/>
            <w:vAlign w:val="center"/>
          </w:tcPr>
          <w:p w14:paraId="5ECD1C00" w14:textId="77777777" w:rsidR="00D14590" w:rsidRPr="00AD4052" w:rsidRDefault="00D14590" w:rsidP="00D14590">
            <w:pPr>
              <w:spacing w:before="120" w:after="120" w:line="240" w:lineRule="auto"/>
              <w:jc w:val="center"/>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tcPr>
          <w:p w14:paraId="7DB8090F" w14:textId="77777777" w:rsidR="00D14590" w:rsidRPr="00E02B5D" w:rsidRDefault="00D14590" w:rsidP="00D14590">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050" w:type="dxa"/>
            <w:tcBorders>
              <w:top w:val="single" w:sz="4" w:space="0" w:color="auto"/>
              <w:left w:val="nil"/>
              <w:bottom w:val="single" w:sz="4" w:space="0" w:color="auto"/>
              <w:right w:val="single" w:sz="4" w:space="0" w:color="auto"/>
            </w:tcBorders>
            <w:shd w:val="clear" w:color="auto" w:fill="BDD7EE"/>
            <w:vAlign w:val="center"/>
          </w:tcPr>
          <w:p w14:paraId="18407538" w14:textId="77777777" w:rsidR="00D14590" w:rsidRPr="00E02B5D" w:rsidRDefault="00D14590" w:rsidP="00D14590">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666" w:type="dxa"/>
            <w:tcBorders>
              <w:top w:val="single" w:sz="4" w:space="0" w:color="auto"/>
              <w:left w:val="nil"/>
              <w:bottom w:val="single" w:sz="4" w:space="0" w:color="auto"/>
              <w:right w:val="single" w:sz="4" w:space="0" w:color="auto"/>
            </w:tcBorders>
            <w:shd w:val="clear" w:color="auto" w:fill="BDD7EE"/>
            <w:vAlign w:val="center"/>
          </w:tcPr>
          <w:p w14:paraId="7BDDA70D" w14:textId="77777777" w:rsidR="00D14590" w:rsidRPr="00E02B5D" w:rsidRDefault="00D14590" w:rsidP="00D14590">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921" w:type="dxa"/>
            <w:tcBorders>
              <w:top w:val="single" w:sz="4" w:space="0" w:color="auto"/>
              <w:left w:val="nil"/>
              <w:bottom w:val="single" w:sz="4" w:space="0" w:color="auto"/>
              <w:right w:val="single" w:sz="4" w:space="0" w:color="auto"/>
            </w:tcBorders>
            <w:shd w:val="clear" w:color="auto" w:fill="BDD7EE"/>
            <w:vAlign w:val="center"/>
          </w:tcPr>
          <w:p w14:paraId="015EA965" w14:textId="77777777" w:rsidR="00D14590" w:rsidRPr="00E02B5D" w:rsidRDefault="00D14590" w:rsidP="00D14590">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14:paraId="27952AFC" w14:textId="77777777" w:rsidR="00D14590" w:rsidRPr="00E02B5D" w:rsidRDefault="00D14590" w:rsidP="00D14590">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246" w:type="dxa"/>
            <w:vMerge/>
            <w:tcBorders>
              <w:top w:val="single" w:sz="4" w:space="0" w:color="auto"/>
              <w:bottom w:val="single" w:sz="4" w:space="0" w:color="auto"/>
              <w:right w:val="single" w:sz="4" w:space="0" w:color="auto"/>
            </w:tcBorders>
            <w:vAlign w:val="center"/>
          </w:tcPr>
          <w:p w14:paraId="209ECE3B" w14:textId="77777777" w:rsidR="00D14590" w:rsidRPr="00E02B5D" w:rsidRDefault="00D14590" w:rsidP="00D14590">
            <w:pPr>
              <w:spacing w:before="120" w:after="120" w:line="240" w:lineRule="auto"/>
              <w:jc w:val="center"/>
              <w:rPr>
                <w:rFonts w:ascii="Times New Roman" w:eastAsia="Times New Roman" w:hAnsi="Times New Roman" w:cs="Times New Roman"/>
                <w:b/>
                <w:bCs/>
                <w:noProof/>
                <w:sz w:val="18"/>
                <w:szCs w:val="18"/>
                <w:lang w:val="en-GB" w:eastAsia="en-GB"/>
              </w:rPr>
            </w:pPr>
          </w:p>
        </w:tc>
      </w:tr>
      <w:tr w:rsidR="008B2A13" w:rsidRPr="003B132A" w14:paraId="1B49255A" w14:textId="77777777" w:rsidTr="00EF74AB">
        <w:trPr>
          <w:trHeight w:val="2253"/>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34178BCB" w14:textId="77777777" w:rsidR="008B2A13" w:rsidRPr="00E02B5D" w:rsidRDefault="008B2A13" w:rsidP="00D14590">
            <w:pPr>
              <w:spacing w:after="0" w:line="240" w:lineRule="auto"/>
              <w:rPr>
                <w:rFonts w:ascii="Times New Roman" w:eastAsia="Times New Roman" w:hAnsi="Times New Roman" w:cs="Times New Roman"/>
                <w:noProof/>
                <w:sz w:val="18"/>
                <w:szCs w:val="18"/>
              </w:rPr>
            </w:pPr>
            <w:r>
              <w:rPr>
                <w:noProof/>
                <w:color w:val="006100"/>
                <w:sz w:val="18"/>
              </w:rPr>
              <w:t>352</w:t>
            </w:r>
          </w:p>
        </w:tc>
        <w:tc>
          <w:tcPr>
            <w:tcW w:w="2078" w:type="dxa"/>
            <w:tcBorders>
              <w:top w:val="single" w:sz="4" w:space="0" w:color="auto"/>
              <w:left w:val="nil"/>
              <w:bottom w:val="single" w:sz="4" w:space="0" w:color="auto"/>
              <w:right w:val="single" w:sz="4" w:space="0" w:color="auto"/>
            </w:tcBorders>
            <w:shd w:val="clear" w:color="auto" w:fill="C6EFCE"/>
            <w:noWrap/>
          </w:tcPr>
          <w:p w14:paraId="065AB052" w14:textId="77777777" w:rsidR="008B2A13" w:rsidRPr="00E02B5D" w:rsidRDefault="008B2A13" w:rsidP="00D14590">
            <w:pPr>
              <w:spacing w:after="0" w:line="240" w:lineRule="auto"/>
              <w:rPr>
                <w:rFonts w:eastAsia="Times New Roman" w:cs="Calibri"/>
                <w:noProof/>
                <w:color w:val="006100"/>
                <w:sz w:val="18"/>
                <w:szCs w:val="18"/>
              </w:rPr>
            </w:pPr>
            <w:r>
              <w:rPr>
                <w:noProof/>
                <w:color w:val="006100"/>
                <w:sz w:val="18"/>
              </w:rPr>
              <w:t>20-5.1. REPowerEU reformid – 16989_Maa- ja mereruumi kasutamise optimeerimine taastuvate energiaallikate ja avamere tuuleenergia arendamiseks</w:t>
            </w:r>
          </w:p>
        </w:tc>
        <w:tc>
          <w:tcPr>
            <w:tcW w:w="1007" w:type="dxa"/>
            <w:tcBorders>
              <w:top w:val="single" w:sz="4" w:space="0" w:color="auto"/>
              <w:left w:val="nil"/>
              <w:bottom w:val="single" w:sz="4" w:space="0" w:color="auto"/>
              <w:right w:val="single" w:sz="4" w:space="0" w:color="auto"/>
            </w:tcBorders>
            <w:shd w:val="clear" w:color="auto" w:fill="C6EFCE"/>
            <w:noWrap/>
          </w:tcPr>
          <w:p w14:paraId="602AF325" w14:textId="77777777" w:rsidR="008B2A13" w:rsidRPr="00E02B5D" w:rsidRDefault="008B2A13" w:rsidP="00D14590">
            <w:pPr>
              <w:spacing w:after="0" w:line="240" w:lineRule="auto"/>
              <w:rPr>
                <w:rFonts w:eastAsia="Times New Roman" w:cs="Calibri"/>
                <w:noProof/>
                <w:color w:val="006100"/>
                <w:sz w:val="18"/>
                <w:szCs w:val="18"/>
              </w:rPr>
            </w:pPr>
            <w:r>
              <w:rPr>
                <w:noProof/>
                <w:color w:val="006100"/>
                <w:sz w:val="18"/>
              </w:rPr>
              <w:t>Eesmärk</w:t>
            </w:r>
          </w:p>
        </w:tc>
        <w:tc>
          <w:tcPr>
            <w:tcW w:w="1134" w:type="dxa"/>
            <w:tcBorders>
              <w:top w:val="single" w:sz="4" w:space="0" w:color="auto"/>
              <w:left w:val="nil"/>
              <w:bottom w:val="single" w:sz="4" w:space="0" w:color="auto"/>
              <w:right w:val="single" w:sz="4" w:space="0" w:color="auto"/>
            </w:tcBorders>
            <w:shd w:val="clear" w:color="auto" w:fill="C6EFCE"/>
            <w:noWrap/>
          </w:tcPr>
          <w:p w14:paraId="6ABEC138" w14:textId="77777777" w:rsidR="008B2A13" w:rsidRPr="00E02B5D" w:rsidRDefault="008B2A13" w:rsidP="00D14590">
            <w:pPr>
              <w:spacing w:after="0" w:line="240" w:lineRule="auto"/>
              <w:rPr>
                <w:rFonts w:eastAsia="Times New Roman" w:cs="Calibri"/>
                <w:noProof/>
                <w:color w:val="006100"/>
                <w:sz w:val="18"/>
                <w:szCs w:val="18"/>
              </w:rPr>
            </w:pPr>
            <w:r>
              <w:rPr>
                <w:noProof/>
                <w:color w:val="006100"/>
                <w:sz w:val="18"/>
              </w:rPr>
              <w:t>Avamere tuuleparkide arendamise strateegia vastuvõtmine</w:t>
            </w:r>
          </w:p>
        </w:tc>
        <w:tc>
          <w:tcPr>
            <w:tcW w:w="1305" w:type="dxa"/>
            <w:tcBorders>
              <w:top w:val="single" w:sz="4" w:space="0" w:color="auto"/>
              <w:left w:val="nil"/>
              <w:bottom w:val="single" w:sz="4" w:space="0" w:color="auto"/>
              <w:right w:val="single" w:sz="4" w:space="0" w:color="auto"/>
            </w:tcBorders>
            <w:shd w:val="clear" w:color="auto" w:fill="C6EFCE"/>
            <w:noWrap/>
          </w:tcPr>
          <w:p w14:paraId="330783B8" w14:textId="77777777" w:rsidR="008B2A13" w:rsidRPr="00E02B5D" w:rsidRDefault="008B2A13" w:rsidP="00D14590">
            <w:pPr>
              <w:spacing w:after="120" w:line="240" w:lineRule="auto"/>
              <w:rPr>
                <w:rFonts w:eastAsia="Times New Roman" w:cs="Calibri"/>
                <w:noProof/>
                <w:color w:val="006100"/>
                <w:sz w:val="18"/>
                <w:szCs w:val="18"/>
              </w:rPr>
            </w:pPr>
            <w:r>
              <w:rPr>
                <w:noProof/>
                <w:color w:val="006100"/>
                <w:sz w:val="18"/>
              </w:rPr>
              <w:t>Teisesed õigusaktid on jõustunud</w:t>
            </w:r>
          </w:p>
        </w:tc>
        <w:tc>
          <w:tcPr>
            <w:tcW w:w="992" w:type="dxa"/>
            <w:tcBorders>
              <w:top w:val="nil"/>
              <w:left w:val="nil"/>
              <w:bottom w:val="single" w:sz="4" w:space="0" w:color="auto"/>
              <w:right w:val="single" w:sz="4" w:space="0" w:color="auto"/>
            </w:tcBorders>
            <w:shd w:val="clear" w:color="auto" w:fill="C6EFCE"/>
            <w:noWrap/>
          </w:tcPr>
          <w:p w14:paraId="425505C8" w14:textId="77777777" w:rsidR="008B2A13" w:rsidRPr="00E02B5D" w:rsidRDefault="008B2A13" w:rsidP="00D14590">
            <w:pPr>
              <w:spacing w:after="0" w:line="240" w:lineRule="auto"/>
              <w:rPr>
                <w:rFonts w:ascii="Times New Roman" w:eastAsia="Times New Roman" w:hAnsi="Times New Roman" w:cs="Times New Roman"/>
                <w:noProof/>
                <w:sz w:val="18"/>
                <w:szCs w:val="18"/>
                <w:lang w:val="en-GB" w:eastAsia="en-GB"/>
              </w:rPr>
            </w:pPr>
          </w:p>
        </w:tc>
        <w:tc>
          <w:tcPr>
            <w:tcW w:w="1050" w:type="dxa"/>
            <w:tcBorders>
              <w:top w:val="nil"/>
              <w:left w:val="nil"/>
              <w:bottom w:val="single" w:sz="4" w:space="0" w:color="auto"/>
              <w:right w:val="single" w:sz="4" w:space="0" w:color="auto"/>
            </w:tcBorders>
            <w:shd w:val="clear" w:color="auto" w:fill="C6EFCE"/>
            <w:noWrap/>
          </w:tcPr>
          <w:p w14:paraId="52CB9EA0" w14:textId="77777777" w:rsidR="008B2A13" w:rsidRPr="00E02B5D" w:rsidRDefault="008B2A13" w:rsidP="00D14590">
            <w:pPr>
              <w:spacing w:after="0" w:line="240" w:lineRule="auto"/>
              <w:rPr>
                <w:rFonts w:ascii="Times New Roman" w:eastAsia="Times New Roman" w:hAnsi="Times New Roman" w:cs="Times New Roman"/>
                <w:noProof/>
                <w:sz w:val="18"/>
                <w:szCs w:val="18"/>
                <w:lang w:val="en-GB" w:eastAsia="en-GB"/>
              </w:rPr>
            </w:pPr>
          </w:p>
        </w:tc>
        <w:tc>
          <w:tcPr>
            <w:tcW w:w="666" w:type="dxa"/>
            <w:tcBorders>
              <w:top w:val="nil"/>
              <w:left w:val="nil"/>
              <w:bottom w:val="single" w:sz="4" w:space="0" w:color="auto"/>
              <w:right w:val="single" w:sz="4" w:space="0" w:color="auto"/>
            </w:tcBorders>
            <w:shd w:val="clear" w:color="auto" w:fill="C6EFCE"/>
            <w:noWrap/>
          </w:tcPr>
          <w:p w14:paraId="68913936" w14:textId="77777777" w:rsidR="008B2A13" w:rsidRPr="00E02B5D" w:rsidRDefault="008B2A13" w:rsidP="00D14590">
            <w:pPr>
              <w:spacing w:after="0" w:line="240" w:lineRule="auto"/>
              <w:rPr>
                <w:rFonts w:ascii="Times New Roman" w:eastAsia="Times New Roman" w:hAnsi="Times New Roman" w:cs="Times New Roman"/>
                <w:noProof/>
                <w:sz w:val="18"/>
                <w:szCs w:val="18"/>
                <w:lang w:val="en-GB" w:eastAsia="en-GB"/>
              </w:rPr>
            </w:pPr>
          </w:p>
        </w:tc>
        <w:tc>
          <w:tcPr>
            <w:tcW w:w="931" w:type="dxa"/>
            <w:gridSpan w:val="2"/>
            <w:tcBorders>
              <w:top w:val="nil"/>
              <w:left w:val="nil"/>
              <w:bottom w:val="single" w:sz="4" w:space="0" w:color="auto"/>
              <w:right w:val="single" w:sz="4" w:space="0" w:color="auto"/>
            </w:tcBorders>
            <w:shd w:val="clear" w:color="auto" w:fill="C6EFCE"/>
            <w:noWrap/>
          </w:tcPr>
          <w:p w14:paraId="264CCBB3" w14:textId="77777777" w:rsidR="008B2A13" w:rsidRPr="00E02B5D" w:rsidRDefault="008B2A13" w:rsidP="00D14590">
            <w:pPr>
              <w:spacing w:after="120" w:line="240" w:lineRule="auto"/>
              <w:rPr>
                <w:rFonts w:eastAsia="Times New Roman"/>
                <w:noProof/>
                <w:color w:val="006100"/>
                <w:sz w:val="18"/>
                <w:szCs w:val="18"/>
              </w:rPr>
            </w:pPr>
            <w:r>
              <w:rPr>
                <w:noProof/>
                <w:color w:val="006100"/>
                <w:sz w:val="18"/>
              </w:rPr>
              <w:t>2. kv</w:t>
            </w:r>
          </w:p>
        </w:tc>
        <w:tc>
          <w:tcPr>
            <w:tcW w:w="911" w:type="dxa"/>
            <w:tcBorders>
              <w:top w:val="nil"/>
              <w:left w:val="nil"/>
              <w:bottom w:val="single" w:sz="4" w:space="0" w:color="auto"/>
              <w:right w:val="single" w:sz="4" w:space="0" w:color="auto"/>
            </w:tcBorders>
            <w:shd w:val="clear" w:color="auto" w:fill="C6EFCE"/>
            <w:noWrap/>
          </w:tcPr>
          <w:p w14:paraId="6B2F47E6" w14:textId="77777777" w:rsidR="008B2A13" w:rsidRPr="00E02B5D" w:rsidRDefault="008B2A13" w:rsidP="00D14590">
            <w:pPr>
              <w:spacing w:after="120" w:line="240" w:lineRule="auto"/>
              <w:rPr>
                <w:rFonts w:eastAsia="Times New Roman"/>
                <w:noProof/>
                <w:color w:val="006100"/>
                <w:sz w:val="18"/>
                <w:szCs w:val="18"/>
              </w:rPr>
            </w:pPr>
            <w:r>
              <w:rPr>
                <w:noProof/>
                <w:color w:val="006100"/>
                <w:sz w:val="18"/>
              </w:rPr>
              <w:t>2024</w:t>
            </w:r>
          </w:p>
        </w:tc>
        <w:tc>
          <w:tcPr>
            <w:tcW w:w="3246" w:type="dxa"/>
            <w:tcBorders>
              <w:top w:val="single" w:sz="4" w:space="0" w:color="auto"/>
              <w:left w:val="nil"/>
              <w:bottom w:val="single" w:sz="4" w:space="0" w:color="auto"/>
              <w:right w:val="single" w:sz="4" w:space="0" w:color="auto"/>
            </w:tcBorders>
            <w:shd w:val="clear" w:color="auto" w:fill="C6EFCE"/>
            <w:noWrap/>
          </w:tcPr>
          <w:p w14:paraId="0FE63366" w14:textId="77777777" w:rsidR="008B2A13" w:rsidRPr="00E02B5D" w:rsidRDefault="008B2A13" w:rsidP="00D14590">
            <w:pPr>
              <w:spacing w:after="0" w:line="240" w:lineRule="auto"/>
              <w:rPr>
                <w:rFonts w:eastAsia="Times New Roman" w:cs="Calibri"/>
                <w:noProof/>
                <w:color w:val="006100"/>
                <w:sz w:val="18"/>
                <w:szCs w:val="18"/>
              </w:rPr>
            </w:pPr>
            <w:r>
              <w:rPr>
                <w:noProof/>
                <w:color w:val="006100"/>
                <w:sz w:val="18"/>
              </w:rPr>
              <w:t>Meretuuleparke käsitlevas seaduses 4964/2022 sätestatud teiseste õigusaktide jõustumine. Eelkõige:</w:t>
            </w:r>
          </w:p>
          <w:p w14:paraId="0D4E98D0" w14:textId="77777777" w:rsidR="008B2A13" w:rsidRPr="00E02B5D" w:rsidRDefault="008B2A13" w:rsidP="00DE1EE5">
            <w:pPr>
              <w:pStyle w:val="ListParagraph"/>
              <w:numPr>
                <w:ilvl w:val="0"/>
                <w:numId w:val="74"/>
              </w:numPr>
              <w:rPr>
                <w:rFonts w:eastAsia="Times New Roman" w:cs="Calibri"/>
                <w:noProof/>
                <w:color w:val="006100"/>
                <w:sz w:val="18"/>
                <w:szCs w:val="18"/>
              </w:rPr>
            </w:pPr>
            <w:r>
              <w:rPr>
                <w:noProof/>
                <w:color w:val="006100"/>
                <w:sz w:val="18"/>
              </w:rPr>
              <w:t>Jõustub ministrite ühisotsus, millega võetakse vastu avamere tuulepargi riiklik arendusprogramm, millega määratakse kindlaks Kreeka territoriaalvetes asuvad merealad, mis sobivad avamere tuuleenergia tootmiseks, ning millega kaasneb kindlaksmääratud alade keskkonnamõju strateegiline hindamine.</w:t>
            </w:r>
          </w:p>
        </w:tc>
      </w:tr>
      <w:tr w:rsidR="008B2A13" w:rsidRPr="003B132A" w14:paraId="0AEE00AE" w14:textId="77777777" w:rsidTr="00EF74AB">
        <w:trPr>
          <w:jc w:val="center"/>
        </w:trPr>
        <w:tc>
          <w:tcPr>
            <w:tcW w:w="1134" w:type="dxa"/>
            <w:tcBorders>
              <w:top w:val="nil"/>
              <w:left w:val="single" w:sz="4" w:space="0" w:color="auto"/>
              <w:bottom w:val="single" w:sz="4" w:space="0" w:color="auto"/>
              <w:right w:val="single" w:sz="4" w:space="0" w:color="auto"/>
            </w:tcBorders>
            <w:shd w:val="clear" w:color="auto" w:fill="C6EFCE"/>
            <w:noWrap/>
          </w:tcPr>
          <w:p w14:paraId="602AB39A" w14:textId="77777777" w:rsidR="008B2A13" w:rsidRPr="00E02B5D" w:rsidRDefault="008B2A13" w:rsidP="00D14590">
            <w:pPr>
              <w:spacing w:after="0" w:line="240" w:lineRule="auto"/>
              <w:rPr>
                <w:rFonts w:eastAsia="Times New Roman" w:cs="Calibri"/>
                <w:noProof/>
                <w:color w:val="006100"/>
                <w:sz w:val="18"/>
                <w:szCs w:val="18"/>
              </w:rPr>
            </w:pPr>
            <w:r>
              <w:rPr>
                <w:noProof/>
                <w:color w:val="006100"/>
                <w:sz w:val="18"/>
              </w:rPr>
              <w:t>353</w:t>
            </w:r>
          </w:p>
        </w:tc>
        <w:tc>
          <w:tcPr>
            <w:tcW w:w="2078" w:type="dxa"/>
            <w:tcBorders>
              <w:top w:val="nil"/>
              <w:left w:val="nil"/>
              <w:bottom w:val="single" w:sz="4" w:space="0" w:color="auto"/>
              <w:right w:val="single" w:sz="4" w:space="0" w:color="auto"/>
            </w:tcBorders>
            <w:shd w:val="clear" w:color="auto" w:fill="C6EFCE"/>
            <w:noWrap/>
          </w:tcPr>
          <w:p w14:paraId="613906D7" w14:textId="77777777" w:rsidR="008B2A13" w:rsidRPr="00E02B5D" w:rsidRDefault="008B2A13" w:rsidP="00D14590">
            <w:pPr>
              <w:spacing w:after="120" w:line="240" w:lineRule="auto"/>
              <w:rPr>
                <w:rFonts w:ascii="Times New Roman" w:hAnsi="Times New Roman" w:cs="Times New Roman"/>
                <w:noProof/>
                <w:sz w:val="24"/>
                <w:szCs w:val="24"/>
              </w:rPr>
            </w:pPr>
            <w:r>
              <w:rPr>
                <w:noProof/>
                <w:color w:val="006100"/>
                <w:sz w:val="18"/>
              </w:rPr>
              <w:t>20-5.1. REPowerEU reformid – 16989_Maa- ja mereruumi kasutamise optimeerimine taastuvate energiaallikate ja avamere tuuleenergia arendamiseks</w:t>
            </w:r>
          </w:p>
        </w:tc>
        <w:tc>
          <w:tcPr>
            <w:tcW w:w="1007" w:type="dxa"/>
            <w:tcBorders>
              <w:top w:val="nil"/>
              <w:left w:val="nil"/>
              <w:bottom w:val="single" w:sz="4" w:space="0" w:color="auto"/>
              <w:right w:val="single" w:sz="4" w:space="0" w:color="auto"/>
            </w:tcBorders>
            <w:shd w:val="clear" w:color="auto" w:fill="C6EFCE"/>
            <w:noWrap/>
          </w:tcPr>
          <w:p w14:paraId="63C85586" w14:textId="77777777" w:rsidR="008B2A13" w:rsidRPr="00E02B5D" w:rsidRDefault="008B2A13" w:rsidP="00D14590">
            <w:pPr>
              <w:spacing w:after="120" w:line="240" w:lineRule="auto"/>
              <w:rPr>
                <w:rFonts w:ascii="Times New Roman" w:hAnsi="Times New Roman" w:cs="Times New Roman"/>
                <w:noProof/>
                <w:sz w:val="24"/>
              </w:rPr>
            </w:pPr>
            <w:r>
              <w:rPr>
                <w:noProof/>
                <w:color w:val="006100"/>
                <w:sz w:val="18"/>
              </w:rPr>
              <w:t>Eesmärk</w:t>
            </w:r>
          </w:p>
        </w:tc>
        <w:tc>
          <w:tcPr>
            <w:tcW w:w="1134" w:type="dxa"/>
            <w:tcBorders>
              <w:top w:val="nil"/>
              <w:left w:val="nil"/>
              <w:bottom w:val="single" w:sz="4" w:space="0" w:color="auto"/>
              <w:right w:val="single" w:sz="4" w:space="0" w:color="auto"/>
            </w:tcBorders>
            <w:shd w:val="clear" w:color="auto" w:fill="C6EFCE"/>
            <w:noWrap/>
          </w:tcPr>
          <w:p w14:paraId="1785D358" w14:textId="77777777" w:rsidR="008B2A13" w:rsidRPr="00E02B5D" w:rsidRDefault="008B2A13" w:rsidP="00D14590">
            <w:pPr>
              <w:spacing w:after="0" w:line="240" w:lineRule="auto"/>
              <w:rPr>
                <w:rFonts w:eastAsia="Times New Roman"/>
                <w:noProof/>
                <w:color w:val="006100"/>
                <w:sz w:val="18"/>
                <w:szCs w:val="18"/>
              </w:rPr>
            </w:pPr>
            <w:r>
              <w:rPr>
                <w:noProof/>
                <w:color w:val="006100"/>
                <w:sz w:val="18"/>
              </w:rPr>
              <w:t>Uuring, et teha kindlaks optimaalsed valdkonnad taastuvate energiaallikate arendamiseks ja</w:t>
            </w:r>
          </w:p>
          <w:p w14:paraId="04098C66" w14:textId="77777777" w:rsidR="008B2A13" w:rsidRPr="00E02B5D" w:rsidRDefault="008B2A13" w:rsidP="00D14590">
            <w:pPr>
              <w:spacing w:after="0" w:line="240" w:lineRule="auto"/>
              <w:rPr>
                <w:rFonts w:eastAsia="Times New Roman"/>
                <w:noProof/>
                <w:color w:val="006100"/>
                <w:sz w:val="18"/>
                <w:szCs w:val="18"/>
              </w:rPr>
            </w:pPr>
            <w:r>
              <w:rPr>
                <w:noProof/>
                <w:color w:val="006100"/>
                <w:sz w:val="18"/>
              </w:rPr>
              <w:t>Põllumajanduslikuks kasutamiseks ja fotogalvaanilise päikeseenergia tootmiseks kasutatava maa kahesugust kasutamist käsitleva poliitikaraamistiku jõustumine</w:t>
            </w:r>
          </w:p>
        </w:tc>
        <w:tc>
          <w:tcPr>
            <w:tcW w:w="1305" w:type="dxa"/>
            <w:tcBorders>
              <w:top w:val="nil"/>
              <w:left w:val="nil"/>
              <w:bottom w:val="single" w:sz="4" w:space="0" w:color="auto"/>
              <w:right w:val="single" w:sz="4" w:space="0" w:color="auto"/>
            </w:tcBorders>
            <w:shd w:val="clear" w:color="auto" w:fill="C6EFCE"/>
            <w:noWrap/>
          </w:tcPr>
          <w:p w14:paraId="7D5BC5B8" w14:textId="77777777" w:rsidR="008B2A13" w:rsidRPr="00E02B5D" w:rsidRDefault="008B2A13" w:rsidP="00D14590">
            <w:pPr>
              <w:spacing w:after="120" w:line="240" w:lineRule="auto"/>
              <w:rPr>
                <w:rFonts w:eastAsia="Times New Roman" w:cs="Calibri"/>
                <w:noProof/>
                <w:color w:val="006100"/>
                <w:sz w:val="18"/>
                <w:szCs w:val="18"/>
              </w:rPr>
            </w:pPr>
            <w:r>
              <w:rPr>
                <w:noProof/>
                <w:color w:val="006100"/>
                <w:sz w:val="18"/>
              </w:rPr>
              <w:t>Õigusaktide jõustumine</w:t>
            </w:r>
          </w:p>
          <w:p w14:paraId="44BD2B8A" w14:textId="77777777" w:rsidR="008B2A13" w:rsidRPr="00E02B5D" w:rsidRDefault="008B2A13" w:rsidP="00D14590">
            <w:pPr>
              <w:spacing w:after="120" w:line="240" w:lineRule="auto"/>
              <w:rPr>
                <w:rFonts w:eastAsia="Times New Roman"/>
                <w:noProof/>
                <w:color w:val="006100"/>
                <w:sz w:val="18"/>
                <w:szCs w:val="18"/>
                <w:highlight w:val="yellow"/>
                <w:lang w:val="en-GB" w:eastAsia="en-GB"/>
              </w:rPr>
            </w:pPr>
          </w:p>
        </w:tc>
        <w:tc>
          <w:tcPr>
            <w:tcW w:w="992" w:type="dxa"/>
            <w:tcBorders>
              <w:top w:val="nil"/>
              <w:left w:val="nil"/>
              <w:bottom w:val="single" w:sz="4" w:space="0" w:color="auto"/>
              <w:right w:val="single" w:sz="4" w:space="0" w:color="auto"/>
            </w:tcBorders>
            <w:shd w:val="clear" w:color="auto" w:fill="C6EFCE"/>
            <w:noWrap/>
          </w:tcPr>
          <w:p w14:paraId="283C252D" w14:textId="77777777" w:rsidR="008B2A13" w:rsidRPr="00E02B5D" w:rsidRDefault="008B2A13" w:rsidP="00D14590">
            <w:pPr>
              <w:spacing w:after="0" w:line="240" w:lineRule="auto"/>
              <w:rPr>
                <w:rFonts w:eastAsia="Times New Roman" w:cs="Calibri"/>
                <w:noProof/>
                <w:color w:val="006100"/>
                <w:sz w:val="18"/>
                <w:szCs w:val="18"/>
                <w:lang w:val="en-GB" w:eastAsia="en-GB"/>
              </w:rPr>
            </w:pPr>
          </w:p>
        </w:tc>
        <w:tc>
          <w:tcPr>
            <w:tcW w:w="1050" w:type="dxa"/>
            <w:tcBorders>
              <w:top w:val="nil"/>
              <w:left w:val="nil"/>
              <w:bottom w:val="single" w:sz="4" w:space="0" w:color="auto"/>
              <w:right w:val="single" w:sz="4" w:space="0" w:color="auto"/>
            </w:tcBorders>
            <w:shd w:val="clear" w:color="auto" w:fill="C6EFCE"/>
            <w:noWrap/>
          </w:tcPr>
          <w:p w14:paraId="266AF33C" w14:textId="77777777" w:rsidR="008B2A13" w:rsidRPr="00E02B5D" w:rsidRDefault="008B2A13" w:rsidP="00D14590">
            <w:pPr>
              <w:spacing w:after="0" w:line="240" w:lineRule="auto"/>
              <w:rPr>
                <w:rFonts w:eastAsia="Times New Roman" w:cs="Calibri"/>
                <w:noProof/>
                <w:color w:val="006100"/>
                <w:sz w:val="18"/>
                <w:szCs w:val="18"/>
                <w:lang w:val="en-GB" w:eastAsia="en-GB"/>
              </w:rPr>
            </w:pPr>
          </w:p>
        </w:tc>
        <w:tc>
          <w:tcPr>
            <w:tcW w:w="666" w:type="dxa"/>
            <w:tcBorders>
              <w:top w:val="nil"/>
              <w:left w:val="nil"/>
              <w:bottom w:val="single" w:sz="4" w:space="0" w:color="auto"/>
              <w:right w:val="single" w:sz="4" w:space="0" w:color="auto"/>
            </w:tcBorders>
            <w:shd w:val="clear" w:color="auto" w:fill="C6EFCE"/>
            <w:noWrap/>
          </w:tcPr>
          <w:p w14:paraId="70020E00" w14:textId="77777777" w:rsidR="008B2A13" w:rsidRPr="00E02B5D" w:rsidRDefault="008B2A13" w:rsidP="00D14590">
            <w:pPr>
              <w:spacing w:after="0" w:line="240" w:lineRule="auto"/>
              <w:rPr>
                <w:rFonts w:eastAsia="Times New Roman" w:cs="Calibri"/>
                <w:noProof/>
                <w:color w:val="006100"/>
                <w:sz w:val="18"/>
                <w:szCs w:val="18"/>
                <w:lang w:val="en-GB" w:eastAsia="en-GB"/>
              </w:rPr>
            </w:pPr>
          </w:p>
        </w:tc>
        <w:tc>
          <w:tcPr>
            <w:tcW w:w="931" w:type="dxa"/>
            <w:gridSpan w:val="2"/>
            <w:tcBorders>
              <w:top w:val="nil"/>
              <w:left w:val="nil"/>
              <w:bottom w:val="single" w:sz="4" w:space="0" w:color="auto"/>
              <w:right w:val="single" w:sz="4" w:space="0" w:color="auto"/>
            </w:tcBorders>
            <w:shd w:val="clear" w:color="auto" w:fill="C6EFCE"/>
            <w:noWrap/>
          </w:tcPr>
          <w:p w14:paraId="19E0019A" w14:textId="77777777" w:rsidR="008B2A13" w:rsidRPr="00E02B5D" w:rsidRDefault="008B2A13" w:rsidP="00D14590">
            <w:pPr>
              <w:spacing w:after="120" w:line="240" w:lineRule="auto"/>
              <w:rPr>
                <w:rFonts w:eastAsia="Times New Roman"/>
                <w:noProof/>
                <w:color w:val="006100"/>
                <w:sz w:val="18"/>
                <w:szCs w:val="18"/>
              </w:rPr>
            </w:pPr>
            <w:r>
              <w:rPr>
                <w:noProof/>
                <w:color w:val="006100"/>
                <w:sz w:val="18"/>
              </w:rPr>
              <w:t>4. kv</w:t>
            </w:r>
          </w:p>
        </w:tc>
        <w:tc>
          <w:tcPr>
            <w:tcW w:w="911" w:type="dxa"/>
            <w:tcBorders>
              <w:top w:val="nil"/>
              <w:left w:val="nil"/>
              <w:bottom w:val="single" w:sz="4" w:space="0" w:color="auto"/>
              <w:right w:val="single" w:sz="4" w:space="0" w:color="auto"/>
            </w:tcBorders>
            <w:shd w:val="clear" w:color="auto" w:fill="C6EFCE"/>
            <w:noWrap/>
          </w:tcPr>
          <w:p w14:paraId="41AA1E21" w14:textId="77777777" w:rsidR="008B2A13" w:rsidRPr="00E02B5D" w:rsidRDefault="008B2A13" w:rsidP="00D14590">
            <w:pPr>
              <w:spacing w:after="120" w:line="240" w:lineRule="auto"/>
              <w:rPr>
                <w:rFonts w:eastAsia="Times New Roman"/>
                <w:noProof/>
                <w:color w:val="006100"/>
                <w:sz w:val="18"/>
                <w:szCs w:val="18"/>
              </w:rPr>
            </w:pPr>
            <w:r>
              <w:rPr>
                <w:noProof/>
                <w:color w:val="006100"/>
                <w:sz w:val="18"/>
              </w:rPr>
              <w:t>2024</w:t>
            </w:r>
          </w:p>
        </w:tc>
        <w:tc>
          <w:tcPr>
            <w:tcW w:w="3246" w:type="dxa"/>
            <w:tcBorders>
              <w:top w:val="nil"/>
              <w:left w:val="nil"/>
              <w:bottom w:val="single" w:sz="4" w:space="0" w:color="auto"/>
              <w:right w:val="single" w:sz="4" w:space="0" w:color="auto"/>
            </w:tcBorders>
            <w:shd w:val="clear" w:color="auto" w:fill="C6EFCE"/>
            <w:noWrap/>
          </w:tcPr>
          <w:p w14:paraId="36529FC5" w14:textId="77777777" w:rsidR="008B2A13" w:rsidRPr="00E02B5D" w:rsidRDefault="008B2A13" w:rsidP="00D14590">
            <w:pPr>
              <w:spacing w:after="120" w:line="240" w:lineRule="auto"/>
              <w:rPr>
                <w:rFonts w:eastAsia="Times New Roman" w:cs="Calibri"/>
                <w:noProof/>
                <w:color w:val="006100"/>
                <w:sz w:val="18"/>
                <w:szCs w:val="18"/>
              </w:rPr>
            </w:pPr>
            <w:r>
              <w:rPr>
                <w:noProof/>
                <w:color w:val="006100"/>
                <w:sz w:val="18"/>
              </w:rPr>
              <w:t xml:space="preserve">Uuringu toetamiseks vastu võetud teiseste õigusaktide jõustumine, milles võetakse arvesse olemasolevat taastuvate energiaallikate potentsiaali, olemasolevate taastuvenergiaüksuste geograafilist jaotust ja tulevaste üksuste litsentse, ruumilisi piiranguid, võrgu ja süsteemi kättesaadavust ning muid tegureid, mis on seotud nii energia kui ka kosmosega seotud kriteeriumidega. Uuringu eesmärk on teha kindlaks optimaalsed alad, kus taastuvenergia ühikud peaksid asuma, et saada võimalikult suurt kasu nii energiasektorile kui ka ühiskonnale, sealhulgas soovitused selle kohta, kuidas stimuleerida sellealast poliitilist raamistikku. Uuringus määratakse kindlaks esimene alade kogum, mida kasutatakse taastuvate energiaallikate kiirendusalade hilisemaks määratlemiseks Kreekas. Samuti viiakse läbi nende alade keskkonnamõju strateegiline hindamine. </w:t>
            </w:r>
          </w:p>
          <w:p w14:paraId="1AC822DC" w14:textId="77777777" w:rsidR="008B2A13" w:rsidRPr="00E02B5D" w:rsidRDefault="008B2A13" w:rsidP="00D14590">
            <w:pPr>
              <w:spacing w:after="120" w:line="240" w:lineRule="auto"/>
              <w:rPr>
                <w:rFonts w:eastAsia="Times New Roman" w:cs="Calibri"/>
                <w:noProof/>
                <w:color w:val="006100"/>
                <w:sz w:val="18"/>
                <w:szCs w:val="18"/>
              </w:rPr>
            </w:pPr>
            <w:r>
              <w:rPr>
                <w:noProof/>
                <w:color w:val="006100"/>
                <w:sz w:val="18"/>
              </w:rPr>
              <w:t>Selliste õigusaktide jõustumine, millega luuakse poliitikaraamistik maa kahesuguseks kasutamiseks põllumajanduses ja fotogalvaanilise päikeseenergia tootmiseks. Poliitikaraamistikus määratakse kindlaks agrofotogalvaanika rakendamiseks sobivad kohad, konkreetsed meetmed põllumajanduslike fotoelektriliste toodete edendamiseks ning eeskirjad maa topeltkasutuse ja agroPVsi projektide rakendamise kohta.</w:t>
            </w:r>
          </w:p>
        </w:tc>
      </w:tr>
      <w:tr w:rsidR="008B2A13" w:rsidRPr="003B132A" w14:paraId="4919A233" w14:textId="77777777" w:rsidTr="00EF74AB">
        <w:trPr>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79CD3DF" w14:textId="77777777" w:rsidR="008B2A13" w:rsidRPr="00E02B5D" w:rsidRDefault="008B2A13" w:rsidP="00D14590">
            <w:pPr>
              <w:spacing w:after="0" w:line="240" w:lineRule="auto"/>
              <w:rPr>
                <w:rFonts w:ascii="Times New Roman" w:hAnsi="Times New Roman" w:cs="Times New Roman"/>
                <w:noProof/>
                <w:sz w:val="24"/>
              </w:rPr>
            </w:pPr>
            <w:r>
              <w:rPr>
                <w:noProof/>
                <w:color w:val="006100"/>
                <w:sz w:val="18"/>
              </w:rPr>
              <w:t>354</w:t>
            </w:r>
          </w:p>
        </w:tc>
        <w:tc>
          <w:tcPr>
            <w:tcW w:w="2078" w:type="dxa"/>
            <w:tcBorders>
              <w:top w:val="single" w:sz="4" w:space="0" w:color="auto"/>
              <w:left w:val="nil"/>
              <w:bottom w:val="single" w:sz="4" w:space="0" w:color="auto"/>
              <w:right w:val="single" w:sz="4" w:space="0" w:color="auto"/>
            </w:tcBorders>
            <w:shd w:val="clear" w:color="auto" w:fill="C6EFCE"/>
            <w:noWrap/>
          </w:tcPr>
          <w:p w14:paraId="067908DA" w14:textId="77777777" w:rsidR="008B2A13" w:rsidRPr="00E02B5D" w:rsidRDefault="008B2A13" w:rsidP="00D14590">
            <w:pPr>
              <w:spacing w:after="120" w:line="240" w:lineRule="auto"/>
              <w:rPr>
                <w:rFonts w:ascii="Times New Roman" w:hAnsi="Times New Roman" w:cs="Times New Roman"/>
                <w:noProof/>
                <w:sz w:val="24"/>
                <w:szCs w:val="24"/>
              </w:rPr>
            </w:pPr>
            <w:r>
              <w:rPr>
                <w:noProof/>
                <w:color w:val="006100"/>
                <w:sz w:val="18"/>
              </w:rPr>
              <w:t>20-5.1. REPowerEU reformid – 16989_Maa- ja mereruumi kasutamise optimeerimine taastuvate energiaallikate ja avamere tuuleenergia arendamiseks</w:t>
            </w:r>
          </w:p>
        </w:tc>
        <w:tc>
          <w:tcPr>
            <w:tcW w:w="1007" w:type="dxa"/>
            <w:tcBorders>
              <w:top w:val="single" w:sz="4" w:space="0" w:color="auto"/>
              <w:left w:val="nil"/>
              <w:bottom w:val="single" w:sz="4" w:space="0" w:color="auto"/>
              <w:right w:val="single" w:sz="4" w:space="0" w:color="auto"/>
            </w:tcBorders>
            <w:shd w:val="clear" w:color="auto" w:fill="C6EFCE"/>
            <w:noWrap/>
          </w:tcPr>
          <w:p w14:paraId="6C5549D1" w14:textId="77777777" w:rsidR="008B2A13" w:rsidRPr="00E02B5D" w:rsidRDefault="008B2A13" w:rsidP="00D14590">
            <w:pPr>
              <w:spacing w:after="120" w:line="240" w:lineRule="auto"/>
              <w:rPr>
                <w:rFonts w:ascii="Times New Roman" w:hAnsi="Times New Roman" w:cs="Times New Roman"/>
                <w:noProof/>
                <w:sz w:val="24"/>
              </w:rPr>
            </w:pPr>
            <w:r>
              <w:rPr>
                <w:noProof/>
                <w:color w:val="006100"/>
                <w:sz w:val="18"/>
              </w:rPr>
              <w:t>Eesmärk</w:t>
            </w:r>
          </w:p>
        </w:tc>
        <w:tc>
          <w:tcPr>
            <w:tcW w:w="1134" w:type="dxa"/>
            <w:tcBorders>
              <w:top w:val="single" w:sz="4" w:space="0" w:color="auto"/>
              <w:left w:val="nil"/>
              <w:bottom w:val="single" w:sz="4" w:space="0" w:color="auto"/>
              <w:right w:val="single" w:sz="4" w:space="0" w:color="auto"/>
            </w:tcBorders>
            <w:shd w:val="clear" w:color="auto" w:fill="C6EFCE"/>
            <w:noWrap/>
          </w:tcPr>
          <w:p w14:paraId="1EFDC0BA" w14:textId="77777777" w:rsidR="008B2A13" w:rsidRPr="00E02B5D" w:rsidRDefault="008B2A13" w:rsidP="00D14590">
            <w:pPr>
              <w:spacing w:after="120" w:line="240" w:lineRule="auto"/>
              <w:rPr>
                <w:rFonts w:eastAsia="Times New Roman" w:cs="Calibri"/>
                <w:noProof/>
                <w:color w:val="006100"/>
                <w:sz w:val="18"/>
                <w:szCs w:val="18"/>
              </w:rPr>
            </w:pPr>
            <w:r>
              <w:rPr>
                <w:noProof/>
                <w:color w:val="006100"/>
                <w:sz w:val="18"/>
              </w:rPr>
              <w:t>Jõustub presidendi dekreet, millega määratakse avamere tuuleenergia projektide jaoks esimene rühm alasid</w:t>
            </w:r>
          </w:p>
        </w:tc>
        <w:tc>
          <w:tcPr>
            <w:tcW w:w="1305" w:type="dxa"/>
            <w:tcBorders>
              <w:top w:val="single" w:sz="4" w:space="0" w:color="auto"/>
              <w:left w:val="nil"/>
              <w:bottom w:val="single" w:sz="4" w:space="0" w:color="auto"/>
              <w:right w:val="single" w:sz="4" w:space="0" w:color="auto"/>
            </w:tcBorders>
            <w:shd w:val="clear" w:color="auto" w:fill="C6EFCE"/>
            <w:noWrap/>
          </w:tcPr>
          <w:p w14:paraId="07D76555" w14:textId="77777777" w:rsidR="008B2A13" w:rsidRPr="00E02B5D" w:rsidRDefault="008B2A13" w:rsidP="00D14590">
            <w:pPr>
              <w:spacing w:after="120" w:line="240" w:lineRule="auto"/>
              <w:rPr>
                <w:rFonts w:ascii="Times New Roman" w:hAnsi="Times New Roman" w:cs="Times New Roman"/>
                <w:noProof/>
                <w:sz w:val="24"/>
              </w:rPr>
            </w:pPr>
            <w:r>
              <w:rPr>
                <w:noProof/>
                <w:color w:val="006100"/>
                <w:sz w:val="18"/>
              </w:rPr>
              <w:t>Presidendi dekreedi vastuvõtmine ja jõustumine</w:t>
            </w:r>
          </w:p>
        </w:tc>
        <w:tc>
          <w:tcPr>
            <w:tcW w:w="992" w:type="dxa"/>
            <w:tcBorders>
              <w:top w:val="single" w:sz="4" w:space="0" w:color="auto"/>
              <w:left w:val="nil"/>
              <w:bottom w:val="single" w:sz="4" w:space="0" w:color="auto"/>
              <w:right w:val="single" w:sz="4" w:space="0" w:color="auto"/>
            </w:tcBorders>
            <w:shd w:val="clear" w:color="auto" w:fill="C6EFCE"/>
            <w:noWrap/>
          </w:tcPr>
          <w:p w14:paraId="6D572579" w14:textId="77777777" w:rsidR="008B2A13" w:rsidRPr="00AD4052" w:rsidRDefault="008B2A13" w:rsidP="00D14590">
            <w:pPr>
              <w:spacing w:after="120" w:line="240" w:lineRule="auto"/>
              <w:rPr>
                <w:rFonts w:ascii="Times New Roman" w:hAnsi="Times New Roman" w:cs="Times New Roman"/>
                <w:noProof/>
                <w:sz w:val="24"/>
                <w:lang w:val="it-IT"/>
              </w:rPr>
            </w:pPr>
          </w:p>
        </w:tc>
        <w:tc>
          <w:tcPr>
            <w:tcW w:w="1050" w:type="dxa"/>
            <w:tcBorders>
              <w:top w:val="single" w:sz="4" w:space="0" w:color="auto"/>
              <w:left w:val="nil"/>
              <w:bottom w:val="single" w:sz="4" w:space="0" w:color="auto"/>
              <w:right w:val="single" w:sz="4" w:space="0" w:color="auto"/>
            </w:tcBorders>
            <w:shd w:val="clear" w:color="auto" w:fill="C6EFCE"/>
            <w:noWrap/>
          </w:tcPr>
          <w:p w14:paraId="43458A9E" w14:textId="77777777" w:rsidR="008B2A13" w:rsidRPr="00AD4052" w:rsidRDefault="008B2A13" w:rsidP="00D14590">
            <w:pPr>
              <w:spacing w:after="120" w:line="240" w:lineRule="auto"/>
              <w:rPr>
                <w:rFonts w:ascii="Times New Roman" w:hAnsi="Times New Roman" w:cs="Times New Roman"/>
                <w:noProof/>
                <w:sz w:val="24"/>
                <w:lang w:val="it-IT"/>
              </w:rPr>
            </w:pPr>
          </w:p>
        </w:tc>
        <w:tc>
          <w:tcPr>
            <w:tcW w:w="666" w:type="dxa"/>
            <w:tcBorders>
              <w:top w:val="single" w:sz="4" w:space="0" w:color="auto"/>
              <w:left w:val="nil"/>
              <w:bottom w:val="single" w:sz="4" w:space="0" w:color="auto"/>
              <w:right w:val="single" w:sz="4" w:space="0" w:color="auto"/>
            </w:tcBorders>
            <w:shd w:val="clear" w:color="auto" w:fill="C6EFCE"/>
            <w:noWrap/>
          </w:tcPr>
          <w:p w14:paraId="5DE3AC62" w14:textId="77777777" w:rsidR="008B2A13" w:rsidRPr="00AD4052" w:rsidRDefault="008B2A13" w:rsidP="00D14590">
            <w:pPr>
              <w:spacing w:after="120" w:line="240" w:lineRule="auto"/>
              <w:rPr>
                <w:rFonts w:ascii="Times New Roman" w:hAnsi="Times New Roman" w:cs="Times New Roman"/>
                <w:noProof/>
                <w:sz w:val="24"/>
                <w:lang w:val="it-IT"/>
              </w:rPr>
            </w:pPr>
          </w:p>
        </w:tc>
        <w:tc>
          <w:tcPr>
            <w:tcW w:w="931" w:type="dxa"/>
            <w:gridSpan w:val="2"/>
            <w:tcBorders>
              <w:top w:val="single" w:sz="4" w:space="0" w:color="auto"/>
              <w:left w:val="nil"/>
              <w:bottom w:val="single" w:sz="4" w:space="0" w:color="auto"/>
              <w:right w:val="single" w:sz="4" w:space="0" w:color="auto"/>
            </w:tcBorders>
            <w:shd w:val="clear" w:color="auto" w:fill="C6EFCE"/>
            <w:noWrap/>
          </w:tcPr>
          <w:p w14:paraId="02591568" w14:textId="77777777" w:rsidR="008B2A13" w:rsidRPr="00E02B5D" w:rsidRDefault="008B2A13" w:rsidP="00D14590">
            <w:pPr>
              <w:spacing w:after="120" w:line="240" w:lineRule="auto"/>
              <w:rPr>
                <w:rFonts w:eastAsia="Times New Roman"/>
                <w:noProof/>
                <w:color w:val="006100"/>
                <w:sz w:val="18"/>
                <w:szCs w:val="18"/>
              </w:rPr>
            </w:pPr>
            <w:r>
              <w:rPr>
                <w:noProof/>
                <w:color w:val="006100"/>
                <w:sz w:val="18"/>
              </w:rPr>
              <w:t>2. kv</w:t>
            </w:r>
          </w:p>
        </w:tc>
        <w:tc>
          <w:tcPr>
            <w:tcW w:w="911" w:type="dxa"/>
            <w:tcBorders>
              <w:top w:val="single" w:sz="4" w:space="0" w:color="auto"/>
              <w:left w:val="nil"/>
              <w:bottom w:val="single" w:sz="4" w:space="0" w:color="auto"/>
              <w:right w:val="single" w:sz="4" w:space="0" w:color="auto"/>
            </w:tcBorders>
            <w:shd w:val="clear" w:color="auto" w:fill="C6EFCE"/>
            <w:noWrap/>
          </w:tcPr>
          <w:p w14:paraId="2E96D62D" w14:textId="77777777" w:rsidR="008B2A13" w:rsidRPr="00E02B5D" w:rsidRDefault="008B2A13" w:rsidP="00D14590">
            <w:pPr>
              <w:spacing w:after="120" w:line="240" w:lineRule="auto"/>
              <w:rPr>
                <w:rFonts w:eastAsia="Times New Roman"/>
                <w:noProof/>
                <w:color w:val="006100"/>
                <w:sz w:val="18"/>
                <w:szCs w:val="18"/>
              </w:rPr>
            </w:pPr>
            <w:r>
              <w:rPr>
                <w:noProof/>
                <w:color w:val="006100"/>
                <w:sz w:val="18"/>
              </w:rPr>
              <w:t>2025</w:t>
            </w:r>
          </w:p>
        </w:tc>
        <w:tc>
          <w:tcPr>
            <w:tcW w:w="3246" w:type="dxa"/>
            <w:tcBorders>
              <w:top w:val="single" w:sz="4" w:space="0" w:color="auto"/>
              <w:left w:val="nil"/>
              <w:bottom w:val="single" w:sz="4" w:space="0" w:color="auto"/>
              <w:right w:val="single" w:sz="4" w:space="0" w:color="auto"/>
            </w:tcBorders>
            <w:shd w:val="clear" w:color="auto" w:fill="C6EFCE"/>
            <w:noWrap/>
          </w:tcPr>
          <w:p w14:paraId="74CC70FF" w14:textId="03FCC783" w:rsidR="008B2A13" w:rsidRPr="00E02B5D" w:rsidRDefault="008B2A13" w:rsidP="00D14590">
            <w:pPr>
              <w:spacing w:after="0" w:line="240" w:lineRule="auto"/>
              <w:rPr>
                <w:rFonts w:eastAsia="Times New Roman" w:cs="Calibri"/>
                <w:noProof/>
                <w:color w:val="006100"/>
                <w:sz w:val="18"/>
                <w:szCs w:val="18"/>
              </w:rPr>
            </w:pPr>
            <w:r>
              <w:rPr>
                <w:noProof/>
                <w:color w:val="006100"/>
                <w:sz w:val="18"/>
              </w:rPr>
              <w:t>Jõustub presidendi dekreet, millega määratakse avamere tuuleenergia projektide jaoks esimene rühm, nagu on sätestatud seaduses nr 4964/2022 „Sätted keskkonnalubade andmise lihtsustamiseks, millega luuakse raamistik avamere tuuleparkide arendamiseks, käsitletakse energiakriisi, keskkonnakaitset ja muid sätteid“ (ELT A 150–30.07.2022).</w:t>
            </w:r>
          </w:p>
          <w:p w14:paraId="6217E0D8" w14:textId="77777777" w:rsidR="008B2A13" w:rsidRPr="00AD4052" w:rsidRDefault="008B2A13" w:rsidP="00D14590">
            <w:pPr>
              <w:spacing w:after="120" w:line="240" w:lineRule="auto"/>
              <w:rPr>
                <w:rFonts w:eastAsia="Times New Roman" w:cs="Calibri"/>
                <w:noProof/>
                <w:color w:val="006100"/>
                <w:sz w:val="18"/>
                <w:szCs w:val="18"/>
                <w:lang w:eastAsia="en-GB"/>
              </w:rPr>
            </w:pPr>
          </w:p>
        </w:tc>
      </w:tr>
    </w:tbl>
    <w:p w14:paraId="77704F4C" w14:textId="77777777" w:rsidR="00A90382" w:rsidRPr="00AD4052" w:rsidRDefault="00A90382" w:rsidP="00D16F13">
      <w:pPr>
        <w:keepNext/>
        <w:keepLines/>
        <w:spacing w:before="240" w:after="0" w:line="240" w:lineRule="auto"/>
        <w:jc w:val="both"/>
        <w:outlineLvl w:val="4"/>
        <w:rPr>
          <w:rFonts w:ascii="Cambria" w:eastAsia="Times New Roman" w:hAnsi="Cambria"/>
          <w:noProof/>
          <w:color w:val="365F91"/>
          <w:sz w:val="24"/>
        </w:rPr>
      </w:pPr>
    </w:p>
    <w:p w14:paraId="2A9F0F78" w14:textId="77777777" w:rsidR="00A90382" w:rsidRDefault="00A90382" w:rsidP="00D16F13">
      <w:pPr>
        <w:keepNext/>
        <w:keepLines/>
        <w:spacing w:before="240" w:after="0" w:line="240" w:lineRule="auto"/>
        <w:jc w:val="both"/>
        <w:outlineLvl w:val="4"/>
        <w:rPr>
          <w:rFonts w:ascii="Cambria" w:hAnsi="Cambria"/>
          <w:noProof/>
          <w:color w:val="365F91" w:themeColor="accent1" w:themeShade="BF"/>
          <w:sz w:val="24"/>
        </w:rPr>
      </w:pPr>
      <w:r>
        <w:rPr>
          <w:rFonts w:ascii="Cambria" w:hAnsi="Cambria"/>
          <w:noProof/>
          <w:color w:val="365F91" w:themeColor="accent1" w:themeShade="BF"/>
          <w:sz w:val="24"/>
        </w:rPr>
        <w:t>Reform 3: Süsinikdioksiidi kogumise, kasutamise ja säilitamise tehnoloogia regulatiivne ja turu toimimise raamistik, et edendada tööstuse CO</w:t>
      </w:r>
      <w:r>
        <w:rPr>
          <w:rFonts w:ascii="Cambria" w:hAnsi="Cambria"/>
          <w:noProof/>
          <w:color w:val="365F91" w:themeColor="accent1" w:themeShade="BF"/>
          <w:sz w:val="24"/>
          <w:vertAlign w:val="subscript"/>
        </w:rPr>
        <w:t>2</w:t>
      </w:r>
      <w:r>
        <w:rPr>
          <w:rFonts w:ascii="Cambria" w:hAnsi="Cambria"/>
          <w:noProof/>
          <w:color w:val="365F91" w:themeColor="accent1" w:themeShade="BF"/>
          <w:sz w:val="24"/>
        </w:rPr>
        <w:t xml:space="preserve"> heite vähendamist (meetme ID: 16988)</w:t>
      </w:r>
    </w:p>
    <w:p w14:paraId="332147FC" w14:textId="77777777" w:rsidR="00EF74AB" w:rsidRPr="00AD4052" w:rsidRDefault="00EF74AB" w:rsidP="00D16F13">
      <w:pPr>
        <w:keepNext/>
        <w:keepLines/>
        <w:spacing w:before="240" w:after="0" w:line="240" w:lineRule="auto"/>
        <w:jc w:val="both"/>
        <w:outlineLvl w:val="4"/>
        <w:rPr>
          <w:rFonts w:ascii="Cambria" w:eastAsia="Times New Roman" w:hAnsi="Cambria"/>
          <w:noProof/>
          <w:color w:val="365F91" w:themeColor="accent1" w:themeShade="BF"/>
          <w:sz w:val="24"/>
          <w:szCs w:val="24"/>
        </w:rPr>
      </w:pPr>
    </w:p>
    <w:tbl>
      <w:tblPr>
        <w:tblpPr w:leftFromText="181" w:rightFromText="181" w:vertAnchor="text" w:tblpY="1"/>
        <w:tblOverlap w:val="never"/>
        <w:tblW w:w="14737" w:type="dxa"/>
        <w:tblLayout w:type="fixed"/>
        <w:tblLook w:val="04A0" w:firstRow="1" w:lastRow="0" w:firstColumn="1" w:lastColumn="0" w:noHBand="0" w:noVBand="1"/>
      </w:tblPr>
      <w:tblGrid>
        <w:gridCol w:w="1134"/>
        <w:gridCol w:w="2078"/>
        <w:gridCol w:w="1007"/>
        <w:gridCol w:w="1134"/>
        <w:gridCol w:w="1744"/>
        <w:gridCol w:w="920"/>
        <w:gridCol w:w="24"/>
        <w:gridCol w:w="659"/>
        <w:gridCol w:w="666"/>
        <w:gridCol w:w="921"/>
        <w:gridCol w:w="10"/>
        <w:gridCol w:w="911"/>
        <w:gridCol w:w="3529"/>
      </w:tblGrid>
      <w:tr w:rsidR="00C35E51" w:rsidRPr="003B132A" w14:paraId="5CBF4753" w14:textId="77777777" w:rsidTr="00EF74AB">
        <w:trPr>
          <w:trHeight w:val="694"/>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ED35CC6" w14:textId="77777777" w:rsidR="00EF74AB" w:rsidRDefault="00C35E51" w:rsidP="00C35E51">
            <w:pPr>
              <w:spacing w:before="120" w:after="120" w:line="240" w:lineRule="auto"/>
              <w:jc w:val="center"/>
              <w:rPr>
                <w:rFonts w:ascii="Times New Roman" w:hAnsi="Times New Roman"/>
                <w:b/>
                <w:noProof/>
                <w:sz w:val="18"/>
              </w:rPr>
            </w:pPr>
            <w:r>
              <w:rPr>
                <w:rFonts w:ascii="Times New Roman" w:hAnsi="Times New Roman"/>
                <w:b/>
                <w:noProof/>
                <w:sz w:val="18"/>
              </w:rPr>
              <w:t>Järjekorranumber</w:t>
            </w:r>
          </w:p>
          <w:p w14:paraId="2D9AE3AF" w14:textId="77777777" w:rsidR="00C35E51" w:rsidRPr="00E02B5D" w:rsidRDefault="00C35E51" w:rsidP="00C35E51">
            <w:pPr>
              <w:spacing w:before="120" w:after="120" w:line="240" w:lineRule="auto"/>
              <w:jc w:val="center"/>
              <w:rPr>
                <w:rFonts w:ascii="Times New Roman" w:hAnsi="Times New Roman" w:cs="Times New Roman"/>
                <w:noProof/>
                <w:sz w:val="24"/>
              </w:rPr>
            </w:pPr>
          </w:p>
        </w:tc>
        <w:tc>
          <w:tcPr>
            <w:tcW w:w="2078" w:type="dxa"/>
            <w:vMerge w:val="restart"/>
            <w:tcBorders>
              <w:top w:val="single" w:sz="4" w:space="0" w:color="auto"/>
              <w:left w:val="single" w:sz="4" w:space="0" w:color="auto"/>
              <w:right w:val="single" w:sz="4" w:space="0" w:color="auto"/>
            </w:tcBorders>
            <w:shd w:val="clear" w:color="auto" w:fill="BDD7EE"/>
            <w:vAlign w:val="center"/>
            <w:hideMark/>
          </w:tcPr>
          <w:p w14:paraId="2A1D7C8E"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Seotud meede (reform või investeering)</w:t>
            </w:r>
          </w:p>
        </w:tc>
        <w:tc>
          <w:tcPr>
            <w:tcW w:w="1007" w:type="dxa"/>
            <w:vMerge w:val="restart"/>
            <w:tcBorders>
              <w:top w:val="single" w:sz="4" w:space="0" w:color="auto"/>
              <w:left w:val="single" w:sz="4" w:space="0" w:color="auto"/>
              <w:right w:val="single" w:sz="4" w:space="0" w:color="auto"/>
            </w:tcBorders>
            <w:shd w:val="clear" w:color="auto" w:fill="BDD7EE"/>
            <w:vAlign w:val="center"/>
            <w:hideMark/>
          </w:tcPr>
          <w:p w14:paraId="48400E1B"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Eesmärk / siht</w:t>
            </w:r>
          </w:p>
        </w:tc>
        <w:tc>
          <w:tcPr>
            <w:tcW w:w="1134" w:type="dxa"/>
            <w:vMerge w:val="restart"/>
            <w:tcBorders>
              <w:top w:val="single" w:sz="4" w:space="0" w:color="auto"/>
              <w:left w:val="nil"/>
              <w:right w:val="single" w:sz="4" w:space="0" w:color="auto"/>
            </w:tcBorders>
            <w:shd w:val="clear" w:color="auto" w:fill="BDD7EE"/>
            <w:vAlign w:val="center"/>
            <w:hideMark/>
          </w:tcPr>
          <w:p w14:paraId="5C69F654"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Nimi</w:t>
            </w:r>
          </w:p>
        </w:tc>
        <w:tc>
          <w:tcPr>
            <w:tcW w:w="1744" w:type="dxa"/>
            <w:vMerge w:val="restart"/>
            <w:tcBorders>
              <w:top w:val="single" w:sz="4" w:space="0" w:color="auto"/>
              <w:left w:val="single" w:sz="4" w:space="0" w:color="auto"/>
              <w:right w:val="single" w:sz="4" w:space="0" w:color="auto"/>
            </w:tcBorders>
            <w:shd w:val="clear" w:color="auto" w:fill="BDD7EE"/>
            <w:vAlign w:val="center"/>
            <w:hideMark/>
          </w:tcPr>
          <w:p w14:paraId="681BCA28"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Kvalitatiivsed näitajad (eesmärkide puhul)</w:t>
            </w:r>
          </w:p>
        </w:tc>
        <w:tc>
          <w:tcPr>
            <w:tcW w:w="2269" w:type="dxa"/>
            <w:gridSpan w:val="4"/>
            <w:tcBorders>
              <w:top w:val="single" w:sz="4" w:space="0" w:color="auto"/>
              <w:left w:val="nil"/>
              <w:bottom w:val="single" w:sz="4" w:space="0" w:color="auto"/>
              <w:right w:val="single" w:sz="4" w:space="0" w:color="auto"/>
            </w:tcBorders>
            <w:shd w:val="clear" w:color="auto" w:fill="BDD7EE"/>
            <w:vAlign w:val="center"/>
            <w:hideMark/>
          </w:tcPr>
          <w:p w14:paraId="0D2751FA"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Kvantitatiivsed näitajad (sihtide puhul)</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14:paraId="38809772"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Lõpuleviimise soovituslik ajakava</w:t>
            </w:r>
          </w:p>
        </w:tc>
        <w:tc>
          <w:tcPr>
            <w:tcW w:w="35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83ED006" w14:textId="77777777" w:rsidR="00C35E51" w:rsidRPr="00E02B5D" w:rsidRDefault="00C35E51" w:rsidP="00C35E51">
            <w:pPr>
              <w:spacing w:before="120" w:after="120" w:line="240" w:lineRule="auto"/>
              <w:jc w:val="center"/>
              <w:rPr>
                <w:rFonts w:ascii="Times New Roman" w:hAnsi="Times New Roman" w:cs="Times New Roman"/>
                <w:noProof/>
                <w:sz w:val="24"/>
              </w:rPr>
            </w:pPr>
            <w:r>
              <w:rPr>
                <w:rFonts w:ascii="Times New Roman" w:hAnsi="Times New Roman"/>
                <w:b/>
                <w:noProof/>
                <w:sz w:val="18"/>
              </w:rPr>
              <w:t>Iga eesmärgi ja sihi kirjeldus</w:t>
            </w:r>
          </w:p>
        </w:tc>
      </w:tr>
      <w:tr w:rsidR="00C35E51" w:rsidRPr="00E02B5D" w14:paraId="679C297F" w14:textId="77777777" w:rsidTr="00EF74AB">
        <w:trPr>
          <w:trHeight w:val="413"/>
          <w:tblHeader/>
        </w:trPr>
        <w:tc>
          <w:tcPr>
            <w:tcW w:w="1134" w:type="dxa"/>
            <w:vMerge/>
            <w:tcBorders>
              <w:top w:val="single" w:sz="4" w:space="0" w:color="auto"/>
              <w:left w:val="single" w:sz="4" w:space="0" w:color="auto"/>
              <w:bottom w:val="single" w:sz="4" w:space="0" w:color="auto"/>
            </w:tcBorders>
            <w:vAlign w:val="center"/>
          </w:tcPr>
          <w:p w14:paraId="3120307E" w14:textId="77777777" w:rsidR="00C35E51" w:rsidRPr="00AD4052" w:rsidRDefault="00C35E51">
            <w:pPr>
              <w:spacing w:before="120" w:after="120" w:line="240" w:lineRule="auto"/>
              <w:jc w:val="center"/>
              <w:rPr>
                <w:rFonts w:ascii="Times New Roman" w:eastAsia="Times New Roman" w:hAnsi="Times New Roman" w:cs="Times New Roman"/>
                <w:b/>
                <w:bCs/>
                <w:noProof/>
                <w:sz w:val="18"/>
                <w:szCs w:val="18"/>
                <w:lang w:eastAsia="en-GB"/>
              </w:rPr>
            </w:pPr>
          </w:p>
        </w:tc>
        <w:tc>
          <w:tcPr>
            <w:tcW w:w="2078" w:type="dxa"/>
            <w:vMerge/>
            <w:tcBorders>
              <w:left w:val="single" w:sz="4" w:space="0" w:color="auto"/>
              <w:bottom w:val="single" w:sz="4" w:space="0" w:color="auto"/>
              <w:right w:val="single" w:sz="4" w:space="0" w:color="auto"/>
            </w:tcBorders>
            <w:shd w:val="clear" w:color="auto" w:fill="BDD7EE"/>
            <w:vAlign w:val="center"/>
          </w:tcPr>
          <w:p w14:paraId="3AF1167C" w14:textId="77777777" w:rsidR="00C35E51" w:rsidRPr="00AD4052" w:rsidRDefault="00C35E51">
            <w:pPr>
              <w:spacing w:before="120" w:after="120" w:line="240" w:lineRule="auto"/>
              <w:jc w:val="center"/>
              <w:rPr>
                <w:rFonts w:ascii="Times New Roman" w:eastAsia="Times New Roman" w:hAnsi="Times New Roman" w:cs="Times New Roman"/>
                <w:b/>
                <w:bCs/>
                <w:noProof/>
                <w:sz w:val="18"/>
                <w:szCs w:val="18"/>
                <w:lang w:eastAsia="en-GB"/>
              </w:rPr>
            </w:pPr>
          </w:p>
        </w:tc>
        <w:tc>
          <w:tcPr>
            <w:tcW w:w="1007" w:type="dxa"/>
            <w:vMerge/>
            <w:tcBorders>
              <w:left w:val="single" w:sz="4" w:space="0" w:color="auto"/>
              <w:bottom w:val="single" w:sz="4" w:space="0" w:color="auto"/>
              <w:right w:val="single" w:sz="4" w:space="0" w:color="auto"/>
            </w:tcBorders>
            <w:shd w:val="clear" w:color="auto" w:fill="BDD7EE"/>
            <w:vAlign w:val="center"/>
          </w:tcPr>
          <w:p w14:paraId="4DF85C2D" w14:textId="77777777" w:rsidR="00C35E51" w:rsidRPr="00AD4052" w:rsidRDefault="00C35E51">
            <w:pPr>
              <w:spacing w:before="120" w:after="120" w:line="240" w:lineRule="auto"/>
              <w:jc w:val="center"/>
              <w:rPr>
                <w:rFonts w:ascii="Times New Roman" w:eastAsia="Times New Roman" w:hAnsi="Times New Roman" w:cs="Times New Roman"/>
                <w:b/>
                <w:bCs/>
                <w:noProof/>
                <w:sz w:val="18"/>
                <w:szCs w:val="18"/>
                <w:lang w:eastAsia="en-GB"/>
              </w:rPr>
            </w:pPr>
          </w:p>
        </w:tc>
        <w:tc>
          <w:tcPr>
            <w:tcW w:w="1134" w:type="dxa"/>
            <w:vMerge/>
            <w:tcBorders>
              <w:left w:val="nil"/>
              <w:bottom w:val="single" w:sz="4" w:space="0" w:color="auto"/>
              <w:right w:val="single" w:sz="4" w:space="0" w:color="auto"/>
            </w:tcBorders>
            <w:shd w:val="clear" w:color="auto" w:fill="BDD7EE"/>
            <w:vAlign w:val="center"/>
          </w:tcPr>
          <w:p w14:paraId="4BF50EFA" w14:textId="77777777" w:rsidR="00C35E51" w:rsidRPr="00AD4052" w:rsidRDefault="00C35E51">
            <w:pPr>
              <w:spacing w:before="120" w:after="120" w:line="240" w:lineRule="auto"/>
              <w:jc w:val="center"/>
              <w:rPr>
                <w:rFonts w:ascii="Times New Roman" w:eastAsia="Times New Roman" w:hAnsi="Times New Roman" w:cs="Times New Roman"/>
                <w:b/>
                <w:bCs/>
                <w:noProof/>
                <w:sz w:val="18"/>
                <w:szCs w:val="18"/>
                <w:lang w:eastAsia="en-GB"/>
              </w:rPr>
            </w:pPr>
          </w:p>
        </w:tc>
        <w:tc>
          <w:tcPr>
            <w:tcW w:w="1744" w:type="dxa"/>
            <w:vMerge/>
            <w:tcBorders>
              <w:left w:val="single" w:sz="4" w:space="0" w:color="auto"/>
              <w:bottom w:val="single" w:sz="4" w:space="0" w:color="auto"/>
              <w:right w:val="single" w:sz="4" w:space="0" w:color="auto"/>
            </w:tcBorders>
            <w:shd w:val="clear" w:color="auto" w:fill="BDD7EE"/>
            <w:vAlign w:val="center"/>
          </w:tcPr>
          <w:p w14:paraId="134C647D" w14:textId="77777777" w:rsidR="00C35E51" w:rsidRPr="00AD4052" w:rsidRDefault="00C35E51">
            <w:pPr>
              <w:spacing w:before="120" w:after="120" w:line="240" w:lineRule="auto"/>
              <w:jc w:val="center"/>
              <w:rPr>
                <w:rFonts w:ascii="Times New Roman" w:eastAsia="Times New Roman" w:hAnsi="Times New Roman" w:cs="Times New Roman"/>
                <w:b/>
                <w:bCs/>
                <w:noProof/>
                <w:sz w:val="18"/>
                <w:szCs w:val="18"/>
                <w:lang w:eastAsia="en-GB"/>
              </w:rPr>
            </w:pPr>
          </w:p>
        </w:tc>
        <w:tc>
          <w:tcPr>
            <w:tcW w:w="944" w:type="dxa"/>
            <w:gridSpan w:val="2"/>
            <w:tcBorders>
              <w:top w:val="single" w:sz="4" w:space="0" w:color="auto"/>
              <w:left w:val="nil"/>
              <w:bottom w:val="single" w:sz="4" w:space="0" w:color="auto"/>
              <w:right w:val="single" w:sz="4" w:space="0" w:color="auto"/>
            </w:tcBorders>
            <w:shd w:val="clear" w:color="auto" w:fill="BDD7EE"/>
            <w:vAlign w:val="center"/>
          </w:tcPr>
          <w:p w14:paraId="74B7D6D0"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659" w:type="dxa"/>
            <w:tcBorders>
              <w:top w:val="single" w:sz="4" w:space="0" w:color="auto"/>
              <w:left w:val="nil"/>
              <w:bottom w:val="single" w:sz="4" w:space="0" w:color="auto"/>
              <w:right w:val="single" w:sz="4" w:space="0" w:color="auto"/>
            </w:tcBorders>
            <w:shd w:val="clear" w:color="auto" w:fill="BDD7EE"/>
            <w:vAlign w:val="center"/>
          </w:tcPr>
          <w:p w14:paraId="4BB8EDBC"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666" w:type="dxa"/>
            <w:tcBorders>
              <w:top w:val="single" w:sz="4" w:space="0" w:color="auto"/>
              <w:left w:val="nil"/>
              <w:bottom w:val="single" w:sz="4" w:space="0" w:color="auto"/>
              <w:right w:val="single" w:sz="4" w:space="0" w:color="auto"/>
            </w:tcBorders>
            <w:shd w:val="clear" w:color="auto" w:fill="BDD7EE"/>
            <w:vAlign w:val="center"/>
          </w:tcPr>
          <w:p w14:paraId="10852F06"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921" w:type="dxa"/>
            <w:tcBorders>
              <w:top w:val="single" w:sz="4" w:space="0" w:color="auto"/>
              <w:left w:val="nil"/>
              <w:bottom w:val="single" w:sz="4" w:space="0" w:color="auto"/>
              <w:right w:val="single" w:sz="4" w:space="0" w:color="auto"/>
            </w:tcBorders>
            <w:shd w:val="clear" w:color="auto" w:fill="BDD7EE"/>
            <w:vAlign w:val="center"/>
          </w:tcPr>
          <w:p w14:paraId="6069B7F8"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14:paraId="52C3872D"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529" w:type="dxa"/>
            <w:vMerge/>
            <w:tcBorders>
              <w:bottom w:val="single" w:sz="4" w:space="0" w:color="auto"/>
              <w:right w:val="single" w:sz="4" w:space="0" w:color="auto"/>
            </w:tcBorders>
            <w:vAlign w:val="center"/>
          </w:tcPr>
          <w:p w14:paraId="32259A45"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lang w:val="en-GB" w:eastAsia="en-GB"/>
              </w:rPr>
            </w:pPr>
          </w:p>
        </w:tc>
      </w:tr>
      <w:tr w:rsidR="00A90382" w:rsidRPr="003B132A" w14:paraId="26E63EB9" w14:textId="77777777" w:rsidTr="008B2A13">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CF0E492" w14:textId="77777777" w:rsidR="00A90382" w:rsidRPr="00E02B5D" w:rsidRDefault="00A90382">
            <w:pPr>
              <w:spacing w:after="0" w:line="240" w:lineRule="auto"/>
              <w:rPr>
                <w:rFonts w:ascii="Times New Roman" w:eastAsia="Times New Roman" w:hAnsi="Times New Roman" w:cs="Times New Roman"/>
                <w:noProof/>
                <w:sz w:val="18"/>
                <w:szCs w:val="18"/>
              </w:rPr>
            </w:pPr>
            <w:r>
              <w:rPr>
                <w:noProof/>
                <w:color w:val="006100"/>
                <w:sz w:val="18"/>
              </w:rPr>
              <w:t>355</w:t>
            </w:r>
          </w:p>
        </w:tc>
        <w:tc>
          <w:tcPr>
            <w:tcW w:w="2078" w:type="dxa"/>
            <w:tcBorders>
              <w:top w:val="single" w:sz="4" w:space="0" w:color="auto"/>
              <w:left w:val="nil"/>
              <w:bottom w:val="single" w:sz="4" w:space="0" w:color="auto"/>
              <w:right w:val="single" w:sz="4" w:space="0" w:color="auto"/>
            </w:tcBorders>
            <w:shd w:val="clear" w:color="auto" w:fill="C6EFCE"/>
            <w:noWrap/>
          </w:tcPr>
          <w:p w14:paraId="707DA368"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20-5.1. REPowerEU reformid – 16988_süsinikdioksiidi kogumise, kasutamise ja säilitamise tehnoloogia regulatiivne ja turu toimimise raamistik, et edendada tööstuse CO</w:t>
            </w:r>
            <w:r>
              <w:rPr>
                <w:noProof/>
                <w:color w:val="006100"/>
                <w:sz w:val="18"/>
                <w:vertAlign w:val="subscript"/>
              </w:rPr>
              <w:t>2</w:t>
            </w:r>
            <w:r>
              <w:rPr>
                <w:noProof/>
                <w:color w:val="006100"/>
                <w:sz w:val="18"/>
              </w:rPr>
              <w:t xml:space="preserve"> heite vähendamist </w:t>
            </w:r>
          </w:p>
        </w:tc>
        <w:tc>
          <w:tcPr>
            <w:tcW w:w="1007" w:type="dxa"/>
            <w:tcBorders>
              <w:top w:val="single" w:sz="4" w:space="0" w:color="auto"/>
              <w:left w:val="nil"/>
              <w:bottom w:val="single" w:sz="4" w:space="0" w:color="auto"/>
              <w:right w:val="single" w:sz="4" w:space="0" w:color="auto"/>
            </w:tcBorders>
            <w:shd w:val="clear" w:color="auto" w:fill="C6EFCE"/>
            <w:noWrap/>
          </w:tcPr>
          <w:p w14:paraId="1EF2BC0D"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Eesmärk</w:t>
            </w:r>
          </w:p>
        </w:tc>
        <w:tc>
          <w:tcPr>
            <w:tcW w:w="1134" w:type="dxa"/>
            <w:tcBorders>
              <w:top w:val="single" w:sz="4" w:space="0" w:color="auto"/>
              <w:left w:val="nil"/>
              <w:bottom w:val="single" w:sz="4" w:space="0" w:color="auto"/>
              <w:right w:val="single" w:sz="4" w:space="0" w:color="auto"/>
            </w:tcBorders>
            <w:shd w:val="clear" w:color="auto" w:fill="C6EFCE"/>
            <w:noWrap/>
          </w:tcPr>
          <w:p w14:paraId="61250E85"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Süsinikdioksiidi kogumist, kasutamist ja säilitamist käsitleva õigusraamistiku loomine.</w:t>
            </w:r>
          </w:p>
        </w:tc>
        <w:tc>
          <w:tcPr>
            <w:tcW w:w="1744" w:type="dxa"/>
            <w:tcBorders>
              <w:top w:val="single" w:sz="4" w:space="0" w:color="auto"/>
              <w:left w:val="nil"/>
              <w:bottom w:val="single" w:sz="4" w:space="0" w:color="auto"/>
              <w:right w:val="single" w:sz="4" w:space="0" w:color="auto"/>
            </w:tcBorders>
            <w:shd w:val="clear" w:color="auto" w:fill="C6EFCE"/>
            <w:noWrap/>
          </w:tcPr>
          <w:p w14:paraId="65AAEF50"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 xml:space="preserve">Õigusaktide jõustumine </w:t>
            </w:r>
          </w:p>
        </w:tc>
        <w:tc>
          <w:tcPr>
            <w:tcW w:w="920" w:type="dxa"/>
            <w:tcBorders>
              <w:top w:val="nil"/>
              <w:left w:val="nil"/>
              <w:bottom w:val="single" w:sz="4" w:space="0" w:color="auto"/>
              <w:right w:val="single" w:sz="4" w:space="0" w:color="auto"/>
            </w:tcBorders>
            <w:shd w:val="clear" w:color="auto" w:fill="C6EFCE"/>
            <w:noWrap/>
          </w:tcPr>
          <w:p w14:paraId="69ABB896" w14:textId="77777777" w:rsidR="00A90382" w:rsidRPr="00E02B5D" w:rsidRDefault="00A90382">
            <w:pPr>
              <w:spacing w:after="0" w:line="240" w:lineRule="auto"/>
              <w:rPr>
                <w:rFonts w:ascii="Times New Roman" w:eastAsia="Times New Roman" w:hAnsi="Times New Roman" w:cs="Times New Roman"/>
                <w:noProof/>
                <w:sz w:val="18"/>
                <w:szCs w:val="18"/>
                <w:lang w:val="en-GB" w:eastAsia="en-GB"/>
              </w:rPr>
            </w:pPr>
          </w:p>
        </w:tc>
        <w:tc>
          <w:tcPr>
            <w:tcW w:w="683" w:type="dxa"/>
            <w:gridSpan w:val="2"/>
            <w:tcBorders>
              <w:top w:val="nil"/>
              <w:left w:val="nil"/>
              <w:bottom w:val="single" w:sz="4" w:space="0" w:color="auto"/>
              <w:right w:val="single" w:sz="4" w:space="0" w:color="auto"/>
            </w:tcBorders>
            <w:shd w:val="clear" w:color="auto" w:fill="C6EFCE"/>
            <w:noWrap/>
          </w:tcPr>
          <w:p w14:paraId="7BD53B3D" w14:textId="77777777" w:rsidR="00A90382" w:rsidRPr="00E02B5D" w:rsidRDefault="00A90382">
            <w:pPr>
              <w:spacing w:after="0" w:line="240" w:lineRule="auto"/>
              <w:rPr>
                <w:rFonts w:ascii="Times New Roman" w:eastAsia="Times New Roman" w:hAnsi="Times New Roman" w:cs="Times New Roman"/>
                <w:noProof/>
                <w:sz w:val="18"/>
                <w:szCs w:val="18"/>
                <w:lang w:val="en-GB" w:eastAsia="en-GB"/>
              </w:rPr>
            </w:pPr>
          </w:p>
        </w:tc>
        <w:tc>
          <w:tcPr>
            <w:tcW w:w="666" w:type="dxa"/>
            <w:tcBorders>
              <w:top w:val="nil"/>
              <w:left w:val="nil"/>
              <w:bottom w:val="single" w:sz="4" w:space="0" w:color="auto"/>
              <w:right w:val="single" w:sz="4" w:space="0" w:color="auto"/>
            </w:tcBorders>
            <w:shd w:val="clear" w:color="auto" w:fill="C6EFCE"/>
            <w:noWrap/>
          </w:tcPr>
          <w:p w14:paraId="3E4E90D1" w14:textId="77777777" w:rsidR="00A90382" w:rsidRPr="00E02B5D" w:rsidRDefault="00A90382">
            <w:pPr>
              <w:spacing w:after="0" w:line="240" w:lineRule="auto"/>
              <w:rPr>
                <w:rFonts w:ascii="Times New Roman" w:eastAsia="Times New Roman" w:hAnsi="Times New Roman" w:cs="Times New Roman"/>
                <w:noProof/>
                <w:sz w:val="18"/>
                <w:szCs w:val="18"/>
                <w:lang w:val="en-GB" w:eastAsia="en-GB"/>
              </w:rPr>
            </w:pPr>
          </w:p>
        </w:tc>
        <w:tc>
          <w:tcPr>
            <w:tcW w:w="931" w:type="dxa"/>
            <w:gridSpan w:val="2"/>
            <w:tcBorders>
              <w:top w:val="nil"/>
              <w:left w:val="nil"/>
              <w:bottom w:val="single" w:sz="4" w:space="0" w:color="auto"/>
              <w:right w:val="single" w:sz="4" w:space="0" w:color="auto"/>
            </w:tcBorders>
            <w:shd w:val="clear" w:color="auto" w:fill="C6EFCE"/>
            <w:noWrap/>
          </w:tcPr>
          <w:p w14:paraId="67166CED" w14:textId="77777777" w:rsidR="00A90382" w:rsidRPr="00E02B5D" w:rsidRDefault="00A90382">
            <w:pPr>
              <w:spacing w:after="120" w:line="240" w:lineRule="auto"/>
              <w:rPr>
                <w:rFonts w:eastAsia="Times New Roman"/>
                <w:noProof/>
                <w:color w:val="006100"/>
                <w:sz w:val="18"/>
                <w:szCs w:val="18"/>
              </w:rPr>
            </w:pPr>
            <w:r>
              <w:rPr>
                <w:noProof/>
                <w:color w:val="006100"/>
                <w:sz w:val="18"/>
              </w:rPr>
              <w:t>2. kv</w:t>
            </w:r>
          </w:p>
        </w:tc>
        <w:tc>
          <w:tcPr>
            <w:tcW w:w="911" w:type="dxa"/>
            <w:tcBorders>
              <w:top w:val="nil"/>
              <w:left w:val="nil"/>
              <w:bottom w:val="single" w:sz="4" w:space="0" w:color="auto"/>
              <w:right w:val="single" w:sz="4" w:space="0" w:color="auto"/>
            </w:tcBorders>
            <w:shd w:val="clear" w:color="auto" w:fill="C6EFCE"/>
            <w:noWrap/>
          </w:tcPr>
          <w:p w14:paraId="625DB97B" w14:textId="77777777" w:rsidR="00A90382" w:rsidRPr="00E02B5D" w:rsidRDefault="00A90382">
            <w:pPr>
              <w:spacing w:after="120" w:line="240" w:lineRule="auto"/>
              <w:rPr>
                <w:rFonts w:eastAsia="Times New Roman"/>
                <w:noProof/>
                <w:color w:val="006100"/>
                <w:sz w:val="18"/>
                <w:szCs w:val="18"/>
              </w:rPr>
            </w:pPr>
            <w:r>
              <w:rPr>
                <w:noProof/>
                <w:color w:val="006100"/>
                <w:sz w:val="18"/>
              </w:rPr>
              <w:t>2024</w:t>
            </w:r>
          </w:p>
        </w:tc>
        <w:tc>
          <w:tcPr>
            <w:tcW w:w="3529" w:type="dxa"/>
            <w:tcBorders>
              <w:top w:val="single" w:sz="4" w:space="0" w:color="auto"/>
              <w:left w:val="nil"/>
              <w:bottom w:val="single" w:sz="4" w:space="0" w:color="auto"/>
              <w:right w:val="single" w:sz="4" w:space="0" w:color="auto"/>
            </w:tcBorders>
            <w:shd w:val="clear" w:color="auto" w:fill="C6EFCE"/>
            <w:noWrap/>
          </w:tcPr>
          <w:p w14:paraId="40A1876A"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Süsinikdioksiidi kogumist, kasutamist ja säilitamist käsitleva õigusraamistiku jõustumine, milles sätestatakse:</w:t>
            </w:r>
          </w:p>
          <w:p w14:paraId="0FD4BE49" w14:textId="77777777" w:rsidR="00A90382" w:rsidRPr="00E02B5D" w:rsidRDefault="00A90382" w:rsidP="00DE1EE5">
            <w:pPr>
              <w:pStyle w:val="ListParagraph"/>
              <w:numPr>
                <w:ilvl w:val="0"/>
                <w:numId w:val="80"/>
              </w:numPr>
              <w:spacing w:after="0" w:line="240" w:lineRule="auto"/>
              <w:rPr>
                <w:rFonts w:eastAsia="Times New Roman" w:cs="Calibri"/>
                <w:noProof/>
                <w:color w:val="006100"/>
                <w:sz w:val="18"/>
                <w:szCs w:val="18"/>
              </w:rPr>
            </w:pPr>
            <w:r>
              <w:rPr>
                <w:noProof/>
                <w:color w:val="006100"/>
                <w:sz w:val="18"/>
              </w:rPr>
              <w:t>Süsinikdioksiidi kogumise, kasutamise ja säilitamise tehnoloogiate paigaldamise ja käitamise litsentsimisraamistiku väljatöötamine, sealhulgas keskkonnaloa heakskiitmise väljaandmine.</w:t>
            </w:r>
          </w:p>
          <w:p w14:paraId="6F94A2A6" w14:textId="77777777" w:rsidR="00A90382" w:rsidRPr="00E02B5D" w:rsidRDefault="00A90382" w:rsidP="00DE1EE5">
            <w:pPr>
              <w:pStyle w:val="ListParagraph"/>
              <w:numPr>
                <w:ilvl w:val="0"/>
                <w:numId w:val="80"/>
              </w:numPr>
              <w:spacing w:after="0" w:line="240" w:lineRule="auto"/>
              <w:rPr>
                <w:rFonts w:eastAsia="Times New Roman" w:cs="Calibri"/>
                <w:noProof/>
                <w:color w:val="006100"/>
                <w:sz w:val="18"/>
                <w:szCs w:val="18"/>
              </w:rPr>
            </w:pPr>
            <w:r>
              <w:rPr>
                <w:noProof/>
                <w:color w:val="006100"/>
                <w:sz w:val="18"/>
              </w:rPr>
              <w:t>Kogutud ja säilitatud CO2 heite päritolu jaoks asjakohase standardimis- ja sertifitseerimismenetluse kehtestamine.</w:t>
            </w:r>
          </w:p>
          <w:p w14:paraId="3430B9FC" w14:textId="77777777" w:rsidR="00A90382" w:rsidRPr="00E02B5D" w:rsidRDefault="00A90382" w:rsidP="00DE1EE5">
            <w:pPr>
              <w:pStyle w:val="ListParagraph"/>
              <w:numPr>
                <w:ilvl w:val="0"/>
                <w:numId w:val="80"/>
              </w:numPr>
              <w:spacing w:after="0" w:line="240" w:lineRule="auto"/>
              <w:rPr>
                <w:rFonts w:eastAsia="Times New Roman" w:cs="Calibri"/>
                <w:noProof/>
                <w:color w:val="006100"/>
                <w:sz w:val="18"/>
                <w:szCs w:val="18"/>
              </w:rPr>
            </w:pPr>
            <w:r>
              <w:rPr>
                <w:noProof/>
                <w:color w:val="006100"/>
                <w:sz w:val="18"/>
              </w:rPr>
              <w:t>Süsinikdioksiidi kogumise ja säilitamise väärtusahela õigusraamistiku väljatöötamine säilitamis- ja transpordimaksude jaoks. Raamistik sisaldab sätteid hinnavahelepingute ja reguleeritud tõrvikute kohta. Kogutud CO</w:t>
            </w:r>
            <w:r>
              <w:rPr>
                <w:noProof/>
                <w:color w:val="006100"/>
                <w:sz w:val="18"/>
                <w:vertAlign w:val="subscript"/>
              </w:rPr>
              <w:t>2</w:t>
            </w:r>
            <w:r>
              <w:rPr>
                <w:noProof/>
                <w:color w:val="006100"/>
                <w:sz w:val="18"/>
              </w:rPr>
              <w:t xml:space="preserve"> kasutamise/kasutamise raamistiku loomine</w:t>
            </w:r>
          </w:p>
          <w:p w14:paraId="4C5BBFCE" w14:textId="77777777" w:rsidR="00A90382" w:rsidRPr="00E02B5D" w:rsidRDefault="00A90382" w:rsidP="00DE1EE5">
            <w:pPr>
              <w:pStyle w:val="ListParagraph"/>
              <w:numPr>
                <w:ilvl w:val="0"/>
                <w:numId w:val="80"/>
              </w:numPr>
              <w:spacing w:after="0" w:line="240" w:lineRule="auto"/>
              <w:rPr>
                <w:rFonts w:eastAsia="Times New Roman" w:cs="Calibri"/>
                <w:noProof/>
                <w:color w:val="006100"/>
                <w:sz w:val="18"/>
                <w:szCs w:val="18"/>
              </w:rPr>
            </w:pPr>
            <w:r>
              <w:rPr>
                <w:noProof/>
                <w:color w:val="006100"/>
                <w:sz w:val="18"/>
              </w:rPr>
              <w:t>Kolmanda isiku juurdepääsu raamistiku vastuvõtmine võrgus/transporditaristus ja hoidlas.</w:t>
            </w:r>
          </w:p>
          <w:p w14:paraId="76DA11B5" w14:textId="77777777" w:rsidR="00A90382" w:rsidRPr="00E02B5D" w:rsidRDefault="00A90382" w:rsidP="00DE1EE5">
            <w:pPr>
              <w:pStyle w:val="ListParagraph"/>
              <w:numPr>
                <w:ilvl w:val="0"/>
                <w:numId w:val="80"/>
              </w:numPr>
              <w:spacing w:after="0" w:line="240" w:lineRule="auto"/>
              <w:rPr>
                <w:rFonts w:eastAsia="Times New Roman" w:cs="Calibri"/>
                <w:noProof/>
                <w:color w:val="006100"/>
                <w:sz w:val="18"/>
                <w:szCs w:val="18"/>
              </w:rPr>
            </w:pPr>
            <w:r>
              <w:rPr>
                <w:noProof/>
                <w:color w:val="006100"/>
                <w:sz w:val="18"/>
              </w:rPr>
              <w:t>Erinevatele sidusrühmadele süsinikdioksiidi kogumise, kasutamise ja säilitamise tehnoloogiate toimimise ning vastava turu järelevalvega seotud ülesannete määramine.</w:t>
            </w:r>
          </w:p>
        </w:tc>
      </w:tr>
    </w:tbl>
    <w:p w14:paraId="6A00FD52" w14:textId="77777777" w:rsidR="00A90382" w:rsidRPr="00AD4052" w:rsidRDefault="00A90382" w:rsidP="00D16F13">
      <w:pPr>
        <w:keepNext/>
        <w:keepLines/>
        <w:spacing w:before="240" w:after="0" w:line="240" w:lineRule="auto"/>
        <w:jc w:val="both"/>
        <w:outlineLvl w:val="4"/>
        <w:rPr>
          <w:rFonts w:ascii="Cambria" w:eastAsia="Times New Roman" w:hAnsi="Cambria"/>
          <w:noProof/>
          <w:color w:val="365F91"/>
          <w:sz w:val="24"/>
          <w:szCs w:val="24"/>
        </w:rPr>
      </w:pPr>
    </w:p>
    <w:p w14:paraId="430322E2" w14:textId="77777777" w:rsidR="00A90382" w:rsidRDefault="00A90382" w:rsidP="00D16F13">
      <w:pPr>
        <w:keepNext/>
        <w:keepLines/>
        <w:spacing w:before="240" w:after="0" w:line="240" w:lineRule="auto"/>
        <w:jc w:val="both"/>
        <w:outlineLvl w:val="4"/>
        <w:rPr>
          <w:rFonts w:ascii="Cambria" w:hAnsi="Cambria"/>
          <w:noProof/>
          <w:color w:val="365F91"/>
          <w:sz w:val="24"/>
        </w:rPr>
      </w:pPr>
      <w:r>
        <w:rPr>
          <w:rFonts w:ascii="Cambria" w:hAnsi="Cambria"/>
          <w:noProof/>
          <w:color w:val="365F91"/>
          <w:sz w:val="24"/>
        </w:rPr>
        <w:t>Reform 4: Võrgu ja salvestusvõimsuse suurendamine – salvestusinvesteeringute edendamine (meetme ID: 16990)</w:t>
      </w:r>
    </w:p>
    <w:p w14:paraId="6A5E07C0" w14:textId="77777777" w:rsidR="00EF74AB" w:rsidRPr="00E02B5D" w:rsidRDefault="00EF74AB" w:rsidP="00D16F13">
      <w:pPr>
        <w:keepNext/>
        <w:keepLines/>
        <w:spacing w:before="240" w:after="0" w:line="240" w:lineRule="auto"/>
        <w:jc w:val="both"/>
        <w:outlineLvl w:val="4"/>
        <w:rPr>
          <w:rFonts w:ascii="Cambria" w:eastAsia="Times New Roman" w:hAnsi="Cambria"/>
          <w:noProof/>
          <w:color w:val="365F91"/>
          <w:sz w:val="24"/>
          <w:lang w:val="en-GB"/>
        </w:rPr>
      </w:pPr>
    </w:p>
    <w:tbl>
      <w:tblPr>
        <w:tblpPr w:leftFromText="181" w:rightFromText="181" w:vertAnchor="text" w:tblpY="1"/>
        <w:tblOverlap w:val="never"/>
        <w:tblW w:w="14737" w:type="dxa"/>
        <w:tblLayout w:type="fixed"/>
        <w:tblLook w:val="04A0" w:firstRow="1" w:lastRow="0" w:firstColumn="1" w:lastColumn="0" w:noHBand="0" w:noVBand="1"/>
      </w:tblPr>
      <w:tblGrid>
        <w:gridCol w:w="1134"/>
        <w:gridCol w:w="2078"/>
        <w:gridCol w:w="1007"/>
        <w:gridCol w:w="1134"/>
        <w:gridCol w:w="1163"/>
        <w:gridCol w:w="992"/>
        <w:gridCol w:w="1192"/>
        <w:gridCol w:w="666"/>
        <w:gridCol w:w="921"/>
        <w:gridCol w:w="10"/>
        <w:gridCol w:w="911"/>
        <w:gridCol w:w="3529"/>
      </w:tblGrid>
      <w:tr w:rsidR="00C35E51" w:rsidRPr="003B132A" w14:paraId="4F0A8EB2" w14:textId="77777777" w:rsidTr="00EF74AB">
        <w:trPr>
          <w:trHeight w:val="1125"/>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5C2DD0" w14:textId="77777777" w:rsidR="00C35E51" w:rsidRPr="00E02B5D" w:rsidRDefault="00C35E51" w:rsidP="00C35E51">
            <w:pPr>
              <w:spacing w:before="120" w:after="120" w:line="240" w:lineRule="auto"/>
              <w:jc w:val="center"/>
              <w:rPr>
                <w:rFonts w:ascii="Times New Roman" w:hAnsi="Times New Roman" w:cs="Times New Roman"/>
                <w:noProof/>
                <w:sz w:val="24"/>
              </w:rPr>
            </w:pPr>
            <w:r>
              <w:rPr>
                <w:rFonts w:ascii="Times New Roman" w:hAnsi="Times New Roman"/>
                <w:b/>
                <w:noProof/>
                <w:sz w:val="18"/>
              </w:rPr>
              <w:t>Järjekorranumber</w:t>
            </w:r>
          </w:p>
        </w:tc>
        <w:tc>
          <w:tcPr>
            <w:tcW w:w="2078" w:type="dxa"/>
            <w:vMerge w:val="restart"/>
            <w:tcBorders>
              <w:top w:val="single" w:sz="4" w:space="0" w:color="auto"/>
              <w:left w:val="single" w:sz="4" w:space="0" w:color="auto"/>
              <w:right w:val="single" w:sz="4" w:space="0" w:color="auto"/>
            </w:tcBorders>
            <w:shd w:val="clear" w:color="auto" w:fill="BDD7EE"/>
            <w:vAlign w:val="center"/>
            <w:hideMark/>
          </w:tcPr>
          <w:p w14:paraId="4F564EF7"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Seotud meede (reform või investeering)</w:t>
            </w:r>
          </w:p>
        </w:tc>
        <w:tc>
          <w:tcPr>
            <w:tcW w:w="1007" w:type="dxa"/>
            <w:vMerge w:val="restart"/>
            <w:tcBorders>
              <w:top w:val="single" w:sz="4" w:space="0" w:color="auto"/>
              <w:left w:val="single" w:sz="4" w:space="0" w:color="auto"/>
              <w:right w:val="single" w:sz="4" w:space="0" w:color="auto"/>
            </w:tcBorders>
            <w:shd w:val="clear" w:color="auto" w:fill="BDD7EE"/>
            <w:vAlign w:val="center"/>
            <w:hideMark/>
          </w:tcPr>
          <w:p w14:paraId="3D2041BB"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Eesmärk / siht</w:t>
            </w:r>
          </w:p>
        </w:tc>
        <w:tc>
          <w:tcPr>
            <w:tcW w:w="1134" w:type="dxa"/>
            <w:vMerge w:val="restart"/>
            <w:tcBorders>
              <w:top w:val="single" w:sz="4" w:space="0" w:color="auto"/>
              <w:left w:val="nil"/>
              <w:right w:val="single" w:sz="4" w:space="0" w:color="auto"/>
            </w:tcBorders>
            <w:shd w:val="clear" w:color="auto" w:fill="BDD7EE"/>
            <w:vAlign w:val="center"/>
            <w:hideMark/>
          </w:tcPr>
          <w:p w14:paraId="19868145"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Nimi</w:t>
            </w:r>
          </w:p>
        </w:tc>
        <w:tc>
          <w:tcPr>
            <w:tcW w:w="1163" w:type="dxa"/>
            <w:vMerge w:val="restart"/>
            <w:tcBorders>
              <w:top w:val="single" w:sz="4" w:space="0" w:color="auto"/>
              <w:left w:val="single" w:sz="4" w:space="0" w:color="auto"/>
              <w:right w:val="single" w:sz="4" w:space="0" w:color="auto"/>
            </w:tcBorders>
            <w:shd w:val="clear" w:color="auto" w:fill="BDD7EE"/>
            <w:vAlign w:val="center"/>
            <w:hideMark/>
          </w:tcPr>
          <w:p w14:paraId="581A01D7"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Kvalitatiivsed näitajad (eesmärkide puhul)</w:t>
            </w:r>
          </w:p>
        </w:tc>
        <w:tc>
          <w:tcPr>
            <w:tcW w:w="2850" w:type="dxa"/>
            <w:gridSpan w:val="3"/>
            <w:tcBorders>
              <w:top w:val="single" w:sz="4" w:space="0" w:color="auto"/>
              <w:left w:val="nil"/>
              <w:bottom w:val="single" w:sz="4" w:space="0" w:color="auto"/>
              <w:right w:val="single" w:sz="4" w:space="0" w:color="auto"/>
            </w:tcBorders>
            <w:shd w:val="clear" w:color="auto" w:fill="BDD7EE"/>
            <w:vAlign w:val="center"/>
            <w:hideMark/>
          </w:tcPr>
          <w:p w14:paraId="78C583C5"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Kvantitatiivsed näitajad (sihtide puhul)</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14:paraId="4C5D27A2" w14:textId="77777777" w:rsidR="00C35E51" w:rsidRPr="00E02B5D" w:rsidRDefault="00C35E51">
            <w:pPr>
              <w:spacing w:before="120" w:after="120" w:line="240" w:lineRule="auto"/>
              <w:jc w:val="center"/>
              <w:rPr>
                <w:rFonts w:ascii="Times New Roman" w:hAnsi="Times New Roman" w:cs="Times New Roman"/>
                <w:noProof/>
                <w:sz w:val="24"/>
              </w:rPr>
            </w:pPr>
            <w:r>
              <w:rPr>
                <w:rFonts w:ascii="Times New Roman" w:hAnsi="Times New Roman"/>
                <w:b/>
                <w:noProof/>
                <w:sz w:val="18"/>
              </w:rPr>
              <w:t>Lõpuleviimise soovituslik ajakava</w:t>
            </w:r>
          </w:p>
        </w:tc>
        <w:tc>
          <w:tcPr>
            <w:tcW w:w="35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C6507D" w14:textId="77777777" w:rsidR="00C35E51" w:rsidRPr="00E02B5D" w:rsidRDefault="00C35E51" w:rsidP="00D16F13">
            <w:pPr>
              <w:spacing w:before="120" w:after="120" w:line="240" w:lineRule="auto"/>
              <w:jc w:val="center"/>
              <w:rPr>
                <w:rFonts w:ascii="Times New Roman" w:hAnsi="Times New Roman" w:cs="Times New Roman"/>
                <w:noProof/>
                <w:sz w:val="24"/>
              </w:rPr>
            </w:pPr>
            <w:r>
              <w:rPr>
                <w:rFonts w:ascii="Times New Roman" w:hAnsi="Times New Roman"/>
                <w:b/>
                <w:noProof/>
                <w:sz w:val="18"/>
              </w:rPr>
              <w:t>Iga eesmärgi ja sihi kirjeldus</w:t>
            </w:r>
          </w:p>
        </w:tc>
      </w:tr>
      <w:tr w:rsidR="00C35E51" w:rsidRPr="00E02B5D" w14:paraId="4143218D" w14:textId="77777777" w:rsidTr="00EF74AB">
        <w:trPr>
          <w:trHeight w:val="687"/>
          <w:tblHeader/>
        </w:trPr>
        <w:tc>
          <w:tcPr>
            <w:tcW w:w="1134" w:type="dxa"/>
            <w:vMerge/>
            <w:tcBorders>
              <w:top w:val="single" w:sz="4" w:space="0" w:color="auto"/>
              <w:left w:val="single" w:sz="4" w:space="0" w:color="auto"/>
              <w:bottom w:val="single" w:sz="4" w:space="0" w:color="auto"/>
            </w:tcBorders>
            <w:vAlign w:val="center"/>
          </w:tcPr>
          <w:p w14:paraId="631120D9" w14:textId="77777777" w:rsidR="00C35E51" w:rsidRPr="00AD4052" w:rsidRDefault="00C35E51">
            <w:pPr>
              <w:spacing w:before="120" w:after="120" w:line="240" w:lineRule="auto"/>
              <w:jc w:val="center"/>
              <w:rPr>
                <w:rFonts w:ascii="Times New Roman" w:eastAsia="Times New Roman" w:hAnsi="Times New Roman" w:cs="Times New Roman"/>
                <w:b/>
                <w:bCs/>
                <w:noProof/>
                <w:sz w:val="18"/>
                <w:szCs w:val="18"/>
                <w:lang w:eastAsia="en-GB"/>
              </w:rPr>
            </w:pPr>
          </w:p>
        </w:tc>
        <w:tc>
          <w:tcPr>
            <w:tcW w:w="2078" w:type="dxa"/>
            <w:vMerge/>
            <w:tcBorders>
              <w:left w:val="single" w:sz="4" w:space="0" w:color="auto"/>
              <w:bottom w:val="single" w:sz="4" w:space="0" w:color="auto"/>
              <w:right w:val="single" w:sz="4" w:space="0" w:color="auto"/>
            </w:tcBorders>
            <w:shd w:val="clear" w:color="auto" w:fill="BDD7EE"/>
            <w:vAlign w:val="center"/>
          </w:tcPr>
          <w:p w14:paraId="23260B09" w14:textId="77777777" w:rsidR="00C35E51" w:rsidRPr="00AD4052" w:rsidRDefault="00C35E51">
            <w:pPr>
              <w:spacing w:before="120" w:after="120" w:line="240" w:lineRule="auto"/>
              <w:jc w:val="center"/>
              <w:rPr>
                <w:rFonts w:ascii="Times New Roman" w:eastAsia="Times New Roman" w:hAnsi="Times New Roman" w:cs="Times New Roman"/>
                <w:b/>
                <w:bCs/>
                <w:noProof/>
                <w:sz w:val="18"/>
                <w:szCs w:val="18"/>
                <w:lang w:eastAsia="en-GB"/>
              </w:rPr>
            </w:pPr>
          </w:p>
        </w:tc>
        <w:tc>
          <w:tcPr>
            <w:tcW w:w="1007" w:type="dxa"/>
            <w:vMerge/>
            <w:tcBorders>
              <w:left w:val="single" w:sz="4" w:space="0" w:color="auto"/>
              <w:bottom w:val="single" w:sz="4" w:space="0" w:color="auto"/>
              <w:right w:val="single" w:sz="4" w:space="0" w:color="auto"/>
            </w:tcBorders>
            <w:shd w:val="clear" w:color="auto" w:fill="BDD7EE"/>
            <w:vAlign w:val="center"/>
          </w:tcPr>
          <w:p w14:paraId="058228D2" w14:textId="77777777" w:rsidR="00C35E51" w:rsidRPr="00AD4052" w:rsidRDefault="00C35E51">
            <w:pPr>
              <w:spacing w:before="120" w:after="120" w:line="240" w:lineRule="auto"/>
              <w:jc w:val="center"/>
              <w:rPr>
                <w:rFonts w:ascii="Times New Roman" w:eastAsia="Times New Roman" w:hAnsi="Times New Roman" w:cs="Times New Roman"/>
                <w:b/>
                <w:bCs/>
                <w:noProof/>
                <w:sz w:val="18"/>
                <w:szCs w:val="18"/>
                <w:lang w:eastAsia="en-GB"/>
              </w:rPr>
            </w:pPr>
          </w:p>
        </w:tc>
        <w:tc>
          <w:tcPr>
            <w:tcW w:w="1134" w:type="dxa"/>
            <w:vMerge/>
            <w:tcBorders>
              <w:left w:val="nil"/>
              <w:bottom w:val="single" w:sz="4" w:space="0" w:color="auto"/>
              <w:right w:val="single" w:sz="4" w:space="0" w:color="auto"/>
            </w:tcBorders>
            <w:shd w:val="clear" w:color="auto" w:fill="BDD7EE"/>
            <w:vAlign w:val="center"/>
          </w:tcPr>
          <w:p w14:paraId="6D64BDE1" w14:textId="77777777" w:rsidR="00C35E51" w:rsidRPr="00AD4052" w:rsidRDefault="00C35E51" w:rsidP="00D16F13">
            <w:pPr>
              <w:spacing w:after="0" w:line="240" w:lineRule="auto"/>
              <w:rPr>
                <w:rFonts w:eastAsia="Times New Roman" w:cs="Calibri"/>
                <w:noProof/>
                <w:color w:val="006100"/>
                <w:sz w:val="18"/>
                <w:szCs w:val="18"/>
                <w:lang w:eastAsia="en-GB"/>
              </w:rPr>
            </w:pPr>
          </w:p>
        </w:tc>
        <w:tc>
          <w:tcPr>
            <w:tcW w:w="1163" w:type="dxa"/>
            <w:vMerge/>
            <w:tcBorders>
              <w:left w:val="single" w:sz="4" w:space="0" w:color="auto"/>
              <w:bottom w:val="single" w:sz="4" w:space="0" w:color="auto"/>
              <w:right w:val="single" w:sz="4" w:space="0" w:color="auto"/>
            </w:tcBorders>
            <w:shd w:val="clear" w:color="auto" w:fill="BDD7EE"/>
            <w:vAlign w:val="center"/>
          </w:tcPr>
          <w:p w14:paraId="4CD5466A" w14:textId="77777777" w:rsidR="00C35E51" w:rsidRPr="00AD4052" w:rsidRDefault="00C35E51">
            <w:pPr>
              <w:spacing w:before="120" w:after="120" w:line="240" w:lineRule="auto"/>
              <w:jc w:val="center"/>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tcPr>
          <w:p w14:paraId="2CFB3D15"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192" w:type="dxa"/>
            <w:tcBorders>
              <w:top w:val="single" w:sz="4" w:space="0" w:color="auto"/>
              <w:left w:val="nil"/>
              <w:bottom w:val="single" w:sz="4" w:space="0" w:color="auto"/>
              <w:right w:val="single" w:sz="4" w:space="0" w:color="auto"/>
            </w:tcBorders>
            <w:shd w:val="clear" w:color="auto" w:fill="BDD7EE"/>
            <w:vAlign w:val="center"/>
          </w:tcPr>
          <w:p w14:paraId="3D6309AC"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666" w:type="dxa"/>
            <w:tcBorders>
              <w:top w:val="single" w:sz="4" w:space="0" w:color="auto"/>
              <w:left w:val="nil"/>
              <w:bottom w:val="single" w:sz="4" w:space="0" w:color="auto"/>
              <w:right w:val="single" w:sz="4" w:space="0" w:color="auto"/>
            </w:tcBorders>
            <w:shd w:val="clear" w:color="auto" w:fill="BDD7EE"/>
            <w:vAlign w:val="center"/>
          </w:tcPr>
          <w:p w14:paraId="1B76EA6C"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921" w:type="dxa"/>
            <w:tcBorders>
              <w:top w:val="single" w:sz="4" w:space="0" w:color="auto"/>
              <w:left w:val="nil"/>
              <w:bottom w:val="single" w:sz="4" w:space="0" w:color="auto"/>
              <w:right w:val="single" w:sz="4" w:space="0" w:color="auto"/>
            </w:tcBorders>
            <w:shd w:val="clear" w:color="auto" w:fill="BDD7EE"/>
            <w:vAlign w:val="center"/>
          </w:tcPr>
          <w:p w14:paraId="3C0BEA08"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14:paraId="301E029C"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529" w:type="dxa"/>
            <w:vMerge/>
            <w:tcBorders>
              <w:top w:val="single" w:sz="4" w:space="0" w:color="auto"/>
              <w:bottom w:val="single" w:sz="4" w:space="0" w:color="auto"/>
              <w:right w:val="single" w:sz="4" w:space="0" w:color="auto"/>
            </w:tcBorders>
            <w:vAlign w:val="center"/>
          </w:tcPr>
          <w:p w14:paraId="0A56DC03" w14:textId="77777777" w:rsidR="00C35E51" w:rsidRPr="00E02B5D" w:rsidRDefault="00C35E51">
            <w:pPr>
              <w:spacing w:before="120" w:after="120" w:line="240" w:lineRule="auto"/>
              <w:jc w:val="center"/>
              <w:rPr>
                <w:rFonts w:ascii="Times New Roman" w:eastAsia="Times New Roman" w:hAnsi="Times New Roman" w:cs="Times New Roman"/>
                <w:b/>
                <w:bCs/>
                <w:noProof/>
                <w:sz w:val="18"/>
                <w:szCs w:val="18"/>
                <w:lang w:val="en-GB" w:eastAsia="en-GB"/>
              </w:rPr>
            </w:pPr>
          </w:p>
        </w:tc>
      </w:tr>
      <w:tr w:rsidR="00A90382" w:rsidRPr="003B132A" w14:paraId="55095B62" w14:textId="77777777" w:rsidTr="00EF74AB">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476AFC7B" w14:textId="77777777" w:rsidR="00A90382" w:rsidRPr="00E02B5D" w:rsidRDefault="00A90382" w:rsidP="00D16F13">
            <w:pPr>
              <w:spacing w:after="0" w:line="240" w:lineRule="auto"/>
              <w:rPr>
                <w:rFonts w:ascii="Times New Roman" w:eastAsia="Times New Roman" w:hAnsi="Times New Roman" w:cs="Times New Roman"/>
                <w:noProof/>
                <w:sz w:val="18"/>
                <w:szCs w:val="18"/>
              </w:rPr>
            </w:pPr>
            <w:r>
              <w:rPr>
                <w:noProof/>
                <w:color w:val="006100"/>
                <w:sz w:val="18"/>
              </w:rPr>
              <w:t>356</w:t>
            </w:r>
          </w:p>
        </w:tc>
        <w:tc>
          <w:tcPr>
            <w:tcW w:w="2078" w:type="dxa"/>
            <w:tcBorders>
              <w:top w:val="single" w:sz="4" w:space="0" w:color="auto"/>
              <w:left w:val="nil"/>
              <w:bottom w:val="single" w:sz="4" w:space="0" w:color="auto"/>
              <w:right w:val="single" w:sz="4" w:space="0" w:color="auto"/>
            </w:tcBorders>
            <w:shd w:val="clear" w:color="auto" w:fill="C6EFCE"/>
            <w:noWrap/>
          </w:tcPr>
          <w:p w14:paraId="6E64E7DA"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20-5.1. REPowerEU reformid – 16990_Võrgu ja salvestusvõimsuse suurendamine – salvestusinvesteeringute edendamine </w:t>
            </w:r>
          </w:p>
        </w:tc>
        <w:tc>
          <w:tcPr>
            <w:tcW w:w="1007" w:type="dxa"/>
            <w:tcBorders>
              <w:top w:val="single" w:sz="4" w:space="0" w:color="auto"/>
              <w:left w:val="nil"/>
              <w:bottom w:val="single" w:sz="4" w:space="0" w:color="auto"/>
              <w:right w:val="single" w:sz="4" w:space="0" w:color="auto"/>
            </w:tcBorders>
            <w:shd w:val="clear" w:color="auto" w:fill="C6EFCE"/>
            <w:noWrap/>
          </w:tcPr>
          <w:p w14:paraId="301F88FD"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Eesmärk</w:t>
            </w:r>
          </w:p>
        </w:tc>
        <w:tc>
          <w:tcPr>
            <w:tcW w:w="1134" w:type="dxa"/>
            <w:tcBorders>
              <w:top w:val="single" w:sz="4" w:space="0" w:color="auto"/>
              <w:left w:val="nil"/>
              <w:bottom w:val="single" w:sz="4" w:space="0" w:color="auto"/>
              <w:right w:val="single" w:sz="4" w:space="0" w:color="auto"/>
            </w:tcBorders>
            <w:shd w:val="clear" w:color="auto" w:fill="C6EFCE"/>
            <w:noWrap/>
          </w:tcPr>
          <w:p w14:paraId="44D70FE0"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Õigusraamistiku jõustumine.</w:t>
            </w:r>
          </w:p>
        </w:tc>
        <w:tc>
          <w:tcPr>
            <w:tcW w:w="1163" w:type="dxa"/>
            <w:tcBorders>
              <w:top w:val="single" w:sz="4" w:space="0" w:color="auto"/>
              <w:left w:val="nil"/>
              <w:bottom w:val="single" w:sz="4" w:space="0" w:color="auto"/>
              <w:right w:val="single" w:sz="4" w:space="0" w:color="auto"/>
            </w:tcBorders>
            <w:shd w:val="clear" w:color="auto" w:fill="C6EFCE"/>
            <w:noWrap/>
          </w:tcPr>
          <w:p w14:paraId="0988E689" w14:textId="77777777" w:rsidR="00A90382" w:rsidRPr="00E02B5D" w:rsidRDefault="00A90382">
            <w:pPr>
              <w:spacing w:after="0" w:line="240" w:lineRule="auto"/>
              <w:rPr>
                <w:rFonts w:ascii="Times New Roman" w:eastAsia="Times New Roman" w:hAnsi="Times New Roman" w:cs="Times New Roman"/>
                <w:noProof/>
                <w:sz w:val="18"/>
                <w:szCs w:val="18"/>
              </w:rPr>
            </w:pPr>
            <w:r>
              <w:rPr>
                <w:noProof/>
                <w:color w:val="006100"/>
                <w:sz w:val="18"/>
              </w:rPr>
              <w:t xml:space="preserve">Ministrite ühisotsus </w:t>
            </w:r>
            <w:r>
              <w:rPr>
                <w:rFonts w:ascii="Times New Roman" w:hAnsi="Times New Roman"/>
                <w:noProof/>
                <w:sz w:val="18"/>
              </w:rPr>
              <w:t xml:space="preserve"> </w:t>
            </w:r>
          </w:p>
        </w:tc>
        <w:tc>
          <w:tcPr>
            <w:tcW w:w="992" w:type="dxa"/>
            <w:tcBorders>
              <w:top w:val="nil"/>
              <w:left w:val="nil"/>
              <w:bottom w:val="single" w:sz="4" w:space="0" w:color="auto"/>
              <w:right w:val="single" w:sz="4" w:space="0" w:color="auto"/>
            </w:tcBorders>
            <w:shd w:val="clear" w:color="auto" w:fill="C6EFCE"/>
            <w:noWrap/>
          </w:tcPr>
          <w:p w14:paraId="6400C74C" w14:textId="77777777" w:rsidR="00A90382" w:rsidRPr="00E02B5D" w:rsidRDefault="00A90382">
            <w:pPr>
              <w:spacing w:after="0" w:line="240" w:lineRule="auto"/>
              <w:rPr>
                <w:rFonts w:ascii="Times New Roman" w:eastAsia="Times New Roman" w:hAnsi="Times New Roman" w:cs="Times New Roman"/>
                <w:noProof/>
                <w:sz w:val="18"/>
                <w:szCs w:val="18"/>
                <w:lang w:val="en-GB" w:eastAsia="en-GB"/>
              </w:rPr>
            </w:pPr>
          </w:p>
        </w:tc>
        <w:tc>
          <w:tcPr>
            <w:tcW w:w="1192" w:type="dxa"/>
            <w:tcBorders>
              <w:top w:val="nil"/>
              <w:left w:val="nil"/>
              <w:bottom w:val="single" w:sz="4" w:space="0" w:color="auto"/>
              <w:right w:val="single" w:sz="4" w:space="0" w:color="auto"/>
            </w:tcBorders>
            <w:shd w:val="clear" w:color="auto" w:fill="C6EFCE"/>
            <w:noWrap/>
          </w:tcPr>
          <w:p w14:paraId="0CEA8AED" w14:textId="77777777" w:rsidR="00A90382" w:rsidRPr="00E02B5D" w:rsidRDefault="00A90382">
            <w:pPr>
              <w:spacing w:after="0" w:line="240" w:lineRule="auto"/>
              <w:rPr>
                <w:rFonts w:ascii="Times New Roman" w:eastAsia="Times New Roman" w:hAnsi="Times New Roman" w:cs="Times New Roman"/>
                <w:noProof/>
                <w:sz w:val="18"/>
                <w:szCs w:val="18"/>
                <w:lang w:val="en-GB" w:eastAsia="en-GB"/>
              </w:rPr>
            </w:pPr>
          </w:p>
        </w:tc>
        <w:tc>
          <w:tcPr>
            <w:tcW w:w="666" w:type="dxa"/>
            <w:tcBorders>
              <w:top w:val="nil"/>
              <w:left w:val="nil"/>
              <w:bottom w:val="single" w:sz="4" w:space="0" w:color="auto"/>
              <w:right w:val="single" w:sz="4" w:space="0" w:color="auto"/>
            </w:tcBorders>
            <w:shd w:val="clear" w:color="auto" w:fill="C6EFCE"/>
            <w:noWrap/>
          </w:tcPr>
          <w:p w14:paraId="1CE0512F" w14:textId="77777777" w:rsidR="00A90382" w:rsidRPr="00E02B5D" w:rsidRDefault="00A90382">
            <w:pPr>
              <w:spacing w:after="0" w:line="240" w:lineRule="auto"/>
              <w:rPr>
                <w:rFonts w:ascii="Times New Roman" w:eastAsia="Times New Roman" w:hAnsi="Times New Roman" w:cs="Times New Roman"/>
                <w:noProof/>
                <w:sz w:val="18"/>
                <w:szCs w:val="18"/>
                <w:lang w:val="en-GB" w:eastAsia="en-GB"/>
              </w:rPr>
            </w:pPr>
          </w:p>
        </w:tc>
        <w:tc>
          <w:tcPr>
            <w:tcW w:w="931" w:type="dxa"/>
            <w:gridSpan w:val="2"/>
            <w:tcBorders>
              <w:top w:val="nil"/>
              <w:left w:val="nil"/>
              <w:bottom w:val="single" w:sz="4" w:space="0" w:color="auto"/>
              <w:right w:val="single" w:sz="4" w:space="0" w:color="auto"/>
            </w:tcBorders>
            <w:shd w:val="clear" w:color="auto" w:fill="C6EFCE"/>
            <w:noWrap/>
          </w:tcPr>
          <w:p w14:paraId="64973C8F" w14:textId="77777777" w:rsidR="00A90382" w:rsidRPr="00E02B5D" w:rsidRDefault="00A90382">
            <w:pPr>
              <w:spacing w:after="120" w:line="240" w:lineRule="auto"/>
              <w:rPr>
                <w:rFonts w:eastAsia="Times New Roman"/>
                <w:noProof/>
                <w:color w:val="006100"/>
                <w:sz w:val="18"/>
                <w:szCs w:val="18"/>
              </w:rPr>
            </w:pPr>
            <w:r>
              <w:rPr>
                <w:noProof/>
                <w:color w:val="006100"/>
                <w:sz w:val="18"/>
              </w:rPr>
              <w:t>2. kv</w:t>
            </w:r>
          </w:p>
        </w:tc>
        <w:tc>
          <w:tcPr>
            <w:tcW w:w="911" w:type="dxa"/>
            <w:tcBorders>
              <w:top w:val="nil"/>
              <w:left w:val="nil"/>
              <w:bottom w:val="single" w:sz="4" w:space="0" w:color="auto"/>
              <w:right w:val="single" w:sz="4" w:space="0" w:color="auto"/>
            </w:tcBorders>
            <w:shd w:val="clear" w:color="auto" w:fill="C6EFCE"/>
            <w:noWrap/>
          </w:tcPr>
          <w:p w14:paraId="18FB148A" w14:textId="77777777" w:rsidR="00A90382" w:rsidRPr="00E02B5D" w:rsidRDefault="00A90382">
            <w:pPr>
              <w:spacing w:after="120" w:line="240" w:lineRule="auto"/>
              <w:rPr>
                <w:rFonts w:eastAsia="Times New Roman"/>
                <w:noProof/>
                <w:color w:val="006100"/>
                <w:sz w:val="18"/>
                <w:szCs w:val="18"/>
              </w:rPr>
            </w:pPr>
            <w:r>
              <w:rPr>
                <w:noProof/>
                <w:color w:val="006100"/>
                <w:sz w:val="18"/>
              </w:rPr>
              <w:t>2024</w:t>
            </w:r>
          </w:p>
        </w:tc>
        <w:tc>
          <w:tcPr>
            <w:tcW w:w="3529" w:type="dxa"/>
            <w:tcBorders>
              <w:top w:val="single" w:sz="4" w:space="0" w:color="auto"/>
              <w:left w:val="nil"/>
              <w:bottom w:val="single" w:sz="4" w:space="0" w:color="auto"/>
              <w:right w:val="single" w:sz="4" w:space="0" w:color="auto"/>
            </w:tcBorders>
            <w:shd w:val="clear" w:color="auto" w:fill="C6EFCE"/>
            <w:noWrap/>
          </w:tcPr>
          <w:p w14:paraId="734FBCC2" w14:textId="77777777" w:rsidR="00A90382" w:rsidRPr="00E02B5D" w:rsidRDefault="00A90382">
            <w:pPr>
              <w:spacing w:after="0" w:line="240" w:lineRule="auto"/>
              <w:rPr>
                <w:rFonts w:ascii="Times New Roman" w:eastAsia="Times New Roman" w:hAnsi="Times New Roman" w:cs="Times New Roman"/>
                <w:noProof/>
                <w:sz w:val="18"/>
                <w:szCs w:val="18"/>
              </w:rPr>
            </w:pPr>
            <w:r>
              <w:rPr>
                <w:noProof/>
                <w:color w:val="006100"/>
                <w:sz w:val="18"/>
              </w:rPr>
              <w:t xml:space="preserve">Jõustub ministrite ühisotsus, millega kehtestatakse olemasolevatele või uutele taastuvenergial põhinevatele elektrijaamadele salvestusseadmete paigaldamist võimaldav raamistik, millega nähakse ette eelisjärjekorras lubade andmise kord ja juurdepääs kõnealustele elektrijaamadele võrgule. </w:t>
            </w:r>
          </w:p>
        </w:tc>
      </w:tr>
      <w:tr w:rsidR="00A90382" w:rsidRPr="003B132A" w14:paraId="0C6D6EF6" w14:textId="77777777" w:rsidTr="00EF74AB">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30390A5" w14:textId="77777777" w:rsidR="00A90382" w:rsidRPr="00E02B5D" w:rsidRDefault="00A90382" w:rsidP="00D16F13">
            <w:pPr>
              <w:spacing w:after="0" w:line="240" w:lineRule="auto"/>
              <w:rPr>
                <w:rFonts w:ascii="Times New Roman" w:eastAsia="Times New Roman" w:hAnsi="Times New Roman" w:cs="Times New Roman"/>
                <w:noProof/>
                <w:sz w:val="18"/>
                <w:szCs w:val="18"/>
              </w:rPr>
            </w:pPr>
            <w:r>
              <w:rPr>
                <w:noProof/>
                <w:color w:val="006100"/>
                <w:sz w:val="18"/>
              </w:rPr>
              <w:t>357</w:t>
            </w:r>
          </w:p>
        </w:tc>
        <w:tc>
          <w:tcPr>
            <w:tcW w:w="2078" w:type="dxa"/>
            <w:tcBorders>
              <w:top w:val="single" w:sz="4" w:space="0" w:color="auto"/>
              <w:left w:val="nil"/>
              <w:bottom w:val="single" w:sz="4" w:space="0" w:color="auto"/>
              <w:right w:val="single" w:sz="4" w:space="0" w:color="auto"/>
            </w:tcBorders>
            <w:shd w:val="clear" w:color="auto" w:fill="C6EFCE"/>
            <w:noWrap/>
          </w:tcPr>
          <w:p w14:paraId="1AD1062D"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20-5.1. Kava „REPowerEU“ reformid – 16990_Grid ja hoiustamisvõimsus – hoidlatesse tehtavate investeeringute edendamine</w:t>
            </w:r>
          </w:p>
        </w:tc>
        <w:tc>
          <w:tcPr>
            <w:tcW w:w="1007" w:type="dxa"/>
            <w:tcBorders>
              <w:top w:val="single" w:sz="4" w:space="0" w:color="auto"/>
              <w:left w:val="nil"/>
              <w:bottom w:val="single" w:sz="4" w:space="0" w:color="auto"/>
              <w:right w:val="single" w:sz="4" w:space="0" w:color="auto"/>
            </w:tcBorders>
            <w:shd w:val="clear" w:color="auto" w:fill="C6EFCE"/>
            <w:noWrap/>
          </w:tcPr>
          <w:p w14:paraId="5FE6A5F7"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 xml:space="preserve">Eesmärk </w:t>
            </w:r>
          </w:p>
        </w:tc>
        <w:tc>
          <w:tcPr>
            <w:tcW w:w="1134" w:type="dxa"/>
            <w:tcBorders>
              <w:top w:val="single" w:sz="4" w:space="0" w:color="auto"/>
              <w:left w:val="nil"/>
              <w:bottom w:val="single" w:sz="4" w:space="0" w:color="auto"/>
              <w:right w:val="single" w:sz="4" w:space="0" w:color="auto"/>
            </w:tcBorders>
            <w:shd w:val="clear" w:color="auto" w:fill="C6EFCE"/>
            <w:noWrap/>
          </w:tcPr>
          <w:p w14:paraId="2E79E8B9"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Toetuskava jõustumine. </w:t>
            </w:r>
          </w:p>
        </w:tc>
        <w:tc>
          <w:tcPr>
            <w:tcW w:w="1163" w:type="dxa"/>
            <w:tcBorders>
              <w:top w:val="single" w:sz="4" w:space="0" w:color="auto"/>
              <w:left w:val="nil"/>
              <w:bottom w:val="single" w:sz="4" w:space="0" w:color="auto"/>
              <w:right w:val="single" w:sz="4" w:space="0" w:color="auto"/>
            </w:tcBorders>
            <w:shd w:val="clear" w:color="auto" w:fill="C6EFCE"/>
            <w:noWrap/>
          </w:tcPr>
          <w:p w14:paraId="15E1BB94"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Seadus ja/või ministri otsus</w:t>
            </w:r>
          </w:p>
        </w:tc>
        <w:tc>
          <w:tcPr>
            <w:tcW w:w="992" w:type="dxa"/>
            <w:tcBorders>
              <w:top w:val="single" w:sz="4" w:space="0" w:color="auto"/>
              <w:left w:val="nil"/>
              <w:bottom w:val="single" w:sz="4" w:space="0" w:color="auto"/>
              <w:right w:val="single" w:sz="4" w:space="0" w:color="auto"/>
            </w:tcBorders>
            <w:shd w:val="clear" w:color="auto" w:fill="C6EFCE"/>
            <w:noWrap/>
          </w:tcPr>
          <w:p w14:paraId="0FE5E35A" w14:textId="77777777" w:rsidR="00A90382" w:rsidRPr="00E02B5D" w:rsidRDefault="00A90382">
            <w:pPr>
              <w:spacing w:after="0" w:line="240" w:lineRule="auto"/>
              <w:rPr>
                <w:rFonts w:ascii="Times New Roman" w:eastAsia="Times New Roman" w:hAnsi="Times New Roman" w:cs="Times New Roman"/>
                <w:noProof/>
                <w:sz w:val="18"/>
                <w:szCs w:val="18"/>
                <w:lang w:val="en-GB" w:eastAsia="en-GB"/>
              </w:rPr>
            </w:pPr>
          </w:p>
        </w:tc>
        <w:tc>
          <w:tcPr>
            <w:tcW w:w="1192" w:type="dxa"/>
            <w:tcBorders>
              <w:top w:val="single" w:sz="4" w:space="0" w:color="auto"/>
              <w:left w:val="nil"/>
              <w:bottom w:val="single" w:sz="4" w:space="0" w:color="auto"/>
              <w:right w:val="single" w:sz="4" w:space="0" w:color="auto"/>
            </w:tcBorders>
            <w:shd w:val="clear" w:color="auto" w:fill="C6EFCE"/>
            <w:noWrap/>
          </w:tcPr>
          <w:p w14:paraId="014FAB39" w14:textId="77777777" w:rsidR="00A90382" w:rsidRPr="00E02B5D" w:rsidRDefault="00A90382">
            <w:pPr>
              <w:spacing w:after="0" w:line="240" w:lineRule="auto"/>
              <w:rPr>
                <w:rFonts w:ascii="Times New Roman" w:eastAsia="Times New Roman" w:hAnsi="Times New Roman" w:cs="Times New Roman"/>
                <w:noProof/>
                <w:sz w:val="18"/>
                <w:szCs w:val="18"/>
                <w:lang w:val="en-GB" w:eastAsia="en-GB"/>
              </w:rPr>
            </w:pPr>
          </w:p>
        </w:tc>
        <w:tc>
          <w:tcPr>
            <w:tcW w:w="666" w:type="dxa"/>
            <w:tcBorders>
              <w:top w:val="single" w:sz="4" w:space="0" w:color="auto"/>
              <w:left w:val="nil"/>
              <w:bottom w:val="single" w:sz="4" w:space="0" w:color="auto"/>
              <w:right w:val="single" w:sz="4" w:space="0" w:color="auto"/>
            </w:tcBorders>
            <w:shd w:val="clear" w:color="auto" w:fill="C6EFCE"/>
            <w:noWrap/>
          </w:tcPr>
          <w:p w14:paraId="68684DAC" w14:textId="77777777" w:rsidR="00A90382" w:rsidRPr="00E02B5D" w:rsidRDefault="00A90382">
            <w:pPr>
              <w:spacing w:after="0" w:line="240" w:lineRule="auto"/>
              <w:rPr>
                <w:rFonts w:ascii="Times New Roman" w:eastAsia="Times New Roman" w:hAnsi="Times New Roman" w:cs="Times New Roman"/>
                <w:noProof/>
                <w:sz w:val="18"/>
                <w:szCs w:val="18"/>
                <w:lang w:val="en-GB" w:eastAsia="en-GB"/>
              </w:rPr>
            </w:pPr>
          </w:p>
        </w:tc>
        <w:tc>
          <w:tcPr>
            <w:tcW w:w="931" w:type="dxa"/>
            <w:gridSpan w:val="2"/>
            <w:tcBorders>
              <w:top w:val="single" w:sz="4" w:space="0" w:color="auto"/>
              <w:left w:val="nil"/>
              <w:bottom w:val="single" w:sz="4" w:space="0" w:color="auto"/>
              <w:right w:val="single" w:sz="4" w:space="0" w:color="auto"/>
            </w:tcBorders>
            <w:shd w:val="clear" w:color="auto" w:fill="C6EFCE"/>
            <w:noWrap/>
          </w:tcPr>
          <w:p w14:paraId="0478A086" w14:textId="77777777" w:rsidR="00A90382" w:rsidRPr="00E02B5D" w:rsidRDefault="00A90382">
            <w:pPr>
              <w:spacing w:after="120" w:line="240" w:lineRule="auto"/>
              <w:rPr>
                <w:rFonts w:eastAsia="Times New Roman"/>
                <w:noProof/>
                <w:color w:val="006100"/>
                <w:sz w:val="18"/>
                <w:szCs w:val="18"/>
              </w:rPr>
            </w:pPr>
            <w:r>
              <w:rPr>
                <w:noProof/>
                <w:color w:val="006100"/>
                <w:sz w:val="18"/>
              </w:rPr>
              <w:t>2. kv</w:t>
            </w:r>
          </w:p>
        </w:tc>
        <w:tc>
          <w:tcPr>
            <w:tcW w:w="911" w:type="dxa"/>
            <w:tcBorders>
              <w:top w:val="single" w:sz="4" w:space="0" w:color="auto"/>
              <w:left w:val="nil"/>
              <w:bottom w:val="single" w:sz="4" w:space="0" w:color="auto"/>
              <w:right w:val="single" w:sz="4" w:space="0" w:color="auto"/>
            </w:tcBorders>
            <w:shd w:val="clear" w:color="auto" w:fill="C6EFCE"/>
            <w:noWrap/>
          </w:tcPr>
          <w:p w14:paraId="22B2D5E0" w14:textId="77777777" w:rsidR="00A90382" w:rsidRPr="00E02B5D" w:rsidRDefault="00A90382">
            <w:pPr>
              <w:spacing w:after="120" w:line="240" w:lineRule="auto"/>
              <w:rPr>
                <w:rFonts w:eastAsia="Times New Roman"/>
                <w:noProof/>
                <w:color w:val="006100"/>
                <w:sz w:val="18"/>
                <w:szCs w:val="18"/>
              </w:rPr>
            </w:pPr>
            <w:r>
              <w:rPr>
                <w:noProof/>
                <w:color w:val="006100"/>
                <w:sz w:val="18"/>
              </w:rPr>
              <w:t>2025</w:t>
            </w:r>
          </w:p>
        </w:tc>
        <w:tc>
          <w:tcPr>
            <w:tcW w:w="3529" w:type="dxa"/>
            <w:tcBorders>
              <w:top w:val="single" w:sz="4" w:space="0" w:color="auto"/>
              <w:left w:val="nil"/>
              <w:bottom w:val="single" w:sz="4" w:space="0" w:color="auto"/>
              <w:right w:val="single" w:sz="4" w:space="0" w:color="auto"/>
            </w:tcBorders>
            <w:shd w:val="clear" w:color="auto" w:fill="C6EFCE"/>
            <w:noWrap/>
          </w:tcPr>
          <w:p w14:paraId="41C3B7C2"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Toetuskava jõustumine enampakkumiste kaudu, mis hõlmavad fotogalvaanilise ja akusalvestustehnoloogiaga ühendatud taastuvenergia salvestusseadmeid. </w:t>
            </w:r>
          </w:p>
        </w:tc>
      </w:tr>
    </w:tbl>
    <w:p w14:paraId="777EA951" w14:textId="77777777" w:rsidR="00A90382" w:rsidRPr="00E02B5D" w:rsidRDefault="00A90382" w:rsidP="00D16F13">
      <w:pPr>
        <w:keepNext/>
        <w:keepLines/>
        <w:spacing w:before="240" w:after="0" w:line="240" w:lineRule="auto"/>
        <w:jc w:val="both"/>
        <w:outlineLvl w:val="4"/>
        <w:rPr>
          <w:rFonts w:ascii="Cambria" w:eastAsia="Times New Roman" w:hAnsi="Cambria"/>
          <w:noProof/>
          <w:color w:val="365F91"/>
          <w:sz w:val="24"/>
          <w:szCs w:val="24"/>
        </w:rPr>
      </w:pPr>
      <w:r>
        <w:rPr>
          <w:rFonts w:ascii="Cambria" w:hAnsi="Cambria"/>
          <w:noProof/>
          <w:color w:val="365F91" w:themeColor="accent1" w:themeShade="BF"/>
          <w:sz w:val="24"/>
        </w:rPr>
        <w:t>Reform 5: Arukat võrku käsitlev õigusraamistik (meetme ID: 16991)</w:t>
      </w:r>
    </w:p>
    <w:tbl>
      <w:tblPr>
        <w:tblW w:w="14596" w:type="dxa"/>
        <w:tblLayout w:type="fixed"/>
        <w:tblLook w:val="04A0" w:firstRow="1" w:lastRow="0" w:firstColumn="1" w:lastColumn="0" w:noHBand="0" w:noVBand="1"/>
      </w:tblPr>
      <w:tblGrid>
        <w:gridCol w:w="1106"/>
        <w:gridCol w:w="2020"/>
        <w:gridCol w:w="982"/>
        <w:gridCol w:w="1105"/>
        <w:gridCol w:w="1696"/>
        <w:gridCol w:w="954"/>
        <w:gridCol w:w="996"/>
        <w:gridCol w:w="652"/>
        <w:gridCol w:w="899"/>
        <w:gridCol w:w="10"/>
        <w:gridCol w:w="889"/>
        <w:gridCol w:w="3287"/>
      </w:tblGrid>
      <w:tr w:rsidR="00C35E51" w:rsidRPr="003B132A" w14:paraId="4639F544" w14:textId="77777777" w:rsidTr="00EF74AB">
        <w:trPr>
          <w:trHeight w:val="1125"/>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327CDD" w14:textId="77777777" w:rsidR="00C35E51" w:rsidRPr="00E02B5D" w:rsidRDefault="00C35E51" w:rsidP="00EF74AB">
            <w:pPr>
              <w:spacing w:before="120" w:after="120" w:line="240" w:lineRule="auto"/>
              <w:jc w:val="center"/>
              <w:rPr>
                <w:rFonts w:ascii="Times New Roman" w:hAnsi="Times New Roman" w:cs="Times New Roman"/>
                <w:noProof/>
                <w:sz w:val="24"/>
              </w:rPr>
            </w:pPr>
            <w:r>
              <w:rPr>
                <w:rFonts w:ascii="Times New Roman" w:hAnsi="Times New Roman"/>
                <w:b/>
                <w:noProof/>
                <w:sz w:val="18"/>
              </w:rPr>
              <w:t>Järjekorranumber</w:t>
            </w:r>
          </w:p>
        </w:tc>
        <w:tc>
          <w:tcPr>
            <w:tcW w:w="2078" w:type="dxa"/>
            <w:vMerge w:val="restart"/>
            <w:tcBorders>
              <w:top w:val="single" w:sz="4" w:space="0" w:color="auto"/>
              <w:left w:val="single" w:sz="4" w:space="0" w:color="auto"/>
              <w:right w:val="single" w:sz="4" w:space="0" w:color="auto"/>
            </w:tcBorders>
            <w:shd w:val="clear" w:color="auto" w:fill="BDD7EE"/>
            <w:vAlign w:val="center"/>
            <w:hideMark/>
          </w:tcPr>
          <w:p w14:paraId="18ED0E9E" w14:textId="77777777" w:rsidR="00C35E51" w:rsidRPr="00E02B5D" w:rsidRDefault="00C35E51" w:rsidP="00EF74AB">
            <w:pPr>
              <w:spacing w:before="120" w:after="120" w:line="240" w:lineRule="auto"/>
              <w:jc w:val="center"/>
              <w:rPr>
                <w:rFonts w:ascii="Times New Roman" w:hAnsi="Times New Roman" w:cs="Times New Roman"/>
                <w:noProof/>
                <w:sz w:val="24"/>
              </w:rPr>
            </w:pPr>
            <w:r>
              <w:rPr>
                <w:rFonts w:ascii="Times New Roman" w:hAnsi="Times New Roman"/>
                <w:b/>
                <w:noProof/>
                <w:sz w:val="18"/>
              </w:rPr>
              <w:t>Seotud meede (reform või investeering)</w:t>
            </w:r>
          </w:p>
        </w:tc>
        <w:tc>
          <w:tcPr>
            <w:tcW w:w="1007" w:type="dxa"/>
            <w:vMerge w:val="restart"/>
            <w:tcBorders>
              <w:top w:val="single" w:sz="4" w:space="0" w:color="auto"/>
              <w:left w:val="single" w:sz="4" w:space="0" w:color="auto"/>
              <w:right w:val="single" w:sz="4" w:space="0" w:color="auto"/>
            </w:tcBorders>
            <w:shd w:val="clear" w:color="auto" w:fill="BDD7EE"/>
            <w:vAlign w:val="center"/>
            <w:hideMark/>
          </w:tcPr>
          <w:p w14:paraId="59567F31" w14:textId="77777777" w:rsidR="00C35E51" w:rsidRPr="00E02B5D" w:rsidRDefault="00C35E51" w:rsidP="00EF74AB">
            <w:pPr>
              <w:spacing w:before="120" w:after="120" w:line="240" w:lineRule="auto"/>
              <w:jc w:val="center"/>
              <w:rPr>
                <w:rFonts w:ascii="Times New Roman" w:hAnsi="Times New Roman" w:cs="Times New Roman"/>
                <w:noProof/>
                <w:sz w:val="24"/>
              </w:rPr>
            </w:pPr>
            <w:r>
              <w:rPr>
                <w:rFonts w:ascii="Times New Roman" w:hAnsi="Times New Roman"/>
                <w:b/>
                <w:noProof/>
                <w:sz w:val="18"/>
              </w:rPr>
              <w:t>Eesmärk / siht</w:t>
            </w:r>
          </w:p>
        </w:tc>
        <w:tc>
          <w:tcPr>
            <w:tcW w:w="1134" w:type="dxa"/>
            <w:vMerge w:val="restart"/>
            <w:tcBorders>
              <w:top w:val="single" w:sz="4" w:space="0" w:color="auto"/>
              <w:left w:val="single" w:sz="4" w:space="0" w:color="auto"/>
              <w:right w:val="single" w:sz="4" w:space="0" w:color="auto"/>
            </w:tcBorders>
            <w:shd w:val="clear" w:color="auto" w:fill="BDD7EE"/>
            <w:vAlign w:val="center"/>
            <w:hideMark/>
          </w:tcPr>
          <w:p w14:paraId="665A52B1" w14:textId="77777777" w:rsidR="00C35E51" w:rsidRPr="00E02B5D" w:rsidRDefault="00C35E51" w:rsidP="00EF74AB">
            <w:pPr>
              <w:spacing w:before="120" w:after="120" w:line="240" w:lineRule="auto"/>
              <w:jc w:val="center"/>
              <w:rPr>
                <w:rFonts w:ascii="Times New Roman" w:hAnsi="Times New Roman" w:cs="Times New Roman"/>
                <w:noProof/>
                <w:sz w:val="24"/>
              </w:rPr>
            </w:pPr>
            <w:r>
              <w:rPr>
                <w:rFonts w:ascii="Times New Roman" w:hAnsi="Times New Roman"/>
                <w:b/>
                <w:noProof/>
                <w:sz w:val="18"/>
              </w:rPr>
              <w:t>Nimi</w:t>
            </w:r>
          </w:p>
        </w:tc>
        <w:tc>
          <w:tcPr>
            <w:tcW w:w="1744" w:type="dxa"/>
            <w:vMerge w:val="restart"/>
            <w:tcBorders>
              <w:top w:val="single" w:sz="4" w:space="0" w:color="auto"/>
              <w:left w:val="single" w:sz="4" w:space="0" w:color="auto"/>
              <w:right w:val="single" w:sz="4" w:space="0" w:color="auto"/>
            </w:tcBorders>
            <w:shd w:val="clear" w:color="auto" w:fill="BDD7EE"/>
            <w:vAlign w:val="center"/>
            <w:hideMark/>
          </w:tcPr>
          <w:p w14:paraId="32232C9D" w14:textId="77777777" w:rsidR="00C35E51" w:rsidRPr="00E02B5D" w:rsidRDefault="00C35E51" w:rsidP="00EF74AB">
            <w:pPr>
              <w:spacing w:before="120" w:after="120" w:line="240" w:lineRule="auto"/>
              <w:jc w:val="center"/>
              <w:rPr>
                <w:rFonts w:ascii="Times New Roman" w:hAnsi="Times New Roman" w:cs="Times New Roman"/>
                <w:noProof/>
                <w:sz w:val="24"/>
              </w:rPr>
            </w:pPr>
            <w:r>
              <w:rPr>
                <w:rFonts w:ascii="Times New Roman" w:hAnsi="Times New Roman"/>
                <w:b/>
                <w:noProof/>
                <w:sz w:val="18"/>
              </w:rPr>
              <w:t>Kvalitatiivsed näitajad (eesmärkide puhul)</w:t>
            </w:r>
          </w:p>
        </w:tc>
        <w:tc>
          <w:tcPr>
            <w:tcW w:w="226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A73547C" w14:textId="77777777" w:rsidR="00C35E51" w:rsidRPr="00E02B5D" w:rsidRDefault="00C35E51" w:rsidP="00EF74AB">
            <w:pPr>
              <w:spacing w:before="120" w:after="120" w:line="240" w:lineRule="auto"/>
              <w:jc w:val="center"/>
              <w:rPr>
                <w:rFonts w:ascii="Times New Roman" w:hAnsi="Times New Roman" w:cs="Times New Roman"/>
                <w:noProof/>
                <w:sz w:val="24"/>
              </w:rPr>
            </w:pPr>
            <w:r>
              <w:rPr>
                <w:rFonts w:ascii="Times New Roman" w:hAnsi="Times New Roman"/>
                <w:b/>
                <w:noProof/>
                <w:sz w:val="18"/>
              </w:rPr>
              <w:t>Kvantitatiivsed näitajad (sihtide puhul)</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14:paraId="057CDD89" w14:textId="77777777" w:rsidR="00C35E51" w:rsidRPr="00E02B5D" w:rsidRDefault="00C35E51" w:rsidP="00EF74AB">
            <w:pPr>
              <w:spacing w:before="120" w:after="120" w:line="240" w:lineRule="auto"/>
              <w:jc w:val="center"/>
              <w:rPr>
                <w:rFonts w:ascii="Times New Roman" w:hAnsi="Times New Roman" w:cs="Times New Roman"/>
                <w:noProof/>
                <w:sz w:val="24"/>
              </w:rPr>
            </w:pPr>
            <w:r>
              <w:rPr>
                <w:rFonts w:ascii="Times New Roman" w:hAnsi="Times New Roman"/>
                <w:b/>
                <w:noProof/>
                <w:sz w:val="18"/>
              </w:rPr>
              <w:t>Lõpuleviimise soovituslik ajakava</w:t>
            </w:r>
          </w:p>
        </w:tc>
        <w:tc>
          <w:tcPr>
            <w:tcW w:w="33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24B84FF" w14:textId="77777777" w:rsidR="00C35E51" w:rsidRPr="00E02B5D" w:rsidRDefault="00C35E51" w:rsidP="00EF74AB">
            <w:pPr>
              <w:spacing w:before="120" w:after="120" w:line="240" w:lineRule="auto"/>
              <w:jc w:val="center"/>
              <w:rPr>
                <w:rFonts w:ascii="Times New Roman" w:hAnsi="Times New Roman" w:cs="Times New Roman"/>
                <w:noProof/>
                <w:sz w:val="24"/>
              </w:rPr>
            </w:pPr>
            <w:r>
              <w:rPr>
                <w:rFonts w:ascii="Times New Roman" w:hAnsi="Times New Roman"/>
                <w:b/>
                <w:noProof/>
                <w:sz w:val="18"/>
              </w:rPr>
              <w:t>Iga eesmärgi ja sihi kirjeldus</w:t>
            </w:r>
          </w:p>
        </w:tc>
      </w:tr>
      <w:tr w:rsidR="00C35E51" w:rsidRPr="00E02B5D" w14:paraId="261F257C" w14:textId="77777777" w:rsidTr="00EF74AB">
        <w:trPr>
          <w:trHeight w:val="848"/>
          <w:tblHeader/>
        </w:trPr>
        <w:tc>
          <w:tcPr>
            <w:tcW w:w="1134" w:type="dxa"/>
            <w:vMerge/>
            <w:tcBorders>
              <w:top w:val="single" w:sz="4" w:space="0" w:color="auto"/>
              <w:left w:val="single" w:sz="4" w:space="0" w:color="auto"/>
              <w:bottom w:val="single" w:sz="4" w:space="0" w:color="auto"/>
            </w:tcBorders>
            <w:vAlign w:val="center"/>
          </w:tcPr>
          <w:p w14:paraId="3883083F" w14:textId="77777777" w:rsidR="00C35E51" w:rsidRPr="00AD4052" w:rsidRDefault="00C35E51" w:rsidP="00EF74AB">
            <w:pPr>
              <w:spacing w:before="120" w:after="120" w:line="240" w:lineRule="auto"/>
              <w:jc w:val="center"/>
              <w:rPr>
                <w:rFonts w:ascii="Times New Roman" w:eastAsia="Times New Roman" w:hAnsi="Times New Roman" w:cs="Times New Roman"/>
                <w:b/>
                <w:bCs/>
                <w:noProof/>
                <w:sz w:val="18"/>
                <w:szCs w:val="18"/>
                <w:lang w:eastAsia="en-GB"/>
              </w:rPr>
            </w:pPr>
          </w:p>
        </w:tc>
        <w:tc>
          <w:tcPr>
            <w:tcW w:w="2078" w:type="dxa"/>
            <w:vMerge/>
            <w:tcBorders>
              <w:left w:val="single" w:sz="4" w:space="0" w:color="auto"/>
              <w:bottom w:val="single" w:sz="4" w:space="0" w:color="auto"/>
              <w:right w:val="single" w:sz="4" w:space="0" w:color="auto"/>
            </w:tcBorders>
            <w:shd w:val="clear" w:color="auto" w:fill="BDD7EE"/>
            <w:vAlign w:val="center"/>
          </w:tcPr>
          <w:p w14:paraId="15E02ADC" w14:textId="77777777" w:rsidR="00C35E51" w:rsidRPr="00AD4052" w:rsidRDefault="00C35E51" w:rsidP="00EF74AB">
            <w:pPr>
              <w:spacing w:before="120" w:after="120" w:line="240" w:lineRule="auto"/>
              <w:jc w:val="center"/>
              <w:rPr>
                <w:rFonts w:ascii="Times New Roman" w:eastAsia="Times New Roman" w:hAnsi="Times New Roman" w:cs="Times New Roman"/>
                <w:b/>
                <w:bCs/>
                <w:noProof/>
                <w:sz w:val="18"/>
                <w:szCs w:val="18"/>
                <w:lang w:eastAsia="en-GB"/>
              </w:rPr>
            </w:pPr>
          </w:p>
        </w:tc>
        <w:tc>
          <w:tcPr>
            <w:tcW w:w="1007" w:type="dxa"/>
            <w:vMerge/>
            <w:tcBorders>
              <w:left w:val="single" w:sz="4" w:space="0" w:color="auto"/>
              <w:bottom w:val="single" w:sz="4" w:space="0" w:color="auto"/>
              <w:right w:val="single" w:sz="4" w:space="0" w:color="auto"/>
            </w:tcBorders>
            <w:shd w:val="clear" w:color="auto" w:fill="BDD7EE"/>
            <w:vAlign w:val="center"/>
          </w:tcPr>
          <w:p w14:paraId="53D908D2" w14:textId="77777777" w:rsidR="00C35E51" w:rsidRPr="00AD4052" w:rsidRDefault="00C35E51" w:rsidP="00EF74AB">
            <w:pPr>
              <w:spacing w:before="120" w:after="120" w:line="240" w:lineRule="auto"/>
              <w:jc w:val="center"/>
              <w:rPr>
                <w:rFonts w:ascii="Times New Roman" w:eastAsia="Times New Roman" w:hAnsi="Times New Roman" w:cs="Times New Roman"/>
                <w:b/>
                <w:bCs/>
                <w:noProof/>
                <w:sz w:val="18"/>
                <w:szCs w:val="18"/>
                <w:lang w:eastAsia="en-GB"/>
              </w:rPr>
            </w:pPr>
          </w:p>
        </w:tc>
        <w:tc>
          <w:tcPr>
            <w:tcW w:w="1134" w:type="dxa"/>
            <w:vMerge/>
            <w:tcBorders>
              <w:left w:val="single" w:sz="4" w:space="0" w:color="auto"/>
              <w:bottom w:val="single" w:sz="4" w:space="0" w:color="auto"/>
              <w:right w:val="single" w:sz="4" w:space="0" w:color="auto"/>
            </w:tcBorders>
            <w:shd w:val="clear" w:color="auto" w:fill="BDD7EE"/>
            <w:vAlign w:val="center"/>
          </w:tcPr>
          <w:p w14:paraId="48344465" w14:textId="77777777" w:rsidR="00C35E51" w:rsidRPr="00AD4052" w:rsidRDefault="00C35E51" w:rsidP="00EF74AB">
            <w:pPr>
              <w:spacing w:after="0" w:line="240" w:lineRule="auto"/>
              <w:rPr>
                <w:rFonts w:eastAsia="Times New Roman" w:cs="Calibri"/>
                <w:noProof/>
                <w:color w:val="006100"/>
                <w:sz w:val="18"/>
                <w:szCs w:val="18"/>
                <w:lang w:eastAsia="en-GB"/>
              </w:rPr>
            </w:pPr>
          </w:p>
        </w:tc>
        <w:tc>
          <w:tcPr>
            <w:tcW w:w="1744" w:type="dxa"/>
            <w:vMerge/>
            <w:tcBorders>
              <w:left w:val="single" w:sz="4" w:space="0" w:color="auto"/>
              <w:bottom w:val="single" w:sz="4" w:space="0" w:color="auto"/>
              <w:right w:val="single" w:sz="4" w:space="0" w:color="auto"/>
            </w:tcBorders>
            <w:shd w:val="clear" w:color="auto" w:fill="BDD7EE"/>
            <w:vAlign w:val="center"/>
          </w:tcPr>
          <w:p w14:paraId="1830A3F2" w14:textId="77777777" w:rsidR="00C35E51" w:rsidRPr="00AD4052" w:rsidRDefault="00C35E51" w:rsidP="00EF74AB">
            <w:pPr>
              <w:spacing w:before="120" w:after="120" w:line="240" w:lineRule="auto"/>
              <w:jc w:val="center"/>
              <w:rPr>
                <w:rFonts w:ascii="Times New Roman" w:eastAsia="Times New Roman" w:hAnsi="Times New Roman" w:cs="Times New Roman"/>
                <w:b/>
                <w:bCs/>
                <w:noProof/>
                <w:sz w:val="18"/>
                <w:szCs w:val="18"/>
                <w:lang w:eastAsia="en-GB"/>
              </w:rPr>
            </w:pPr>
          </w:p>
        </w:tc>
        <w:tc>
          <w:tcPr>
            <w:tcW w:w="978" w:type="dxa"/>
            <w:tcBorders>
              <w:top w:val="single" w:sz="4" w:space="0" w:color="auto"/>
              <w:left w:val="single" w:sz="4" w:space="0" w:color="auto"/>
              <w:bottom w:val="single" w:sz="4" w:space="0" w:color="auto"/>
              <w:right w:val="single" w:sz="4" w:space="0" w:color="auto"/>
            </w:tcBorders>
            <w:shd w:val="clear" w:color="auto" w:fill="BDD7EE"/>
            <w:vAlign w:val="center"/>
          </w:tcPr>
          <w:p w14:paraId="1D0E38CF" w14:textId="77777777" w:rsidR="00C35E51" w:rsidRPr="00E02B5D" w:rsidRDefault="00C35E51" w:rsidP="00EF74AB">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021" w:type="dxa"/>
            <w:tcBorders>
              <w:top w:val="single" w:sz="4" w:space="0" w:color="auto"/>
              <w:left w:val="nil"/>
              <w:bottom w:val="single" w:sz="4" w:space="0" w:color="auto"/>
              <w:right w:val="single" w:sz="4" w:space="0" w:color="auto"/>
            </w:tcBorders>
            <w:shd w:val="clear" w:color="auto" w:fill="BDD7EE"/>
            <w:vAlign w:val="center"/>
          </w:tcPr>
          <w:p w14:paraId="45A61206" w14:textId="77777777" w:rsidR="00C35E51" w:rsidRPr="00E02B5D" w:rsidRDefault="00C35E51" w:rsidP="00EF74AB">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666" w:type="dxa"/>
            <w:tcBorders>
              <w:top w:val="single" w:sz="4" w:space="0" w:color="auto"/>
              <w:left w:val="nil"/>
              <w:bottom w:val="single" w:sz="4" w:space="0" w:color="auto"/>
              <w:right w:val="single" w:sz="4" w:space="0" w:color="auto"/>
            </w:tcBorders>
            <w:shd w:val="clear" w:color="auto" w:fill="BDD7EE"/>
            <w:vAlign w:val="center"/>
          </w:tcPr>
          <w:p w14:paraId="0F0E4C32" w14:textId="77777777" w:rsidR="00C35E51" w:rsidRPr="00E02B5D" w:rsidRDefault="00C35E51" w:rsidP="00EF74AB">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921" w:type="dxa"/>
            <w:tcBorders>
              <w:top w:val="single" w:sz="4" w:space="0" w:color="auto"/>
              <w:left w:val="nil"/>
              <w:bottom w:val="single" w:sz="4" w:space="0" w:color="auto"/>
              <w:right w:val="single" w:sz="4" w:space="0" w:color="auto"/>
            </w:tcBorders>
            <w:shd w:val="clear" w:color="auto" w:fill="BDD7EE"/>
            <w:vAlign w:val="center"/>
          </w:tcPr>
          <w:p w14:paraId="328DCFBD" w14:textId="77777777" w:rsidR="00C35E51" w:rsidRPr="00E02B5D" w:rsidRDefault="00C35E51" w:rsidP="00EF74AB">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14:paraId="05675AA2" w14:textId="77777777" w:rsidR="00C35E51" w:rsidRPr="00E02B5D" w:rsidRDefault="00C35E51" w:rsidP="00EF74AB">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388" w:type="dxa"/>
            <w:vMerge/>
            <w:tcBorders>
              <w:bottom w:val="single" w:sz="4" w:space="0" w:color="auto"/>
              <w:right w:val="single" w:sz="4" w:space="0" w:color="auto"/>
            </w:tcBorders>
            <w:vAlign w:val="center"/>
          </w:tcPr>
          <w:p w14:paraId="690CAB93" w14:textId="77777777" w:rsidR="00C35E51" w:rsidRPr="00E02B5D" w:rsidRDefault="00C35E51" w:rsidP="00EF74AB">
            <w:pPr>
              <w:spacing w:before="120" w:after="120" w:line="240" w:lineRule="auto"/>
              <w:jc w:val="center"/>
              <w:rPr>
                <w:rFonts w:ascii="Times New Roman" w:eastAsia="Times New Roman" w:hAnsi="Times New Roman" w:cs="Times New Roman"/>
                <w:b/>
                <w:bCs/>
                <w:noProof/>
                <w:sz w:val="18"/>
                <w:szCs w:val="18"/>
                <w:lang w:val="en-GB" w:eastAsia="en-GB"/>
              </w:rPr>
            </w:pPr>
          </w:p>
        </w:tc>
      </w:tr>
      <w:tr w:rsidR="00A90382" w:rsidRPr="003B132A" w14:paraId="6C79D180" w14:textId="77777777" w:rsidTr="00EF74AB">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13EDBBEC" w14:textId="77777777" w:rsidR="00A90382" w:rsidRPr="00E02B5D" w:rsidRDefault="00A90382" w:rsidP="00EF74AB">
            <w:pPr>
              <w:spacing w:after="0" w:line="240" w:lineRule="auto"/>
              <w:rPr>
                <w:rFonts w:ascii="Times New Roman" w:eastAsia="Times New Roman" w:hAnsi="Times New Roman" w:cs="Times New Roman"/>
                <w:noProof/>
                <w:sz w:val="18"/>
                <w:szCs w:val="18"/>
              </w:rPr>
            </w:pPr>
            <w:r>
              <w:rPr>
                <w:noProof/>
                <w:color w:val="006100"/>
                <w:sz w:val="18"/>
              </w:rPr>
              <w:t>358</w:t>
            </w:r>
          </w:p>
        </w:tc>
        <w:tc>
          <w:tcPr>
            <w:tcW w:w="2078" w:type="dxa"/>
            <w:tcBorders>
              <w:top w:val="single" w:sz="4" w:space="0" w:color="auto"/>
              <w:left w:val="nil"/>
              <w:bottom w:val="single" w:sz="4" w:space="0" w:color="auto"/>
              <w:right w:val="single" w:sz="4" w:space="0" w:color="auto"/>
            </w:tcBorders>
            <w:shd w:val="clear" w:color="auto" w:fill="C6EFCE"/>
            <w:noWrap/>
          </w:tcPr>
          <w:p w14:paraId="224F1737"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20-5.1. REPowerEU reformid – 16991_Regulatiivne raamistik aruka võrgu suunas liikumiseks</w:t>
            </w:r>
          </w:p>
        </w:tc>
        <w:tc>
          <w:tcPr>
            <w:tcW w:w="1007" w:type="dxa"/>
            <w:tcBorders>
              <w:top w:val="single" w:sz="4" w:space="0" w:color="auto"/>
              <w:left w:val="nil"/>
              <w:bottom w:val="single" w:sz="4" w:space="0" w:color="auto"/>
              <w:right w:val="single" w:sz="4" w:space="0" w:color="auto"/>
            </w:tcBorders>
            <w:shd w:val="clear" w:color="auto" w:fill="C6EFCE"/>
            <w:noWrap/>
          </w:tcPr>
          <w:p w14:paraId="4F3A6196"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Eesmärk</w:t>
            </w:r>
          </w:p>
        </w:tc>
        <w:tc>
          <w:tcPr>
            <w:tcW w:w="1134" w:type="dxa"/>
            <w:tcBorders>
              <w:top w:val="single" w:sz="4" w:space="0" w:color="auto"/>
              <w:left w:val="nil"/>
              <w:bottom w:val="single" w:sz="4" w:space="0" w:color="auto"/>
              <w:right w:val="single" w:sz="4" w:space="0" w:color="auto"/>
            </w:tcBorders>
            <w:shd w:val="clear" w:color="auto" w:fill="C6EFCE"/>
            <w:noWrap/>
          </w:tcPr>
          <w:p w14:paraId="0DBE91B6"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Stiimulitel põhineva süsteemi väljatöötamine jaotusvõrguettevõtja ja tarbijate jaoks, et suurendada arukate arvestite kasutuselevõttu ja kasutamist.</w:t>
            </w:r>
          </w:p>
        </w:tc>
        <w:tc>
          <w:tcPr>
            <w:tcW w:w="1744" w:type="dxa"/>
            <w:tcBorders>
              <w:top w:val="single" w:sz="4" w:space="0" w:color="auto"/>
              <w:left w:val="nil"/>
              <w:bottom w:val="single" w:sz="4" w:space="0" w:color="auto"/>
              <w:right w:val="single" w:sz="4" w:space="0" w:color="auto"/>
            </w:tcBorders>
            <w:shd w:val="clear" w:color="auto" w:fill="C6EFCE"/>
            <w:noWrap/>
          </w:tcPr>
          <w:p w14:paraId="62E89AE7" w14:textId="77777777" w:rsidR="00A90382" w:rsidRPr="00AD4052" w:rsidRDefault="00A90382" w:rsidP="00EF74AB">
            <w:pPr>
              <w:spacing w:after="0" w:line="240" w:lineRule="auto"/>
              <w:rPr>
                <w:rFonts w:eastAsia="Times New Roman" w:cs="Calibri"/>
                <w:noProof/>
                <w:color w:val="006100"/>
                <w:sz w:val="18"/>
                <w:szCs w:val="18"/>
                <w:lang w:eastAsia="en-GB"/>
              </w:rPr>
            </w:pPr>
          </w:p>
          <w:p w14:paraId="108B7B12" w14:textId="77777777" w:rsidR="00A90382" w:rsidRPr="00E02B5D" w:rsidRDefault="00A90382" w:rsidP="00EF74AB">
            <w:pPr>
              <w:spacing w:after="0" w:line="240" w:lineRule="auto"/>
              <w:rPr>
                <w:rFonts w:ascii="Times New Roman" w:eastAsia="Times New Roman" w:hAnsi="Times New Roman" w:cs="Times New Roman"/>
                <w:noProof/>
                <w:sz w:val="18"/>
                <w:szCs w:val="18"/>
              </w:rPr>
            </w:pPr>
            <w:r>
              <w:rPr>
                <w:noProof/>
                <w:color w:val="006100"/>
                <w:sz w:val="18"/>
              </w:rPr>
              <w:t>Ministrite ühisotsus/reguleerija otsus</w:t>
            </w:r>
          </w:p>
        </w:tc>
        <w:tc>
          <w:tcPr>
            <w:tcW w:w="978" w:type="dxa"/>
            <w:tcBorders>
              <w:top w:val="nil"/>
              <w:left w:val="nil"/>
              <w:bottom w:val="single" w:sz="4" w:space="0" w:color="auto"/>
              <w:right w:val="single" w:sz="4" w:space="0" w:color="auto"/>
            </w:tcBorders>
            <w:shd w:val="clear" w:color="auto" w:fill="C6EFCE"/>
            <w:noWrap/>
          </w:tcPr>
          <w:p w14:paraId="51FD0B46" w14:textId="77777777" w:rsidR="00A90382" w:rsidRPr="00E02B5D" w:rsidRDefault="00A90382" w:rsidP="00EF74AB">
            <w:pPr>
              <w:spacing w:after="0" w:line="240" w:lineRule="auto"/>
              <w:rPr>
                <w:rFonts w:ascii="Times New Roman" w:eastAsia="Times New Roman" w:hAnsi="Times New Roman" w:cs="Times New Roman"/>
                <w:noProof/>
                <w:sz w:val="18"/>
                <w:szCs w:val="18"/>
                <w:lang w:val="en-GB" w:eastAsia="en-GB"/>
              </w:rPr>
            </w:pPr>
          </w:p>
        </w:tc>
        <w:tc>
          <w:tcPr>
            <w:tcW w:w="1021" w:type="dxa"/>
            <w:tcBorders>
              <w:top w:val="nil"/>
              <w:left w:val="nil"/>
              <w:bottom w:val="single" w:sz="4" w:space="0" w:color="auto"/>
              <w:right w:val="single" w:sz="4" w:space="0" w:color="auto"/>
            </w:tcBorders>
            <w:shd w:val="clear" w:color="auto" w:fill="C6EFCE"/>
            <w:noWrap/>
          </w:tcPr>
          <w:p w14:paraId="73A65CEF" w14:textId="77777777" w:rsidR="00A90382" w:rsidRPr="00E02B5D" w:rsidRDefault="00A90382" w:rsidP="00EF74AB">
            <w:pPr>
              <w:spacing w:after="0" w:line="240" w:lineRule="auto"/>
              <w:rPr>
                <w:rFonts w:ascii="Times New Roman" w:eastAsia="Times New Roman" w:hAnsi="Times New Roman" w:cs="Times New Roman"/>
                <w:noProof/>
                <w:sz w:val="18"/>
                <w:szCs w:val="18"/>
                <w:lang w:val="en-GB" w:eastAsia="en-GB"/>
              </w:rPr>
            </w:pPr>
          </w:p>
        </w:tc>
        <w:tc>
          <w:tcPr>
            <w:tcW w:w="666" w:type="dxa"/>
            <w:tcBorders>
              <w:top w:val="nil"/>
              <w:left w:val="nil"/>
              <w:bottom w:val="single" w:sz="4" w:space="0" w:color="auto"/>
              <w:right w:val="single" w:sz="4" w:space="0" w:color="auto"/>
            </w:tcBorders>
            <w:shd w:val="clear" w:color="auto" w:fill="C6EFCE"/>
            <w:noWrap/>
          </w:tcPr>
          <w:p w14:paraId="50483B3A" w14:textId="77777777" w:rsidR="00A90382" w:rsidRPr="00E02B5D" w:rsidRDefault="00A90382" w:rsidP="00EF74AB">
            <w:pPr>
              <w:spacing w:after="0" w:line="240" w:lineRule="auto"/>
              <w:rPr>
                <w:rFonts w:ascii="Times New Roman" w:eastAsia="Times New Roman" w:hAnsi="Times New Roman" w:cs="Times New Roman"/>
                <w:noProof/>
                <w:sz w:val="18"/>
                <w:szCs w:val="18"/>
                <w:lang w:val="en-GB" w:eastAsia="en-GB"/>
              </w:rPr>
            </w:pPr>
          </w:p>
        </w:tc>
        <w:tc>
          <w:tcPr>
            <w:tcW w:w="931" w:type="dxa"/>
            <w:gridSpan w:val="2"/>
            <w:tcBorders>
              <w:top w:val="nil"/>
              <w:left w:val="nil"/>
              <w:bottom w:val="single" w:sz="4" w:space="0" w:color="auto"/>
              <w:right w:val="single" w:sz="4" w:space="0" w:color="auto"/>
            </w:tcBorders>
            <w:shd w:val="clear" w:color="auto" w:fill="C6EFCE"/>
            <w:noWrap/>
          </w:tcPr>
          <w:p w14:paraId="7E150A64" w14:textId="77777777" w:rsidR="00A90382" w:rsidRPr="00E02B5D" w:rsidRDefault="00A90382" w:rsidP="00EF74AB">
            <w:pPr>
              <w:spacing w:after="120" w:line="240" w:lineRule="auto"/>
              <w:rPr>
                <w:rFonts w:eastAsia="Times New Roman"/>
                <w:noProof/>
                <w:color w:val="006100"/>
                <w:sz w:val="18"/>
                <w:szCs w:val="18"/>
              </w:rPr>
            </w:pPr>
            <w:r>
              <w:rPr>
                <w:noProof/>
                <w:color w:val="006100"/>
                <w:sz w:val="18"/>
              </w:rPr>
              <w:t>2. kv</w:t>
            </w:r>
          </w:p>
        </w:tc>
        <w:tc>
          <w:tcPr>
            <w:tcW w:w="911" w:type="dxa"/>
            <w:tcBorders>
              <w:top w:val="nil"/>
              <w:left w:val="nil"/>
              <w:bottom w:val="single" w:sz="4" w:space="0" w:color="auto"/>
              <w:right w:val="single" w:sz="4" w:space="0" w:color="auto"/>
            </w:tcBorders>
            <w:shd w:val="clear" w:color="auto" w:fill="C6EFCE"/>
            <w:noWrap/>
          </w:tcPr>
          <w:p w14:paraId="083C94DE" w14:textId="77777777" w:rsidR="00A90382" w:rsidRPr="00E02B5D" w:rsidRDefault="00A90382" w:rsidP="00EF74AB">
            <w:pPr>
              <w:spacing w:after="120" w:line="240" w:lineRule="auto"/>
              <w:rPr>
                <w:rFonts w:eastAsia="Times New Roman"/>
                <w:noProof/>
                <w:color w:val="006100"/>
                <w:sz w:val="18"/>
                <w:szCs w:val="18"/>
              </w:rPr>
            </w:pPr>
            <w:r>
              <w:rPr>
                <w:noProof/>
                <w:color w:val="006100"/>
                <w:sz w:val="18"/>
              </w:rPr>
              <w:t>2024</w:t>
            </w:r>
          </w:p>
        </w:tc>
        <w:tc>
          <w:tcPr>
            <w:tcW w:w="3388" w:type="dxa"/>
            <w:tcBorders>
              <w:top w:val="single" w:sz="4" w:space="0" w:color="auto"/>
              <w:left w:val="nil"/>
              <w:bottom w:val="single" w:sz="4" w:space="0" w:color="auto"/>
              <w:right w:val="single" w:sz="4" w:space="0" w:color="auto"/>
            </w:tcBorders>
            <w:shd w:val="clear" w:color="auto" w:fill="C6EFCE"/>
            <w:noWrap/>
          </w:tcPr>
          <w:p w14:paraId="1727C9EA" w14:textId="77777777" w:rsidR="00A90382" w:rsidRPr="00E02B5D" w:rsidRDefault="00A90382" w:rsidP="00EF74AB">
            <w:pPr>
              <w:spacing w:after="0" w:line="240" w:lineRule="auto"/>
              <w:rPr>
                <w:rFonts w:ascii="Times New Roman" w:eastAsia="Times New Roman" w:hAnsi="Times New Roman" w:cs="Times New Roman"/>
                <w:noProof/>
                <w:sz w:val="18"/>
                <w:szCs w:val="18"/>
              </w:rPr>
            </w:pPr>
            <w:r>
              <w:rPr>
                <w:noProof/>
                <w:color w:val="006100"/>
                <w:sz w:val="18"/>
              </w:rPr>
              <w:t>Jõustub ministri ühisotsus/otsus, millega töötatakse välja stiimulitel põhinev süsteem jaotusvõrguettevõtja ja tarbijate jaoks, et suurendada arukate arvestite kasutuselevõttu ja kasutamist.</w:t>
            </w:r>
          </w:p>
        </w:tc>
      </w:tr>
      <w:tr w:rsidR="00A90382" w:rsidRPr="003B132A" w14:paraId="6DB8DF87" w14:textId="77777777" w:rsidTr="00EF74AB">
        <w:trPr>
          <w:trHeight w:val="1526"/>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1866FDE2" w14:textId="77777777" w:rsidR="00A90382" w:rsidRPr="00E02B5D" w:rsidRDefault="00A90382" w:rsidP="00EF74AB">
            <w:pPr>
              <w:spacing w:after="0" w:line="240" w:lineRule="auto"/>
              <w:rPr>
                <w:rFonts w:asciiTheme="minorHAnsi" w:eastAsia="Times New Roman" w:hAnsiTheme="minorHAnsi" w:cs="Times New Roman"/>
                <w:noProof/>
                <w:sz w:val="18"/>
                <w:szCs w:val="18"/>
              </w:rPr>
            </w:pPr>
            <w:r>
              <w:rPr>
                <w:noProof/>
                <w:color w:val="006100"/>
                <w:sz w:val="18"/>
              </w:rPr>
              <w:t>359</w:t>
            </w:r>
          </w:p>
        </w:tc>
        <w:tc>
          <w:tcPr>
            <w:tcW w:w="2078" w:type="dxa"/>
            <w:tcBorders>
              <w:top w:val="single" w:sz="4" w:space="0" w:color="auto"/>
              <w:left w:val="nil"/>
              <w:bottom w:val="single" w:sz="4" w:space="0" w:color="auto"/>
              <w:right w:val="single" w:sz="4" w:space="0" w:color="auto"/>
            </w:tcBorders>
            <w:shd w:val="clear" w:color="auto" w:fill="C6EFCE"/>
            <w:noWrap/>
          </w:tcPr>
          <w:p w14:paraId="42268D9C"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20-5.1. REPowerEU reformid – 16991_Regulatiivne raamistik aruka võrgu suunas liikumiseks</w:t>
            </w:r>
          </w:p>
        </w:tc>
        <w:tc>
          <w:tcPr>
            <w:tcW w:w="1007" w:type="dxa"/>
            <w:tcBorders>
              <w:top w:val="single" w:sz="4" w:space="0" w:color="auto"/>
              <w:left w:val="nil"/>
              <w:bottom w:val="single" w:sz="4" w:space="0" w:color="auto"/>
              <w:right w:val="single" w:sz="4" w:space="0" w:color="auto"/>
            </w:tcBorders>
            <w:shd w:val="clear" w:color="auto" w:fill="C6EFCE"/>
            <w:noWrap/>
          </w:tcPr>
          <w:p w14:paraId="5C137096"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 xml:space="preserve">Eesmärk </w:t>
            </w:r>
          </w:p>
        </w:tc>
        <w:tc>
          <w:tcPr>
            <w:tcW w:w="1134" w:type="dxa"/>
            <w:tcBorders>
              <w:top w:val="single" w:sz="4" w:space="0" w:color="auto"/>
              <w:left w:val="nil"/>
              <w:bottom w:val="single" w:sz="4" w:space="0" w:color="auto"/>
              <w:right w:val="single" w:sz="4" w:space="0" w:color="auto"/>
            </w:tcBorders>
            <w:shd w:val="clear" w:color="auto" w:fill="C6EFCE"/>
            <w:noWrap/>
          </w:tcPr>
          <w:p w14:paraId="70D31F4E"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 xml:space="preserve">Dünaamilise hinnakujunduse lepingute raamistik </w:t>
            </w:r>
          </w:p>
        </w:tc>
        <w:tc>
          <w:tcPr>
            <w:tcW w:w="1744" w:type="dxa"/>
            <w:tcBorders>
              <w:top w:val="single" w:sz="4" w:space="0" w:color="auto"/>
              <w:left w:val="nil"/>
              <w:bottom w:val="single" w:sz="4" w:space="0" w:color="auto"/>
              <w:right w:val="single" w:sz="4" w:space="0" w:color="auto"/>
            </w:tcBorders>
            <w:shd w:val="clear" w:color="auto" w:fill="C6EFCE"/>
            <w:noWrap/>
          </w:tcPr>
          <w:p w14:paraId="6E64D3FE" w14:textId="77777777" w:rsidR="00A90382" w:rsidRPr="00E02B5D" w:rsidRDefault="00A90382" w:rsidP="00EF74AB">
            <w:pPr>
              <w:spacing w:after="0" w:line="240" w:lineRule="auto"/>
              <w:rPr>
                <w:rFonts w:eastAsia="Times New Roman" w:cs="Calibri"/>
                <w:noProof/>
                <w:color w:val="006100"/>
                <w:sz w:val="18"/>
                <w:szCs w:val="18"/>
                <w:lang w:val="en-GB" w:eastAsia="en-GB"/>
              </w:rPr>
            </w:pPr>
          </w:p>
          <w:p w14:paraId="2D259D67"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Ministrite otsus</w:t>
            </w:r>
          </w:p>
        </w:tc>
        <w:tc>
          <w:tcPr>
            <w:tcW w:w="978" w:type="dxa"/>
            <w:tcBorders>
              <w:top w:val="single" w:sz="4" w:space="0" w:color="auto"/>
              <w:left w:val="nil"/>
              <w:bottom w:val="single" w:sz="4" w:space="0" w:color="auto"/>
              <w:right w:val="single" w:sz="4" w:space="0" w:color="auto"/>
            </w:tcBorders>
            <w:shd w:val="clear" w:color="auto" w:fill="C6EFCE"/>
            <w:noWrap/>
          </w:tcPr>
          <w:p w14:paraId="17144213" w14:textId="77777777" w:rsidR="00A90382" w:rsidRPr="00E02B5D" w:rsidRDefault="00A90382" w:rsidP="00EF74AB">
            <w:pPr>
              <w:spacing w:after="0" w:line="240" w:lineRule="auto"/>
              <w:rPr>
                <w:rFonts w:ascii="Times New Roman" w:eastAsia="Times New Roman" w:hAnsi="Times New Roman" w:cs="Times New Roman"/>
                <w:noProof/>
                <w:sz w:val="18"/>
                <w:szCs w:val="18"/>
                <w:lang w:val="en-GB" w:eastAsia="en-GB"/>
              </w:rPr>
            </w:pPr>
          </w:p>
        </w:tc>
        <w:tc>
          <w:tcPr>
            <w:tcW w:w="1021" w:type="dxa"/>
            <w:tcBorders>
              <w:top w:val="single" w:sz="4" w:space="0" w:color="auto"/>
              <w:left w:val="nil"/>
              <w:bottom w:val="single" w:sz="4" w:space="0" w:color="auto"/>
              <w:right w:val="single" w:sz="4" w:space="0" w:color="auto"/>
            </w:tcBorders>
            <w:shd w:val="clear" w:color="auto" w:fill="C6EFCE"/>
            <w:noWrap/>
          </w:tcPr>
          <w:p w14:paraId="7F379B94" w14:textId="77777777" w:rsidR="00A90382" w:rsidRPr="00E02B5D" w:rsidRDefault="00A90382" w:rsidP="00EF74AB">
            <w:pPr>
              <w:spacing w:after="0" w:line="240" w:lineRule="auto"/>
              <w:rPr>
                <w:rFonts w:ascii="Times New Roman" w:eastAsia="Times New Roman" w:hAnsi="Times New Roman" w:cs="Times New Roman"/>
                <w:noProof/>
                <w:sz w:val="18"/>
                <w:szCs w:val="18"/>
                <w:lang w:val="en-GB" w:eastAsia="en-GB"/>
              </w:rPr>
            </w:pPr>
          </w:p>
        </w:tc>
        <w:tc>
          <w:tcPr>
            <w:tcW w:w="666" w:type="dxa"/>
            <w:tcBorders>
              <w:top w:val="single" w:sz="4" w:space="0" w:color="auto"/>
              <w:left w:val="nil"/>
              <w:bottom w:val="single" w:sz="4" w:space="0" w:color="auto"/>
              <w:right w:val="single" w:sz="4" w:space="0" w:color="auto"/>
            </w:tcBorders>
            <w:shd w:val="clear" w:color="auto" w:fill="C6EFCE"/>
            <w:noWrap/>
          </w:tcPr>
          <w:p w14:paraId="13588450" w14:textId="77777777" w:rsidR="00A90382" w:rsidRPr="00E02B5D" w:rsidRDefault="00A90382" w:rsidP="00EF74AB">
            <w:pPr>
              <w:spacing w:after="0" w:line="240" w:lineRule="auto"/>
              <w:rPr>
                <w:rFonts w:ascii="Times New Roman" w:eastAsia="Times New Roman" w:hAnsi="Times New Roman" w:cs="Times New Roman"/>
                <w:noProof/>
                <w:sz w:val="18"/>
                <w:szCs w:val="18"/>
                <w:lang w:val="en-GB" w:eastAsia="en-GB"/>
              </w:rPr>
            </w:pPr>
          </w:p>
        </w:tc>
        <w:tc>
          <w:tcPr>
            <w:tcW w:w="931" w:type="dxa"/>
            <w:gridSpan w:val="2"/>
            <w:tcBorders>
              <w:top w:val="single" w:sz="4" w:space="0" w:color="auto"/>
              <w:left w:val="nil"/>
              <w:bottom w:val="single" w:sz="4" w:space="0" w:color="auto"/>
              <w:right w:val="single" w:sz="4" w:space="0" w:color="auto"/>
            </w:tcBorders>
            <w:shd w:val="clear" w:color="auto" w:fill="C6EFCE"/>
            <w:noWrap/>
          </w:tcPr>
          <w:p w14:paraId="45D8BB2B" w14:textId="77777777" w:rsidR="00A90382" w:rsidRPr="00E02B5D" w:rsidRDefault="00A90382" w:rsidP="00EF74AB">
            <w:pPr>
              <w:spacing w:after="120" w:line="240" w:lineRule="auto"/>
              <w:rPr>
                <w:rFonts w:eastAsia="Times New Roman"/>
                <w:noProof/>
                <w:color w:val="006100"/>
                <w:sz w:val="18"/>
                <w:szCs w:val="18"/>
              </w:rPr>
            </w:pPr>
            <w:r>
              <w:rPr>
                <w:noProof/>
                <w:color w:val="006100"/>
                <w:sz w:val="18"/>
              </w:rPr>
              <w:t>4. kv</w:t>
            </w:r>
          </w:p>
        </w:tc>
        <w:tc>
          <w:tcPr>
            <w:tcW w:w="911" w:type="dxa"/>
            <w:tcBorders>
              <w:top w:val="single" w:sz="4" w:space="0" w:color="auto"/>
              <w:left w:val="nil"/>
              <w:bottom w:val="single" w:sz="4" w:space="0" w:color="auto"/>
              <w:right w:val="single" w:sz="4" w:space="0" w:color="auto"/>
            </w:tcBorders>
            <w:shd w:val="clear" w:color="auto" w:fill="C6EFCE"/>
            <w:noWrap/>
          </w:tcPr>
          <w:p w14:paraId="26912CC0" w14:textId="77777777" w:rsidR="00A90382" w:rsidRPr="00E02B5D" w:rsidRDefault="00A90382" w:rsidP="00EF74AB">
            <w:pPr>
              <w:spacing w:after="120" w:line="240" w:lineRule="auto"/>
              <w:rPr>
                <w:rFonts w:eastAsia="Times New Roman"/>
                <w:noProof/>
                <w:color w:val="006100"/>
                <w:sz w:val="18"/>
                <w:szCs w:val="18"/>
              </w:rPr>
            </w:pPr>
            <w:r>
              <w:rPr>
                <w:noProof/>
                <w:color w:val="006100"/>
                <w:sz w:val="18"/>
              </w:rPr>
              <w:t>2024</w:t>
            </w:r>
          </w:p>
        </w:tc>
        <w:tc>
          <w:tcPr>
            <w:tcW w:w="3388" w:type="dxa"/>
            <w:tcBorders>
              <w:top w:val="single" w:sz="4" w:space="0" w:color="auto"/>
              <w:left w:val="nil"/>
              <w:bottom w:val="single" w:sz="4" w:space="0" w:color="auto"/>
              <w:right w:val="single" w:sz="4" w:space="0" w:color="auto"/>
            </w:tcBorders>
            <w:shd w:val="clear" w:color="auto" w:fill="C6EFCE"/>
            <w:noWrap/>
          </w:tcPr>
          <w:p w14:paraId="2A6E8A35"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 xml:space="preserve">Dünaamilise hinnakujunduse lepingute raamistiku jõustumine, et rakendada dünaamilist hinnakujundust kõigi lõpptarbijate jaoks niipea, kui nende teenuseühendusse on paigaldatud nutiarvesti. Ministrite ühisotsus, milles sätestatakse kujundusküsimused ja dünaamiliste lepingute põhitingimused. Ministrite ühisotsusega kehtestatakse ettevõtjate, veoseesindajate ja klientide õigused ja kohustused seoses dünaamilise hinnakujunduse rakendamisega. </w:t>
            </w:r>
          </w:p>
        </w:tc>
      </w:tr>
      <w:tr w:rsidR="00A90382" w:rsidRPr="003B132A" w14:paraId="1BE3CBDF" w14:textId="77777777" w:rsidTr="00EF74AB">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8643ACC" w14:textId="77777777" w:rsidR="00A90382" w:rsidRPr="00E02B5D" w:rsidRDefault="00A90382" w:rsidP="00EF74AB">
            <w:pPr>
              <w:spacing w:after="0" w:line="240" w:lineRule="auto"/>
              <w:rPr>
                <w:rFonts w:ascii="Times New Roman" w:eastAsia="Times New Roman" w:hAnsi="Times New Roman" w:cs="Times New Roman"/>
                <w:noProof/>
                <w:sz w:val="18"/>
                <w:szCs w:val="18"/>
              </w:rPr>
            </w:pPr>
            <w:r>
              <w:rPr>
                <w:noProof/>
                <w:color w:val="006100"/>
                <w:sz w:val="18"/>
              </w:rPr>
              <w:t>360</w:t>
            </w:r>
          </w:p>
        </w:tc>
        <w:tc>
          <w:tcPr>
            <w:tcW w:w="2078" w:type="dxa"/>
            <w:tcBorders>
              <w:top w:val="single" w:sz="4" w:space="0" w:color="auto"/>
              <w:left w:val="nil"/>
              <w:bottom w:val="single" w:sz="4" w:space="0" w:color="auto"/>
              <w:right w:val="single" w:sz="4" w:space="0" w:color="auto"/>
            </w:tcBorders>
            <w:shd w:val="clear" w:color="auto" w:fill="C6EFCE"/>
            <w:noWrap/>
          </w:tcPr>
          <w:p w14:paraId="68308E95"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20-5.1. REPowerEU reformid – 16991_Regulatiivne raamistik aruka võrgu suunas liikumiseks</w:t>
            </w:r>
          </w:p>
        </w:tc>
        <w:tc>
          <w:tcPr>
            <w:tcW w:w="1007" w:type="dxa"/>
            <w:tcBorders>
              <w:top w:val="single" w:sz="4" w:space="0" w:color="auto"/>
              <w:left w:val="nil"/>
              <w:bottom w:val="single" w:sz="4" w:space="0" w:color="auto"/>
              <w:right w:val="single" w:sz="4" w:space="0" w:color="auto"/>
            </w:tcBorders>
            <w:shd w:val="clear" w:color="auto" w:fill="C6EFCE"/>
            <w:noWrap/>
          </w:tcPr>
          <w:p w14:paraId="29DAC83E"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Eesmärk</w:t>
            </w:r>
          </w:p>
        </w:tc>
        <w:tc>
          <w:tcPr>
            <w:tcW w:w="1134" w:type="dxa"/>
            <w:tcBorders>
              <w:top w:val="single" w:sz="4" w:space="0" w:color="auto"/>
              <w:left w:val="nil"/>
              <w:bottom w:val="single" w:sz="4" w:space="0" w:color="auto"/>
              <w:right w:val="single" w:sz="4" w:space="0" w:color="auto"/>
            </w:tcBorders>
            <w:shd w:val="clear" w:color="auto" w:fill="C6EFCE"/>
            <w:noWrap/>
          </w:tcPr>
          <w:p w14:paraId="4940AB65"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Jaotusvõrguettevõtja juhtimiskeskuse arendamine</w:t>
            </w:r>
          </w:p>
        </w:tc>
        <w:tc>
          <w:tcPr>
            <w:tcW w:w="1744" w:type="dxa"/>
            <w:tcBorders>
              <w:top w:val="single" w:sz="4" w:space="0" w:color="auto"/>
              <w:left w:val="nil"/>
              <w:bottom w:val="single" w:sz="4" w:space="0" w:color="auto"/>
              <w:right w:val="single" w:sz="4" w:space="0" w:color="auto"/>
            </w:tcBorders>
            <w:shd w:val="clear" w:color="auto" w:fill="C6EFCE"/>
            <w:noWrap/>
          </w:tcPr>
          <w:p w14:paraId="50FC165C"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 xml:space="preserve">Jaotusvõrguettevõtja kinnitus, et kontrollikeskus on heaks kiitnud </w:t>
            </w:r>
          </w:p>
        </w:tc>
        <w:tc>
          <w:tcPr>
            <w:tcW w:w="978" w:type="dxa"/>
            <w:tcBorders>
              <w:top w:val="single" w:sz="4" w:space="0" w:color="auto"/>
              <w:left w:val="nil"/>
              <w:bottom w:val="single" w:sz="4" w:space="0" w:color="auto"/>
              <w:right w:val="single" w:sz="4" w:space="0" w:color="auto"/>
            </w:tcBorders>
            <w:shd w:val="clear" w:color="auto" w:fill="C6EFCE"/>
            <w:noWrap/>
          </w:tcPr>
          <w:p w14:paraId="71F2AB00" w14:textId="77777777" w:rsidR="00A90382" w:rsidRPr="00E02B5D" w:rsidRDefault="00A90382" w:rsidP="00EF74AB">
            <w:pPr>
              <w:spacing w:after="0" w:line="240" w:lineRule="auto"/>
              <w:rPr>
                <w:rFonts w:ascii="Times New Roman" w:eastAsia="Times New Roman" w:hAnsi="Times New Roman" w:cs="Times New Roman"/>
                <w:noProof/>
                <w:sz w:val="18"/>
                <w:szCs w:val="18"/>
                <w:lang w:val="en-GB" w:eastAsia="en-GB"/>
              </w:rPr>
            </w:pPr>
          </w:p>
        </w:tc>
        <w:tc>
          <w:tcPr>
            <w:tcW w:w="1021" w:type="dxa"/>
            <w:tcBorders>
              <w:top w:val="single" w:sz="4" w:space="0" w:color="auto"/>
              <w:left w:val="nil"/>
              <w:bottom w:val="single" w:sz="4" w:space="0" w:color="auto"/>
              <w:right w:val="single" w:sz="4" w:space="0" w:color="auto"/>
            </w:tcBorders>
            <w:shd w:val="clear" w:color="auto" w:fill="C6EFCE"/>
            <w:noWrap/>
          </w:tcPr>
          <w:p w14:paraId="05970834" w14:textId="77777777" w:rsidR="00A90382" w:rsidRPr="00E02B5D" w:rsidRDefault="00A90382" w:rsidP="00EF74AB">
            <w:pPr>
              <w:spacing w:after="0" w:line="240" w:lineRule="auto"/>
              <w:rPr>
                <w:rFonts w:ascii="Times New Roman" w:eastAsia="Times New Roman" w:hAnsi="Times New Roman" w:cs="Times New Roman"/>
                <w:noProof/>
                <w:sz w:val="18"/>
                <w:szCs w:val="18"/>
                <w:lang w:val="en-GB" w:eastAsia="en-GB"/>
              </w:rPr>
            </w:pPr>
          </w:p>
        </w:tc>
        <w:tc>
          <w:tcPr>
            <w:tcW w:w="666" w:type="dxa"/>
            <w:tcBorders>
              <w:top w:val="single" w:sz="4" w:space="0" w:color="auto"/>
              <w:left w:val="nil"/>
              <w:bottom w:val="single" w:sz="4" w:space="0" w:color="auto"/>
              <w:right w:val="single" w:sz="4" w:space="0" w:color="auto"/>
            </w:tcBorders>
            <w:shd w:val="clear" w:color="auto" w:fill="C6EFCE"/>
            <w:noWrap/>
          </w:tcPr>
          <w:p w14:paraId="0E226745" w14:textId="77777777" w:rsidR="00A90382" w:rsidRPr="00E02B5D" w:rsidRDefault="00A90382" w:rsidP="00EF74AB">
            <w:pPr>
              <w:spacing w:after="0" w:line="240" w:lineRule="auto"/>
              <w:rPr>
                <w:rFonts w:ascii="Times New Roman" w:eastAsia="Times New Roman" w:hAnsi="Times New Roman" w:cs="Times New Roman"/>
                <w:noProof/>
                <w:sz w:val="18"/>
                <w:szCs w:val="18"/>
                <w:lang w:val="en-GB" w:eastAsia="en-GB"/>
              </w:rPr>
            </w:pPr>
          </w:p>
        </w:tc>
        <w:tc>
          <w:tcPr>
            <w:tcW w:w="931" w:type="dxa"/>
            <w:gridSpan w:val="2"/>
            <w:tcBorders>
              <w:top w:val="single" w:sz="4" w:space="0" w:color="auto"/>
              <w:left w:val="nil"/>
              <w:bottom w:val="single" w:sz="4" w:space="0" w:color="auto"/>
              <w:right w:val="single" w:sz="4" w:space="0" w:color="auto"/>
            </w:tcBorders>
            <w:shd w:val="clear" w:color="auto" w:fill="C6EFCE"/>
            <w:noWrap/>
          </w:tcPr>
          <w:p w14:paraId="58E07444" w14:textId="77777777" w:rsidR="00A90382" w:rsidRPr="00E02B5D" w:rsidRDefault="00A90382" w:rsidP="00EF74AB">
            <w:pPr>
              <w:spacing w:after="120" w:line="240" w:lineRule="auto"/>
              <w:rPr>
                <w:rFonts w:eastAsia="Times New Roman"/>
                <w:noProof/>
                <w:color w:val="006100"/>
                <w:sz w:val="18"/>
                <w:szCs w:val="18"/>
              </w:rPr>
            </w:pPr>
            <w:r>
              <w:rPr>
                <w:noProof/>
                <w:color w:val="006100"/>
                <w:sz w:val="18"/>
              </w:rPr>
              <w:t>4. kv</w:t>
            </w:r>
          </w:p>
        </w:tc>
        <w:tc>
          <w:tcPr>
            <w:tcW w:w="911" w:type="dxa"/>
            <w:tcBorders>
              <w:top w:val="single" w:sz="4" w:space="0" w:color="auto"/>
              <w:left w:val="nil"/>
              <w:bottom w:val="single" w:sz="4" w:space="0" w:color="auto"/>
              <w:right w:val="single" w:sz="4" w:space="0" w:color="auto"/>
            </w:tcBorders>
            <w:shd w:val="clear" w:color="auto" w:fill="C6EFCE"/>
            <w:noWrap/>
          </w:tcPr>
          <w:p w14:paraId="35D9495E" w14:textId="77777777" w:rsidR="00A90382" w:rsidRPr="00E02B5D" w:rsidRDefault="00A90382" w:rsidP="00EF74AB">
            <w:pPr>
              <w:spacing w:after="120" w:line="240" w:lineRule="auto"/>
              <w:rPr>
                <w:rFonts w:eastAsia="Times New Roman"/>
                <w:noProof/>
                <w:color w:val="006100"/>
                <w:sz w:val="18"/>
                <w:szCs w:val="18"/>
              </w:rPr>
            </w:pPr>
            <w:r>
              <w:rPr>
                <w:noProof/>
                <w:color w:val="006100"/>
                <w:sz w:val="18"/>
              </w:rPr>
              <w:t>2025</w:t>
            </w:r>
          </w:p>
        </w:tc>
        <w:tc>
          <w:tcPr>
            <w:tcW w:w="3388" w:type="dxa"/>
            <w:tcBorders>
              <w:top w:val="single" w:sz="4" w:space="0" w:color="auto"/>
              <w:left w:val="nil"/>
              <w:bottom w:val="single" w:sz="4" w:space="0" w:color="auto"/>
              <w:right w:val="single" w:sz="4" w:space="0" w:color="auto"/>
            </w:tcBorders>
            <w:shd w:val="clear" w:color="auto" w:fill="C6EFCE"/>
            <w:noWrap/>
          </w:tcPr>
          <w:p w14:paraId="6BE06DDE" w14:textId="77777777" w:rsidR="00A90382" w:rsidRPr="00E02B5D" w:rsidRDefault="00A90382" w:rsidP="00EF74AB">
            <w:pPr>
              <w:spacing w:after="0" w:line="240" w:lineRule="auto"/>
              <w:rPr>
                <w:rFonts w:eastAsia="Times New Roman" w:cs="Calibri"/>
                <w:noProof/>
                <w:color w:val="006100"/>
                <w:sz w:val="18"/>
                <w:szCs w:val="18"/>
              </w:rPr>
            </w:pPr>
            <w:r>
              <w:rPr>
                <w:noProof/>
                <w:color w:val="006100"/>
                <w:sz w:val="18"/>
              </w:rPr>
              <w:t>Jaotusvõrguettevõtja kontrollikeskus töötab ja hõlmab uue järelevalvekontrolli ja andmesoe-andmehaldussüsteemi (SCADA-DMS) paigaldamist ja sidepidamist kaugedastusüksustega kõrgepinge/keskmise pingega alajaamades ning vajaliku tugitaristu loomist kolme integreeritud keskuse jaoks.</w:t>
            </w:r>
            <w:r>
              <w:rPr>
                <w:noProof/>
                <w:color w:val="006100"/>
                <w:sz w:val="18"/>
                <w:highlight w:val="yellow"/>
              </w:rPr>
              <w:t xml:space="preserve"> </w:t>
            </w:r>
          </w:p>
        </w:tc>
      </w:tr>
    </w:tbl>
    <w:p w14:paraId="5C2D4926" w14:textId="77777777" w:rsidR="00A90382" w:rsidRDefault="00A90382" w:rsidP="00D16F13">
      <w:pPr>
        <w:keepNext/>
        <w:keepLines/>
        <w:spacing w:before="240" w:after="0" w:line="240" w:lineRule="auto"/>
        <w:jc w:val="both"/>
        <w:outlineLvl w:val="4"/>
        <w:rPr>
          <w:rFonts w:ascii="Cambria" w:hAnsi="Cambria"/>
          <w:noProof/>
          <w:color w:val="365F91" w:themeColor="accent1" w:themeShade="BF"/>
          <w:sz w:val="24"/>
        </w:rPr>
      </w:pPr>
      <w:r>
        <w:rPr>
          <w:rFonts w:ascii="Cambria" w:hAnsi="Cambria"/>
          <w:noProof/>
          <w:color w:val="365F91" w:themeColor="accent1" w:themeShade="BF"/>
          <w:sz w:val="24"/>
        </w:rPr>
        <w:t>Reform 6: Vahendid energia jagamise, omatarbimise ja taastuvenergiakogukondade edendamiseks (meetme ID: 16992)</w:t>
      </w:r>
    </w:p>
    <w:p w14:paraId="505C1A16" w14:textId="77777777" w:rsidR="00EF74AB" w:rsidRPr="00E02B5D" w:rsidRDefault="00EF74AB" w:rsidP="00D16F13">
      <w:pPr>
        <w:keepNext/>
        <w:keepLines/>
        <w:spacing w:before="240" w:after="0" w:line="240" w:lineRule="auto"/>
        <w:jc w:val="both"/>
        <w:outlineLvl w:val="4"/>
        <w:rPr>
          <w:rFonts w:ascii="Cambria" w:eastAsia="Times New Roman" w:hAnsi="Cambria"/>
          <w:noProof/>
          <w:color w:val="365F91"/>
          <w:sz w:val="24"/>
          <w:szCs w:val="24"/>
          <w:lang w:val="en-GB"/>
        </w:rPr>
      </w:pPr>
    </w:p>
    <w:tbl>
      <w:tblPr>
        <w:tblpPr w:leftFromText="181" w:rightFromText="181" w:vertAnchor="text" w:tblpX="-289" w:tblpY="1"/>
        <w:tblOverlap w:val="never"/>
        <w:tblW w:w="14885" w:type="dxa"/>
        <w:tblLayout w:type="fixed"/>
        <w:tblLook w:val="04A0" w:firstRow="1" w:lastRow="0" w:firstColumn="1" w:lastColumn="0" w:noHBand="0" w:noVBand="1"/>
      </w:tblPr>
      <w:tblGrid>
        <w:gridCol w:w="846"/>
        <w:gridCol w:w="2126"/>
        <w:gridCol w:w="992"/>
        <w:gridCol w:w="1194"/>
        <w:gridCol w:w="1541"/>
        <w:gridCol w:w="1020"/>
        <w:gridCol w:w="1020"/>
        <w:gridCol w:w="608"/>
        <w:gridCol w:w="1061"/>
        <w:gridCol w:w="830"/>
        <w:gridCol w:w="3647"/>
      </w:tblGrid>
      <w:tr w:rsidR="00C35E51" w:rsidRPr="003B132A" w14:paraId="260ED14D" w14:textId="77777777" w:rsidTr="00BE0CE9">
        <w:trPr>
          <w:trHeight w:val="839"/>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618B51" w14:textId="77777777" w:rsidR="00C35E51" w:rsidRPr="00E02B5D" w:rsidRDefault="00C35E51" w:rsidP="00C35E51">
            <w:pPr>
              <w:spacing w:before="120" w:after="120" w:line="240" w:lineRule="auto"/>
              <w:jc w:val="center"/>
              <w:rPr>
                <w:rFonts w:ascii="Times New Roman" w:hAnsi="Times New Roman" w:cs="Times New Roman"/>
                <w:noProof/>
                <w:sz w:val="24"/>
              </w:rPr>
            </w:pPr>
            <w:r>
              <w:rPr>
                <w:rFonts w:ascii="Times New Roman" w:hAnsi="Times New Roman"/>
                <w:b/>
                <w:noProof/>
                <w:sz w:val="18"/>
              </w:rPr>
              <w:t>Järjekorranumber</w:t>
            </w:r>
          </w:p>
        </w:tc>
        <w:tc>
          <w:tcPr>
            <w:tcW w:w="2126" w:type="dxa"/>
            <w:vMerge w:val="restart"/>
            <w:tcBorders>
              <w:top w:val="single" w:sz="4" w:space="0" w:color="auto"/>
              <w:left w:val="single" w:sz="4" w:space="0" w:color="auto"/>
              <w:right w:val="single" w:sz="4" w:space="0" w:color="auto"/>
            </w:tcBorders>
            <w:shd w:val="clear" w:color="auto" w:fill="BDD7EE"/>
            <w:vAlign w:val="center"/>
            <w:hideMark/>
          </w:tcPr>
          <w:p w14:paraId="512A8DA6" w14:textId="77777777" w:rsidR="00C35E51" w:rsidRPr="00E02B5D" w:rsidRDefault="00C35E51" w:rsidP="00C35E51">
            <w:pPr>
              <w:spacing w:before="120" w:after="120" w:line="240" w:lineRule="auto"/>
              <w:jc w:val="center"/>
              <w:rPr>
                <w:rFonts w:ascii="Times New Roman" w:hAnsi="Times New Roman" w:cs="Times New Roman"/>
                <w:noProof/>
                <w:sz w:val="24"/>
              </w:rPr>
            </w:pPr>
            <w:r>
              <w:rPr>
                <w:rFonts w:ascii="Times New Roman" w:hAnsi="Times New Roman"/>
                <w:b/>
                <w:noProof/>
                <w:sz w:val="18"/>
              </w:rPr>
              <w:t>Seotud meede (reform või investeering)</w:t>
            </w:r>
          </w:p>
        </w:tc>
        <w:tc>
          <w:tcPr>
            <w:tcW w:w="992" w:type="dxa"/>
            <w:vMerge w:val="restart"/>
            <w:tcBorders>
              <w:top w:val="single" w:sz="4" w:space="0" w:color="auto"/>
              <w:left w:val="single" w:sz="4" w:space="0" w:color="auto"/>
              <w:right w:val="single" w:sz="4" w:space="0" w:color="auto"/>
            </w:tcBorders>
            <w:shd w:val="clear" w:color="auto" w:fill="BDD7EE"/>
            <w:vAlign w:val="center"/>
            <w:hideMark/>
          </w:tcPr>
          <w:p w14:paraId="6888F072" w14:textId="77777777" w:rsidR="00C35E51" w:rsidRPr="00E02B5D" w:rsidRDefault="00C35E51" w:rsidP="00C35E51">
            <w:pPr>
              <w:spacing w:before="120" w:after="120" w:line="240" w:lineRule="auto"/>
              <w:jc w:val="center"/>
              <w:rPr>
                <w:rFonts w:ascii="Times New Roman" w:hAnsi="Times New Roman" w:cs="Times New Roman"/>
                <w:noProof/>
                <w:sz w:val="24"/>
              </w:rPr>
            </w:pPr>
            <w:r>
              <w:rPr>
                <w:rFonts w:ascii="Times New Roman" w:hAnsi="Times New Roman"/>
                <w:b/>
                <w:noProof/>
                <w:sz w:val="18"/>
              </w:rPr>
              <w:t>Eesmärk / siht</w:t>
            </w:r>
          </w:p>
        </w:tc>
        <w:tc>
          <w:tcPr>
            <w:tcW w:w="1194" w:type="dxa"/>
            <w:vMerge w:val="restart"/>
            <w:tcBorders>
              <w:top w:val="single" w:sz="4" w:space="0" w:color="auto"/>
              <w:left w:val="nil"/>
              <w:right w:val="single" w:sz="4" w:space="0" w:color="auto"/>
            </w:tcBorders>
            <w:shd w:val="clear" w:color="auto" w:fill="BDD7EE"/>
            <w:vAlign w:val="center"/>
            <w:hideMark/>
          </w:tcPr>
          <w:p w14:paraId="687D28C4" w14:textId="77777777" w:rsidR="00C35E51" w:rsidRPr="00E02B5D" w:rsidRDefault="00C35E51" w:rsidP="00C35E51">
            <w:pPr>
              <w:spacing w:before="120" w:after="120" w:line="240" w:lineRule="auto"/>
              <w:jc w:val="center"/>
              <w:rPr>
                <w:rFonts w:ascii="Times New Roman" w:hAnsi="Times New Roman" w:cs="Times New Roman"/>
                <w:noProof/>
                <w:sz w:val="24"/>
              </w:rPr>
            </w:pPr>
            <w:r>
              <w:rPr>
                <w:rFonts w:ascii="Times New Roman" w:hAnsi="Times New Roman"/>
                <w:b/>
                <w:noProof/>
                <w:sz w:val="18"/>
              </w:rPr>
              <w:t>Nimi</w:t>
            </w:r>
          </w:p>
        </w:tc>
        <w:tc>
          <w:tcPr>
            <w:tcW w:w="1541" w:type="dxa"/>
            <w:vMerge w:val="restart"/>
            <w:tcBorders>
              <w:top w:val="single" w:sz="4" w:space="0" w:color="auto"/>
              <w:left w:val="single" w:sz="4" w:space="0" w:color="auto"/>
              <w:right w:val="single" w:sz="4" w:space="0" w:color="auto"/>
            </w:tcBorders>
            <w:shd w:val="clear" w:color="auto" w:fill="BDD7EE"/>
            <w:vAlign w:val="center"/>
            <w:hideMark/>
          </w:tcPr>
          <w:p w14:paraId="2491E1DD" w14:textId="77777777" w:rsidR="00C35E51" w:rsidRPr="00E02B5D" w:rsidRDefault="00C35E51" w:rsidP="00C35E51">
            <w:pPr>
              <w:spacing w:before="120" w:after="120" w:line="240" w:lineRule="auto"/>
              <w:jc w:val="center"/>
              <w:rPr>
                <w:rFonts w:ascii="Times New Roman" w:hAnsi="Times New Roman" w:cs="Times New Roman"/>
                <w:noProof/>
                <w:sz w:val="24"/>
                <w:szCs w:val="24"/>
              </w:rPr>
            </w:pPr>
            <w:r>
              <w:rPr>
                <w:rFonts w:ascii="Times New Roman" w:hAnsi="Times New Roman"/>
                <w:b/>
                <w:noProof/>
                <w:sz w:val="18"/>
              </w:rPr>
              <w:t>Kvalitatiivsed näitajad (eesmärkide puhul)</w:t>
            </w:r>
          </w:p>
        </w:tc>
        <w:tc>
          <w:tcPr>
            <w:tcW w:w="2648" w:type="dxa"/>
            <w:gridSpan w:val="3"/>
            <w:tcBorders>
              <w:top w:val="single" w:sz="4" w:space="0" w:color="auto"/>
              <w:left w:val="nil"/>
              <w:bottom w:val="single" w:sz="4" w:space="0" w:color="auto"/>
              <w:right w:val="single" w:sz="4" w:space="0" w:color="auto"/>
            </w:tcBorders>
            <w:shd w:val="clear" w:color="auto" w:fill="BDD7EE"/>
            <w:vAlign w:val="center"/>
            <w:hideMark/>
          </w:tcPr>
          <w:p w14:paraId="0B929C07" w14:textId="77777777" w:rsidR="00C35E51" w:rsidRPr="00E02B5D" w:rsidRDefault="00C35E51" w:rsidP="00C35E51">
            <w:pPr>
              <w:spacing w:before="120" w:after="120" w:line="240" w:lineRule="auto"/>
              <w:jc w:val="center"/>
              <w:rPr>
                <w:rFonts w:ascii="Times New Roman" w:hAnsi="Times New Roman" w:cs="Times New Roman"/>
                <w:noProof/>
                <w:sz w:val="24"/>
                <w:szCs w:val="24"/>
              </w:rPr>
            </w:pPr>
            <w:r>
              <w:rPr>
                <w:rFonts w:ascii="Times New Roman" w:hAnsi="Times New Roman"/>
                <w:b/>
                <w:noProof/>
                <w:sz w:val="18"/>
              </w:rPr>
              <w:t>Kvantitatiivsed näitajad (sihtide puhul)</w:t>
            </w:r>
          </w:p>
        </w:tc>
        <w:tc>
          <w:tcPr>
            <w:tcW w:w="1891" w:type="dxa"/>
            <w:gridSpan w:val="2"/>
            <w:tcBorders>
              <w:top w:val="single" w:sz="4" w:space="0" w:color="auto"/>
              <w:left w:val="nil"/>
              <w:bottom w:val="single" w:sz="4" w:space="0" w:color="auto"/>
              <w:right w:val="single" w:sz="4" w:space="0" w:color="auto"/>
            </w:tcBorders>
            <w:shd w:val="clear" w:color="auto" w:fill="BDD7EE"/>
            <w:vAlign w:val="center"/>
            <w:hideMark/>
          </w:tcPr>
          <w:p w14:paraId="127869A0" w14:textId="77777777" w:rsidR="00C35E51" w:rsidRPr="00E02B5D" w:rsidRDefault="00C35E51" w:rsidP="00C35E51">
            <w:pPr>
              <w:spacing w:before="120" w:after="120" w:line="240" w:lineRule="auto"/>
              <w:jc w:val="center"/>
              <w:rPr>
                <w:rFonts w:ascii="Times New Roman" w:hAnsi="Times New Roman" w:cs="Times New Roman"/>
                <w:noProof/>
                <w:sz w:val="24"/>
              </w:rPr>
            </w:pPr>
            <w:r>
              <w:rPr>
                <w:rFonts w:ascii="Times New Roman" w:hAnsi="Times New Roman"/>
                <w:b/>
                <w:noProof/>
                <w:sz w:val="18"/>
              </w:rPr>
              <w:t>Lõpuleviimise soovituslik ajakava</w:t>
            </w:r>
          </w:p>
        </w:tc>
        <w:tc>
          <w:tcPr>
            <w:tcW w:w="36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78D1A1" w14:textId="77777777" w:rsidR="00C35E51" w:rsidRPr="00E02B5D" w:rsidRDefault="00C35E51" w:rsidP="00C35E51">
            <w:pPr>
              <w:spacing w:before="120" w:after="120" w:line="240" w:lineRule="auto"/>
              <w:jc w:val="center"/>
              <w:rPr>
                <w:rFonts w:ascii="Times New Roman" w:hAnsi="Times New Roman" w:cs="Times New Roman"/>
                <w:noProof/>
                <w:sz w:val="24"/>
              </w:rPr>
            </w:pPr>
            <w:r>
              <w:rPr>
                <w:rFonts w:ascii="Times New Roman" w:hAnsi="Times New Roman"/>
                <w:b/>
                <w:noProof/>
                <w:sz w:val="18"/>
              </w:rPr>
              <w:t>Iga eesmärgi ja sihi kirjeldus</w:t>
            </w:r>
          </w:p>
        </w:tc>
      </w:tr>
      <w:tr w:rsidR="00C35E51" w:rsidRPr="00E02B5D" w14:paraId="72F61428" w14:textId="77777777" w:rsidTr="00BE0CE9">
        <w:trPr>
          <w:trHeight w:val="132"/>
          <w:tblHeader/>
        </w:trPr>
        <w:tc>
          <w:tcPr>
            <w:tcW w:w="846" w:type="dxa"/>
            <w:vMerge/>
            <w:tcBorders>
              <w:top w:val="single" w:sz="4" w:space="0" w:color="auto"/>
              <w:left w:val="single" w:sz="4" w:space="0" w:color="auto"/>
              <w:bottom w:val="single" w:sz="4" w:space="0" w:color="auto"/>
            </w:tcBorders>
            <w:vAlign w:val="center"/>
          </w:tcPr>
          <w:p w14:paraId="21803936" w14:textId="77777777" w:rsidR="00C35E51" w:rsidRPr="00AD4052" w:rsidRDefault="00C35E51" w:rsidP="00C35E51">
            <w:pPr>
              <w:spacing w:before="120" w:after="120" w:line="240" w:lineRule="auto"/>
              <w:jc w:val="center"/>
              <w:rPr>
                <w:rFonts w:ascii="Times New Roman" w:eastAsia="Times New Roman" w:hAnsi="Times New Roman" w:cs="Times New Roman"/>
                <w:b/>
                <w:bCs/>
                <w:noProof/>
                <w:sz w:val="18"/>
                <w:szCs w:val="18"/>
                <w:lang w:eastAsia="en-GB"/>
              </w:rPr>
            </w:pPr>
          </w:p>
        </w:tc>
        <w:tc>
          <w:tcPr>
            <w:tcW w:w="2126" w:type="dxa"/>
            <w:vMerge/>
            <w:tcBorders>
              <w:left w:val="single" w:sz="4" w:space="0" w:color="auto"/>
              <w:bottom w:val="single" w:sz="4" w:space="0" w:color="auto"/>
              <w:right w:val="single" w:sz="4" w:space="0" w:color="auto"/>
            </w:tcBorders>
            <w:shd w:val="clear" w:color="auto" w:fill="BDD7EE"/>
            <w:vAlign w:val="center"/>
          </w:tcPr>
          <w:p w14:paraId="4F1F95F9" w14:textId="77777777" w:rsidR="00C35E51" w:rsidRPr="00AD4052" w:rsidRDefault="00C35E51" w:rsidP="00C35E51">
            <w:pPr>
              <w:spacing w:before="120" w:after="120" w:line="240" w:lineRule="auto"/>
              <w:jc w:val="center"/>
              <w:rPr>
                <w:rFonts w:ascii="Times New Roman" w:eastAsia="Times New Roman" w:hAnsi="Times New Roman" w:cs="Times New Roman"/>
                <w:b/>
                <w:bCs/>
                <w:noProof/>
                <w:sz w:val="18"/>
                <w:szCs w:val="18"/>
                <w:lang w:eastAsia="en-GB"/>
              </w:rPr>
            </w:pPr>
          </w:p>
        </w:tc>
        <w:tc>
          <w:tcPr>
            <w:tcW w:w="992" w:type="dxa"/>
            <w:vMerge/>
            <w:tcBorders>
              <w:left w:val="single" w:sz="4" w:space="0" w:color="auto"/>
              <w:bottom w:val="single" w:sz="4" w:space="0" w:color="auto"/>
              <w:right w:val="single" w:sz="4" w:space="0" w:color="auto"/>
            </w:tcBorders>
            <w:shd w:val="clear" w:color="auto" w:fill="BDD7EE"/>
            <w:vAlign w:val="center"/>
          </w:tcPr>
          <w:p w14:paraId="09C944A2" w14:textId="77777777" w:rsidR="00C35E51" w:rsidRPr="00AD4052" w:rsidRDefault="00C35E51" w:rsidP="00C35E51">
            <w:pPr>
              <w:spacing w:before="120" w:after="120" w:line="240" w:lineRule="auto"/>
              <w:jc w:val="center"/>
              <w:rPr>
                <w:rFonts w:ascii="Times New Roman" w:eastAsia="Times New Roman" w:hAnsi="Times New Roman" w:cs="Times New Roman"/>
                <w:b/>
                <w:bCs/>
                <w:noProof/>
                <w:sz w:val="18"/>
                <w:szCs w:val="18"/>
                <w:lang w:eastAsia="en-GB"/>
              </w:rPr>
            </w:pPr>
          </w:p>
        </w:tc>
        <w:tc>
          <w:tcPr>
            <w:tcW w:w="1194" w:type="dxa"/>
            <w:vMerge/>
            <w:tcBorders>
              <w:left w:val="nil"/>
              <w:bottom w:val="single" w:sz="4" w:space="0" w:color="auto"/>
              <w:right w:val="single" w:sz="4" w:space="0" w:color="auto"/>
            </w:tcBorders>
            <w:shd w:val="clear" w:color="auto" w:fill="BDD7EE"/>
            <w:vAlign w:val="center"/>
          </w:tcPr>
          <w:p w14:paraId="095A9FCB" w14:textId="77777777" w:rsidR="00C35E51" w:rsidRPr="00AD4052" w:rsidRDefault="00C35E51" w:rsidP="00C35E51">
            <w:pPr>
              <w:spacing w:before="120" w:after="120" w:line="240" w:lineRule="auto"/>
              <w:jc w:val="center"/>
              <w:rPr>
                <w:rFonts w:ascii="Times New Roman" w:eastAsia="Times New Roman" w:hAnsi="Times New Roman" w:cs="Times New Roman"/>
                <w:b/>
                <w:bCs/>
                <w:noProof/>
                <w:sz w:val="18"/>
                <w:szCs w:val="18"/>
                <w:lang w:eastAsia="en-GB"/>
              </w:rPr>
            </w:pPr>
          </w:p>
        </w:tc>
        <w:tc>
          <w:tcPr>
            <w:tcW w:w="1541" w:type="dxa"/>
            <w:vMerge/>
            <w:tcBorders>
              <w:left w:val="single" w:sz="4" w:space="0" w:color="auto"/>
              <w:bottom w:val="single" w:sz="4" w:space="0" w:color="auto"/>
              <w:right w:val="single" w:sz="4" w:space="0" w:color="auto"/>
            </w:tcBorders>
            <w:shd w:val="clear" w:color="auto" w:fill="BDD7EE"/>
            <w:vAlign w:val="center"/>
          </w:tcPr>
          <w:p w14:paraId="74B0F746" w14:textId="77777777" w:rsidR="00C35E51" w:rsidRPr="00AD4052" w:rsidRDefault="00C35E51" w:rsidP="00C35E51">
            <w:pPr>
              <w:spacing w:before="120" w:after="120" w:line="240" w:lineRule="auto"/>
              <w:jc w:val="center"/>
              <w:rPr>
                <w:rFonts w:ascii="Times New Roman" w:eastAsia="Times New Roman" w:hAnsi="Times New Roman" w:cs="Times New Roman"/>
                <w:b/>
                <w:bCs/>
                <w:noProof/>
                <w:sz w:val="18"/>
                <w:szCs w:val="18"/>
                <w:lang w:eastAsia="en-GB"/>
              </w:rPr>
            </w:pPr>
          </w:p>
        </w:tc>
        <w:tc>
          <w:tcPr>
            <w:tcW w:w="1020" w:type="dxa"/>
            <w:tcBorders>
              <w:top w:val="single" w:sz="4" w:space="0" w:color="auto"/>
              <w:left w:val="nil"/>
              <w:bottom w:val="single" w:sz="4" w:space="0" w:color="auto"/>
              <w:right w:val="single" w:sz="4" w:space="0" w:color="auto"/>
            </w:tcBorders>
            <w:shd w:val="clear" w:color="auto" w:fill="BDD7EE"/>
            <w:vAlign w:val="center"/>
          </w:tcPr>
          <w:p w14:paraId="440B320A" w14:textId="77777777" w:rsidR="00C35E51" w:rsidRPr="00E02B5D" w:rsidRDefault="00C35E51" w:rsidP="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020" w:type="dxa"/>
            <w:tcBorders>
              <w:top w:val="single" w:sz="4" w:space="0" w:color="auto"/>
              <w:left w:val="nil"/>
              <w:bottom w:val="single" w:sz="4" w:space="0" w:color="auto"/>
              <w:right w:val="single" w:sz="4" w:space="0" w:color="auto"/>
            </w:tcBorders>
            <w:shd w:val="clear" w:color="auto" w:fill="BDD7EE"/>
            <w:vAlign w:val="center"/>
          </w:tcPr>
          <w:p w14:paraId="7C8B7BFA" w14:textId="77777777" w:rsidR="00C35E51" w:rsidRPr="00E02B5D" w:rsidRDefault="00C35E51" w:rsidP="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608" w:type="dxa"/>
            <w:tcBorders>
              <w:top w:val="single" w:sz="4" w:space="0" w:color="auto"/>
              <w:left w:val="nil"/>
              <w:bottom w:val="single" w:sz="4" w:space="0" w:color="auto"/>
              <w:right w:val="single" w:sz="4" w:space="0" w:color="auto"/>
            </w:tcBorders>
            <w:shd w:val="clear" w:color="auto" w:fill="BDD7EE"/>
            <w:vAlign w:val="center"/>
          </w:tcPr>
          <w:p w14:paraId="0E201791" w14:textId="77777777" w:rsidR="00C35E51" w:rsidRPr="00E02B5D" w:rsidRDefault="00C35E51" w:rsidP="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1061" w:type="dxa"/>
            <w:tcBorders>
              <w:top w:val="single" w:sz="4" w:space="0" w:color="auto"/>
              <w:left w:val="nil"/>
              <w:bottom w:val="single" w:sz="4" w:space="0" w:color="auto"/>
              <w:right w:val="single" w:sz="4" w:space="0" w:color="auto"/>
            </w:tcBorders>
            <w:shd w:val="clear" w:color="auto" w:fill="BDD7EE"/>
            <w:vAlign w:val="center"/>
          </w:tcPr>
          <w:p w14:paraId="0034BEF7" w14:textId="77777777" w:rsidR="00C35E51" w:rsidRPr="00E02B5D" w:rsidRDefault="00C35E51" w:rsidP="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830" w:type="dxa"/>
            <w:tcBorders>
              <w:top w:val="single" w:sz="4" w:space="0" w:color="auto"/>
              <w:left w:val="nil"/>
              <w:bottom w:val="single" w:sz="4" w:space="0" w:color="auto"/>
              <w:right w:val="single" w:sz="4" w:space="0" w:color="auto"/>
            </w:tcBorders>
            <w:shd w:val="clear" w:color="auto" w:fill="BDD7EE"/>
            <w:vAlign w:val="center"/>
          </w:tcPr>
          <w:p w14:paraId="028EC06F" w14:textId="77777777" w:rsidR="00C35E51" w:rsidRPr="00E02B5D" w:rsidRDefault="00C35E51" w:rsidP="00C35E51">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647" w:type="dxa"/>
            <w:vMerge/>
            <w:tcBorders>
              <w:bottom w:val="single" w:sz="4" w:space="0" w:color="auto"/>
              <w:right w:val="single" w:sz="4" w:space="0" w:color="auto"/>
            </w:tcBorders>
            <w:vAlign w:val="center"/>
          </w:tcPr>
          <w:p w14:paraId="3979065E" w14:textId="77777777" w:rsidR="00C35E51" w:rsidRPr="00E02B5D" w:rsidRDefault="00C35E51" w:rsidP="00C35E51">
            <w:pPr>
              <w:spacing w:before="120" w:after="120" w:line="240" w:lineRule="auto"/>
              <w:jc w:val="center"/>
              <w:rPr>
                <w:rFonts w:ascii="Times New Roman" w:eastAsia="Times New Roman" w:hAnsi="Times New Roman" w:cs="Times New Roman"/>
                <w:b/>
                <w:bCs/>
                <w:noProof/>
                <w:sz w:val="18"/>
                <w:szCs w:val="18"/>
                <w:lang w:val="en-GB" w:eastAsia="en-GB"/>
              </w:rPr>
            </w:pPr>
          </w:p>
        </w:tc>
      </w:tr>
      <w:tr w:rsidR="00C35E51" w:rsidRPr="003B132A" w14:paraId="4122C926" w14:textId="77777777" w:rsidTr="00BE0CE9">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65704282" w14:textId="77777777" w:rsidR="00A90382" w:rsidRPr="00E02B5D" w:rsidRDefault="00A90382" w:rsidP="00C35E51">
            <w:pPr>
              <w:spacing w:after="0" w:line="240" w:lineRule="auto"/>
              <w:rPr>
                <w:rFonts w:eastAsia="Times New Roman" w:cs="Calibri"/>
                <w:noProof/>
                <w:color w:val="006100"/>
                <w:sz w:val="18"/>
                <w:szCs w:val="18"/>
              </w:rPr>
            </w:pPr>
            <w:r>
              <w:rPr>
                <w:noProof/>
                <w:color w:val="006100"/>
                <w:sz w:val="18"/>
              </w:rPr>
              <w:t>361</w:t>
            </w:r>
          </w:p>
        </w:tc>
        <w:tc>
          <w:tcPr>
            <w:tcW w:w="2126" w:type="dxa"/>
            <w:tcBorders>
              <w:top w:val="nil"/>
              <w:left w:val="nil"/>
              <w:bottom w:val="single" w:sz="4" w:space="0" w:color="auto"/>
              <w:right w:val="single" w:sz="4" w:space="0" w:color="auto"/>
            </w:tcBorders>
            <w:shd w:val="clear" w:color="auto" w:fill="C6EFCE"/>
            <w:noWrap/>
          </w:tcPr>
          <w:p w14:paraId="1EB4585C" w14:textId="77777777" w:rsidR="00A90382" w:rsidRPr="00E02B5D" w:rsidRDefault="00A90382" w:rsidP="00C35E51">
            <w:pPr>
              <w:spacing w:after="0" w:line="240" w:lineRule="auto"/>
              <w:rPr>
                <w:rFonts w:ascii="Times New Roman" w:hAnsi="Times New Roman" w:cs="Times New Roman"/>
                <w:noProof/>
                <w:sz w:val="24"/>
                <w:szCs w:val="24"/>
              </w:rPr>
            </w:pPr>
            <w:r>
              <w:rPr>
                <w:noProof/>
                <w:color w:val="006100"/>
                <w:sz w:val="18"/>
              </w:rPr>
              <w:t>20-5. REPowerEU reformid – 16992_vahendid energia jagamise, omatarbimise ja taastuvenergiakogukondade edendamiseks</w:t>
            </w:r>
          </w:p>
        </w:tc>
        <w:tc>
          <w:tcPr>
            <w:tcW w:w="992" w:type="dxa"/>
            <w:tcBorders>
              <w:top w:val="nil"/>
              <w:left w:val="nil"/>
              <w:bottom w:val="single" w:sz="4" w:space="0" w:color="auto"/>
              <w:right w:val="single" w:sz="4" w:space="0" w:color="auto"/>
            </w:tcBorders>
            <w:shd w:val="clear" w:color="auto" w:fill="C6EFCE"/>
            <w:noWrap/>
          </w:tcPr>
          <w:p w14:paraId="07AE80D1" w14:textId="77777777" w:rsidR="00A90382" w:rsidRPr="00E02B5D" w:rsidRDefault="00A90382" w:rsidP="00C35E51">
            <w:pPr>
              <w:spacing w:after="120" w:line="240" w:lineRule="auto"/>
              <w:rPr>
                <w:rFonts w:ascii="Times New Roman" w:hAnsi="Times New Roman" w:cs="Times New Roman"/>
                <w:noProof/>
                <w:sz w:val="24"/>
              </w:rPr>
            </w:pPr>
            <w:r>
              <w:rPr>
                <w:noProof/>
                <w:color w:val="006100"/>
                <w:sz w:val="18"/>
              </w:rPr>
              <w:t>Eesmärk</w:t>
            </w:r>
          </w:p>
        </w:tc>
        <w:tc>
          <w:tcPr>
            <w:tcW w:w="1194" w:type="dxa"/>
            <w:tcBorders>
              <w:top w:val="nil"/>
              <w:left w:val="nil"/>
              <w:bottom w:val="single" w:sz="4" w:space="0" w:color="auto"/>
              <w:right w:val="single" w:sz="4" w:space="0" w:color="auto"/>
            </w:tcBorders>
            <w:shd w:val="clear" w:color="auto" w:fill="C6EFCE"/>
            <w:noWrap/>
          </w:tcPr>
          <w:p w14:paraId="4C9078AA" w14:textId="77777777" w:rsidR="00A90382" w:rsidRPr="00E02B5D" w:rsidRDefault="00A90382" w:rsidP="00C35E51">
            <w:pPr>
              <w:spacing w:after="0" w:line="240" w:lineRule="auto"/>
              <w:rPr>
                <w:rFonts w:eastAsia="Times New Roman"/>
                <w:noProof/>
                <w:color w:val="006100"/>
                <w:sz w:val="18"/>
                <w:szCs w:val="18"/>
              </w:rPr>
            </w:pPr>
            <w:r>
              <w:rPr>
                <w:noProof/>
                <w:color w:val="006100"/>
                <w:sz w:val="18"/>
              </w:rPr>
              <w:t>Omatarbimist käsitlevate teiseste õigusaktide jõustumine ja</w:t>
            </w:r>
          </w:p>
          <w:p w14:paraId="5D71E813" w14:textId="77777777" w:rsidR="00A90382" w:rsidRPr="00E02B5D" w:rsidRDefault="00A90382" w:rsidP="00C35E51">
            <w:pPr>
              <w:spacing w:after="0" w:line="240" w:lineRule="auto"/>
              <w:rPr>
                <w:rFonts w:eastAsia="Times New Roman"/>
                <w:noProof/>
                <w:color w:val="006100"/>
                <w:sz w:val="18"/>
                <w:szCs w:val="18"/>
              </w:rPr>
            </w:pPr>
            <w:r>
              <w:rPr>
                <w:noProof/>
                <w:color w:val="006100"/>
                <w:sz w:val="18"/>
              </w:rPr>
              <w:t>loamenetluste lihtsustamine taastuvenergiajaamade paigaldamiseks korterelamutesse</w:t>
            </w:r>
          </w:p>
        </w:tc>
        <w:tc>
          <w:tcPr>
            <w:tcW w:w="1541" w:type="dxa"/>
            <w:tcBorders>
              <w:top w:val="nil"/>
              <w:left w:val="nil"/>
              <w:bottom w:val="single" w:sz="4" w:space="0" w:color="auto"/>
              <w:right w:val="single" w:sz="4" w:space="0" w:color="auto"/>
            </w:tcBorders>
            <w:shd w:val="clear" w:color="auto" w:fill="C6EFCE"/>
            <w:noWrap/>
          </w:tcPr>
          <w:p w14:paraId="75E10454" w14:textId="77777777" w:rsidR="00A90382" w:rsidRPr="00E02B5D" w:rsidRDefault="00A90382" w:rsidP="00C35E51">
            <w:pPr>
              <w:spacing w:after="120" w:line="240" w:lineRule="auto"/>
              <w:rPr>
                <w:rFonts w:eastAsia="Times New Roman" w:cs="Calibri"/>
                <w:noProof/>
                <w:color w:val="006100"/>
                <w:sz w:val="18"/>
                <w:szCs w:val="18"/>
              </w:rPr>
            </w:pPr>
            <w:r>
              <w:rPr>
                <w:noProof/>
                <w:color w:val="006100"/>
                <w:sz w:val="18"/>
              </w:rPr>
              <w:t>Teisesed õigusaktid on jõustunud</w:t>
            </w:r>
          </w:p>
          <w:p w14:paraId="54700C24" w14:textId="77777777" w:rsidR="00A90382" w:rsidRPr="00E02B5D" w:rsidRDefault="00A90382" w:rsidP="00C35E51">
            <w:pPr>
              <w:spacing w:before="120" w:after="120" w:line="240" w:lineRule="auto"/>
              <w:jc w:val="center"/>
              <w:rPr>
                <w:rFonts w:ascii="Times New Roman" w:eastAsia="Times New Roman" w:hAnsi="Times New Roman" w:cs="Times New Roman"/>
                <w:b/>
                <w:bCs/>
                <w:noProof/>
                <w:sz w:val="18"/>
                <w:szCs w:val="18"/>
                <w:lang w:val="en-GB" w:eastAsia="en-GB"/>
              </w:rPr>
            </w:pPr>
          </w:p>
        </w:tc>
        <w:tc>
          <w:tcPr>
            <w:tcW w:w="1020" w:type="dxa"/>
            <w:tcBorders>
              <w:top w:val="nil"/>
              <w:left w:val="nil"/>
              <w:bottom w:val="single" w:sz="4" w:space="0" w:color="auto"/>
              <w:right w:val="single" w:sz="4" w:space="0" w:color="auto"/>
            </w:tcBorders>
            <w:shd w:val="clear" w:color="auto" w:fill="C6EFCE"/>
            <w:noWrap/>
          </w:tcPr>
          <w:p w14:paraId="698EA435" w14:textId="77777777" w:rsidR="00A90382" w:rsidRPr="00E02B5D" w:rsidRDefault="00A90382" w:rsidP="00C35E51">
            <w:pPr>
              <w:spacing w:after="0" w:line="240" w:lineRule="auto"/>
              <w:rPr>
                <w:rFonts w:eastAsia="Times New Roman" w:cs="Calibri"/>
                <w:noProof/>
                <w:color w:val="006100"/>
                <w:sz w:val="18"/>
                <w:szCs w:val="18"/>
                <w:lang w:val="en-GB" w:eastAsia="en-GB"/>
              </w:rPr>
            </w:pPr>
          </w:p>
        </w:tc>
        <w:tc>
          <w:tcPr>
            <w:tcW w:w="1020" w:type="dxa"/>
            <w:tcBorders>
              <w:top w:val="nil"/>
              <w:left w:val="nil"/>
              <w:bottom w:val="single" w:sz="4" w:space="0" w:color="auto"/>
              <w:right w:val="single" w:sz="4" w:space="0" w:color="auto"/>
            </w:tcBorders>
            <w:shd w:val="clear" w:color="auto" w:fill="C6EFCE"/>
            <w:noWrap/>
          </w:tcPr>
          <w:p w14:paraId="203E6B02" w14:textId="77777777" w:rsidR="00A90382" w:rsidRPr="00E02B5D" w:rsidRDefault="00A90382" w:rsidP="00C35E51">
            <w:pPr>
              <w:spacing w:after="0" w:line="240" w:lineRule="auto"/>
              <w:rPr>
                <w:rFonts w:eastAsia="Times New Roman" w:cs="Calibri"/>
                <w:noProof/>
                <w:color w:val="006100"/>
                <w:sz w:val="18"/>
                <w:szCs w:val="18"/>
                <w:lang w:val="en-GB" w:eastAsia="en-GB"/>
              </w:rPr>
            </w:pPr>
          </w:p>
        </w:tc>
        <w:tc>
          <w:tcPr>
            <w:tcW w:w="608" w:type="dxa"/>
            <w:tcBorders>
              <w:top w:val="nil"/>
              <w:left w:val="nil"/>
              <w:bottom w:val="single" w:sz="4" w:space="0" w:color="auto"/>
              <w:right w:val="single" w:sz="4" w:space="0" w:color="auto"/>
            </w:tcBorders>
            <w:shd w:val="clear" w:color="auto" w:fill="C6EFCE"/>
            <w:noWrap/>
          </w:tcPr>
          <w:p w14:paraId="159BF8D5" w14:textId="77777777" w:rsidR="00A90382" w:rsidRPr="00E02B5D" w:rsidRDefault="00A90382" w:rsidP="00C35E51">
            <w:pPr>
              <w:spacing w:after="0" w:line="240" w:lineRule="auto"/>
              <w:rPr>
                <w:rFonts w:eastAsia="Times New Roman" w:cs="Calibri"/>
                <w:noProof/>
                <w:color w:val="006100"/>
                <w:sz w:val="18"/>
                <w:szCs w:val="18"/>
                <w:lang w:val="en-GB" w:eastAsia="en-GB"/>
              </w:rPr>
            </w:pPr>
          </w:p>
        </w:tc>
        <w:tc>
          <w:tcPr>
            <w:tcW w:w="1061" w:type="dxa"/>
            <w:tcBorders>
              <w:top w:val="nil"/>
              <w:left w:val="nil"/>
              <w:bottom w:val="single" w:sz="4" w:space="0" w:color="auto"/>
              <w:right w:val="single" w:sz="4" w:space="0" w:color="auto"/>
            </w:tcBorders>
            <w:shd w:val="clear" w:color="auto" w:fill="C6EFCE"/>
            <w:noWrap/>
          </w:tcPr>
          <w:p w14:paraId="1BA5B356" w14:textId="77777777" w:rsidR="00A90382" w:rsidRPr="00E02B5D" w:rsidRDefault="00A90382" w:rsidP="00C35E51">
            <w:pPr>
              <w:spacing w:after="120" w:line="240" w:lineRule="auto"/>
              <w:rPr>
                <w:rFonts w:eastAsia="Times New Roman"/>
                <w:noProof/>
                <w:color w:val="006100"/>
                <w:sz w:val="18"/>
                <w:szCs w:val="18"/>
              </w:rPr>
            </w:pPr>
            <w:r>
              <w:rPr>
                <w:noProof/>
                <w:color w:val="006100"/>
                <w:sz w:val="18"/>
              </w:rPr>
              <w:t>1. kv</w:t>
            </w:r>
          </w:p>
        </w:tc>
        <w:tc>
          <w:tcPr>
            <w:tcW w:w="830" w:type="dxa"/>
            <w:tcBorders>
              <w:top w:val="nil"/>
              <w:left w:val="nil"/>
              <w:bottom w:val="single" w:sz="4" w:space="0" w:color="auto"/>
              <w:right w:val="single" w:sz="4" w:space="0" w:color="auto"/>
            </w:tcBorders>
            <w:shd w:val="clear" w:color="auto" w:fill="C6EFCE"/>
            <w:noWrap/>
          </w:tcPr>
          <w:p w14:paraId="3EDDA74F" w14:textId="77777777" w:rsidR="00A90382" w:rsidRPr="00E02B5D" w:rsidRDefault="00A90382" w:rsidP="00C35E51">
            <w:pPr>
              <w:spacing w:after="120" w:line="240" w:lineRule="auto"/>
              <w:rPr>
                <w:rFonts w:eastAsia="Times New Roman"/>
                <w:noProof/>
                <w:color w:val="006100"/>
                <w:sz w:val="18"/>
                <w:szCs w:val="18"/>
              </w:rPr>
            </w:pPr>
            <w:r>
              <w:rPr>
                <w:noProof/>
                <w:color w:val="006100"/>
                <w:sz w:val="18"/>
              </w:rPr>
              <w:t>2024</w:t>
            </w:r>
          </w:p>
        </w:tc>
        <w:tc>
          <w:tcPr>
            <w:tcW w:w="3647" w:type="dxa"/>
            <w:tcBorders>
              <w:top w:val="single" w:sz="4" w:space="0" w:color="auto"/>
              <w:left w:val="nil"/>
              <w:bottom w:val="single" w:sz="4" w:space="0" w:color="auto"/>
              <w:right w:val="single" w:sz="4" w:space="0" w:color="auto"/>
            </w:tcBorders>
            <w:shd w:val="clear" w:color="auto" w:fill="C6EFCE"/>
            <w:noWrap/>
          </w:tcPr>
          <w:p w14:paraId="58685CF6" w14:textId="77777777" w:rsidR="00A90382" w:rsidRPr="00E02B5D" w:rsidRDefault="00A90382" w:rsidP="00C35E51">
            <w:pPr>
              <w:spacing w:after="0" w:line="240" w:lineRule="auto"/>
              <w:rPr>
                <w:rFonts w:eastAsia="Times New Roman" w:cs="Calibri"/>
                <w:noProof/>
                <w:color w:val="006100"/>
                <w:sz w:val="18"/>
                <w:szCs w:val="18"/>
              </w:rPr>
            </w:pPr>
            <w:r>
              <w:rPr>
                <w:noProof/>
                <w:color w:val="006100"/>
                <w:sz w:val="18"/>
              </w:rPr>
              <w:t>1.  Seaduses 5037/2023 sätestatud teiseste õigusaktide jõustumine. Eelkõige:</w:t>
            </w:r>
          </w:p>
          <w:p w14:paraId="36C32C59" w14:textId="77777777" w:rsidR="00A90382" w:rsidRPr="00E02B5D" w:rsidRDefault="00A90382" w:rsidP="00C35E51">
            <w:pPr>
              <w:spacing w:after="120" w:line="240" w:lineRule="auto"/>
              <w:rPr>
                <w:rFonts w:eastAsia="Times New Roman" w:cs="Calibri"/>
                <w:noProof/>
                <w:color w:val="006100"/>
                <w:sz w:val="18"/>
                <w:szCs w:val="18"/>
              </w:rPr>
            </w:pPr>
            <w:r>
              <w:rPr>
                <w:noProof/>
                <w:color w:val="006100"/>
                <w:sz w:val="18"/>
              </w:rPr>
              <w:t>Jõustub ministri otsus(t)e kohta, mis käsitlevad omatarbimist, omatarbimist virtuaalse netoarveldamise ja kollektiivse omatarbimise kaudu, energia netoarvete esitamist ja virtuaalset netoarvestamist, milles täpsustatakse seaduse 5037/2023 artiklitest 64 ja 66 tulenevaid sätteid.</w:t>
            </w:r>
          </w:p>
          <w:p w14:paraId="78892A25" w14:textId="77777777" w:rsidR="00A90382" w:rsidRPr="00E02B5D" w:rsidRDefault="00A90382" w:rsidP="00C35E51">
            <w:pPr>
              <w:spacing w:after="120" w:line="240" w:lineRule="auto"/>
              <w:rPr>
                <w:rFonts w:eastAsia="Times New Roman" w:cs="Calibri"/>
                <w:noProof/>
                <w:color w:val="006100"/>
                <w:sz w:val="18"/>
                <w:szCs w:val="18"/>
              </w:rPr>
            </w:pPr>
            <w:r>
              <w:rPr>
                <w:noProof/>
                <w:color w:val="006100"/>
                <w:sz w:val="18"/>
              </w:rPr>
              <w:t xml:space="preserve">2. Selliste teiseste õigusaktide jõustumine, millega hõlbustatakse loamenetlusi taastuvenergiajaamade paigaldamiseks korterelamutesse (või kortermajadesse), et edendada kollektiivset omatarbimist. See hõlmab eeskirju otsuste tegemise hõlbustamiseks, sealhulgas taastuvate energiaallikate paigaldamiseks enamusel põhineva protsessi kasutuselevõtmist. </w:t>
            </w:r>
          </w:p>
        </w:tc>
      </w:tr>
      <w:tr w:rsidR="00C35E51" w:rsidRPr="003B132A" w14:paraId="140F3C6B" w14:textId="77777777" w:rsidTr="00BE0CE9">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6E8B8C72" w14:textId="77777777" w:rsidR="00A90382" w:rsidRPr="00E02B5D" w:rsidRDefault="00A90382" w:rsidP="00C35E51">
            <w:pPr>
              <w:spacing w:after="0" w:line="240" w:lineRule="auto"/>
              <w:rPr>
                <w:rFonts w:eastAsia="Times New Roman" w:cs="Calibri"/>
                <w:noProof/>
                <w:color w:val="006100"/>
                <w:sz w:val="18"/>
                <w:szCs w:val="18"/>
              </w:rPr>
            </w:pPr>
            <w:r>
              <w:rPr>
                <w:noProof/>
                <w:color w:val="006100"/>
                <w:sz w:val="18"/>
              </w:rPr>
              <w:t>362</w:t>
            </w:r>
          </w:p>
        </w:tc>
        <w:tc>
          <w:tcPr>
            <w:tcW w:w="2126" w:type="dxa"/>
            <w:tcBorders>
              <w:top w:val="single" w:sz="4" w:space="0" w:color="auto"/>
              <w:left w:val="nil"/>
              <w:bottom w:val="single" w:sz="4" w:space="0" w:color="auto"/>
              <w:right w:val="single" w:sz="4" w:space="0" w:color="auto"/>
            </w:tcBorders>
            <w:shd w:val="clear" w:color="auto" w:fill="C6EFCE"/>
            <w:noWrap/>
          </w:tcPr>
          <w:p w14:paraId="7A97E2DA" w14:textId="77777777" w:rsidR="00A90382" w:rsidRPr="00E02B5D" w:rsidRDefault="00A90382" w:rsidP="00C35E51">
            <w:pPr>
              <w:spacing w:after="0" w:line="240" w:lineRule="auto"/>
              <w:rPr>
                <w:rFonts w:eastAsia="Times New Roman" w:cs="Calibri"/>
                <w:noProof/>
                <w:color w:val="006100"/>
                <w:sz w:val="18"/>
                <w:szCs w:val="18"/>
              </w:rPr>
            </w:pPr>
            <w:r>
              <w:rPr>
                <w:noProof/>
                <w:color w:val="006100"/>
                <w:sz w:val="18"/>
              </w:rPr>
              <w:t>20-5. REPowerEU reformid – 16992_vahendid energia jagamise, omatarbimise ja taastuvenergiakogukondade edendamiseks</w:t>
            </w:r>
          </w:p>
        </w:tc>
        <w:tc>
          <w:tcPr>
            <w:tcW w:w="992" w:type="dxa"/>
            <w:tcBorders>
              <w:top w:val="single" w:sz="4" w:space="0" w:color="auto"/>
              <w:left w:val="nil"/>
              <w:bottom w:val="single" w:sz="4" w:space="0" w:color="auto"/>
              <w:right w:val="single" w:sz="4" w:space="0" w:color="auto"/>
            </w:tcBorders>
            <w:shd w:val="clear" w:color="auto" w:fill="C6EFCE"/>
            <w:noWrap/>
          </w:tcPr>
          <w:p w14:paraId="2FE6C5B3" w14:textId="77777777" w:rsidR="00A90382" w:rsidRPr="00E02B5D" w:rsidRDefault="00A90382" w:rsidP="00C35E51">
            <w:pPr>
              <w:spacing w:after="120" w:line="240" w:lineRule="auto"/>
              <w:rPr>
                <w:rFonts w:eastAsia="Times New Roman" w:cs="Calibri"/>
                <w:noProof/>
                <w:color w:val="006100"/>
                <w:sz w:val="18"/>
                <w:szCs w:val="18"/>
              </w:rPr>
            </w:pPr>
            <w:r>
              <w:rPr>
                <w:noProof/>
                <w:color w:val="006100"/>
                <w:sz w:val="18"/>
              </w:rPr>
              <w:t>Eesmärk</w:t>
            </w:r>
          </w:p>
        </w:tc>
        <w:tc>
          <w:tcPr>
            <w:tcW w:w="1194" w:type="dxa"/>
            <w:tcBorders>
              <w:top w:val="single" w:sz="4" w:space="0" w:color="auto"/>
              <w:left w:val="nil"/>
              <w:bottom w:val="single" w:sz="4" w:space="0" w:color="auto"/>
              <w:right w:val="single" w:sz="4" w:space="0" w:color="auto"/>
            </w:tcBorders>
            <w:shd w:val="clear" w:color="auto" w:fill="C6EFCE"/>
            <w:noWrap/>
          </w:tcPr>
          <w:p w14:paraId="433B2B49" w14:textId="77777777" w:rsidR="00A90382" w:rsidRPr="00E02B5D" w:rsidRDefault="00A90382" w:rsidP="00C35E51">
            <w:pPr>
              <w:spacing w:after="120" w:line="240" w:lineRule="auto"/>
              <w:rPr>
                <w:rFonts w:eastAsia="Times New Roman" w:cs="Calibri"/>
                <w:noProof/>
                <w:color w:val="006100"/>
                <w:sz w:val="18"/>
                <w:szCs w:val="18"/>
              </w:rPr>
            </w:pPr>
            <w:r>
              <w:rPr>
                <w:noProof/>
                <w:color w:val="006100"/>
                <w:sz w:val="18"/>
              </w:rPr>
              <w:t>Isetarbijate registri loomine ja tehniline abi energiakogukondadele</w:t>
            </w:r>
          </w:p>
        </w:tc>
        <w:tc>
          <w:tcPr>
            <w:tcW w:w="1541" w:type="dxa"/>
            <w:tcBorders>
              <w:top w:val="single" w:sz="4" w:space="0" w:color="auto"/>
              <w:left w:val="nil"/>
              <w:bottom w:val="single" w:sz="4" w:space="0" w:color="auto"/>
              <w:right w:val="single" w:sz="4" w:space="0" w:color="auto"/>
            </w:tcBorders>
            <w:shd w:val="clear" w:color="auto" w:fill="C6EFCE"/>
            <w:noWrap/>
          </w:tcPr>
          <w:p w14:paraId="4FF85F64" w14:textId="77777777" w:rsidR="00A90382" w:rsidRPr="00E02B5D" w:rsidRDefault="00A90382" w:rsidP="00C35E51">
            <w:pPr>
              <w:spacing w:after="120" w:line="240" w:lineRule="auto"/>
              <w:rPr>
                <w:rFonts w:eastAsia="Times New Roman" w:cs="Calibri"/>
                <w:noProof/>
                <w:color w:val="006100"/>
                <w:sz w:val="18"/>
                <w:szCs w:val="18"/>
              </w:rPr>
            </w:pPr>
            <w:r>
              <w:rPr>
                <w:noProof/>
                <w:color w:val="006100"/>
                <w:sz w:val="18"/>
              </w:rPr>
              <w:t>Keskkonna- ja energeetikaministeeriumi õigusaktide ja rakendusaruande jõustumine, mis tõendab tehnilise abi täielikku rakendamist</w:t>
            </w:r>
          </w:p>
        </w:tc>
        <w:tc>
          <w:tcPr>
            <w:tcW w:w="1020" w:type="dxa"/>
            <w:tcBorders>
              <w:top w:val="single" w:sz="4" w:space="0" w:color="auto"/>
              <w:left w:val="nil"/>
              <w:bottom w:val="single" w:sz="4" w:space="0" w:color="auto"/>
              <w:right w:val="single" w:sz="4" w:space="0" w:color="auto"/>
            </w:tcBorders>
            <w:shd w:val="clear" w:color="auto" w:fill="C6EFCE"/>
            <w:noWrap/>
          </w:tcPr>
          <w:p w14:paraId="0670714C" w14:textId="77777777" w:rsidR="00A90382" w:rsidRPr="00AD4052" w:rsidRDefault="00A90382" w:rsidP="00C35E51">
            <w:pPr>
              <w:spacing w:after="120" w:line="240" w:lineRule="auto"/>
              <w:rPr>
                <w:rFonts w:ascii="Times New Roman" w:hAnsi="Times New Roman" w:cs="Times New Roman"/>
                <w:noProof/>
                <w:sz w:val="24"/>
              </w:rPr>
            </w:pPr>
          </w:p>
        </w:tc>
        <w:tc>
          <w:tcPr>
            <w:tcW w:w="1020" w:type="dxa"/>
            <w:tcBorders>
              <w:top w:val="single" w:sz="4" w:space="0" w:color="auto"/>
              <w:left w:val="nil"/>
              <w:bottom w:val="single" w:sz="4" w:space="0" w:color="auto"/>
              <w:right w:val="single" w:sz="4" w:space="0" w:color="auto"/>
            </w:tcBorders>
            <w:shd w:val="clear" w:color="auto" w:fill="C6EFCE"/>
            <w:noWrap/>
          </w:tcPr>
          <w:p w14:paraId="22B72EA7" w14:textId="77777777" w:rsidR="00A90382" w:rsidRPr="00AD4052" w:rsidRDefault="00A90382" w:rsidP="00C35E51">
            <w:pPr>
              <w:spacing w:after="120" w:line="240" w:lineRule="auto"/>
              <w:rPr>
                <w:rFonts w:ascii="Times New Roman" w:hAnsi="Times New Roman" w:cs="Times New Roman"/>
                <w:noProof/>
                <w:sz w:val="24"/>
              </w:rPr>
            </w:pPr>
          </w:p>
        </w:tc>
        <w:tc>
          <w:tcPr>
            <w:tcW w:w="608" w:type="dxa"/>
            <w:tcBorders>
              <w:top w:val="single" w:sz="4" w:space="0" w:color="auto"/>
              <w:left w:val="nil"/>
              <w:bottom w:val="single" w:sz="4" w:space="0" w:color="auto"/>
              <w:right w:val="single" w:sz="4" w:space="0" w:color="auto"/>
            </w:tcBorders>
            <w:shd w:val="clear" w:color="auto" w:fill="C6EFCE"/>
            <w:noWrap/>
          </w:tcPr>
          <w:p w14:paraId="68857F6D" w14:textId="77777777" w:rsidR="00A90382" w:rsidRPr="00AD4052" w:rsidRDefault="00A90382" w:rsidP="00C35E51">
            <w:pPr>
              <w:spacing w:after="120" w:line="240" w:lineRule="auto"/>
              <w:rPr>
                <w:rFonts w:ascii="Times New Roman" w:hAnsi="Times New Roman" w:cs="Times New Roman"/>
                <w:noProof/>
                <w:sz w:val="24"/>
              </w:rPr>
            </w:pPr>
          </w:p>
        </w:tc>
        <w:tc>
          <w:tcPr>
            <w:tcW w:w="1061" w:type="dxa"/>
            <w:tcBorders>
              <w:top w:val="single" w:sz="4" w:space="0" w:color="auto"/>
              <w:left w:val="nil"/>
              <w:bottom w:val="single" w:sz="4" w:space="0" w:color="auto"/>
              <w:right w:val="single" w:sz="4" w:space="0" w:color="auto"/>
            </w:tcBorders>
            <w:shd w:val="clear" w:color="auto" w:fill="C6EFCE"/>
            <w:noWrap/>
          </w:tcPr>
          <w:p w14:paraId="647672BB" w14:textId="77777777" w:rsidR="00A90382" w:rsidRPr="00E02B5D" w:rsidRDefault="00A90382" w:rsidP="00C35E51">
            <w:pPr>
              <w:spacing w:after="120" w:line="240" w:lineRule="auto"/>
              <w:rPr>
                <w:rFonts w:eastAsia="Times New Roman"/>
                <w:noProof/>
                <w:color w:val="006100"/>
                <w:sz w:val="18"/>
                <w:szCs w:val="18"/>
              </w:rPr>
            </w:pPr>
            <w:r>
              <w:rPr>
                <w:noProof/>
                <w:color w:val="006100"/>
                <w:sz w:val="18"/>
              </w:rPr>
              <w:t>1. kv</w:t>
            </w:r>
          </w:p>
        </w:tc>
        <w:tc>
          <w:tcPr>
            <w:tcW w:w="830" w:type="dxa"/>
            <w:tcBorders>
              <w:top w:val="single" w:sz="4" w:space="0" w:color="auto"/>
              <w:left w:val="nil"/>
              <w:bottom w:val="single" w:sz="4" w:space="0" w:color="auto"/>
              <w:right w:val="single" w:sz="4" w:space="0" w:color="auto"/>
            </w:tcBorders>
            <w:shd w:val="clear" w:color="auto" w:fill="C6EFCE"/>
            <w:noWrap/>
          </w:tcPr>
          <w:p w14:paraId="2F1C4C9F" w14:textId="77777777" w:rsidR="00A90382" w:rsidRPr="00E02B5D" w:rsidRDefault="00A90382" w:rsidP="00C35E51">
            <w:pPr>
              <w:spacing w:after="120" w:line="240" w:lineRule="auto"/>
              <w:rPr>
                <w:rFonts w:eastAsia="Times New Roman" w:cs="Calibri"/>
                <w:noProof/>
                <w:color w:val="006100"/>
                <w:sz w:val="18"/>
                <w:szCs w:val="18"/>
              </w:rPr>
            </w:pPr>
            <w:r>
              <w:rPr>
                <w:noProof/>
                <w:color w:val="006100"/>
                <w:sz w:val="18"/>
              </w:rPr>
              <w:t>2025</w:t>
            </w:r>
          </w:p>
        </w:tc>
        <w:tc>
          <w:tcPr>
            <w:tcW w:w="3647" w:type="dxa"/>
            <w:tcBorders>
              <w:top w:val="single" w:sz="4" w:space="0" w:color="auto"/>
              <w:left w:val="nil"/>
              <w:bottom w:val="single" w:sz="4" w:space="0" w:color="auto"/>
              <w:right w:val="single" w:sz="4" w:space="0" w:color="auto"/>
            </w:tcBorders>
            <w:shd w:val="clear" w:color="auto" w:fill="C6EFCE"/>
            <w:noWrap/>
          </w:tcPr>
          <w:p w14:paraId="6BB43DAF" w14:textId="77777777" w:rsidR="00A90382" w:rsidRPr="00E02B5D" w:rsidRDefault="00A90382" w:rsidP="00C35E51">
            <w:pPr>
              <w:spacing w:after="0" w:line="240" w:lineRule="auto"/>
              <w:rPr>
                <w:rFonts w:eastAsia="Times New Roman" w:cs="Calibri"/>
                <w:noProof/>
                <w:color w:val="006100"/>
                <w:sz w:val="18"/>
                <w:szCs w:val="18"/>
              </w:rPr>
            </w:pPr>
            <w:r>
              <w:rPr>
                <w:noProof/>
                <w:color w:val="006100"/>
                <w:sz w:val="18"/>
              </w:rPr>
              <w:t xml:space="preserve">Enesetarbijate registri loomist käsitlevate õigusaktide jõustumine ja tehnilise abi meetmete rakendamine energiakogukondade arengu ja toimimise toetamiseks. Omatarbeks toodetud tarbijate registrit kasutatakse andmete ja statistilise analüüsi jaoks, lihtsustades samal ajal omatarbeks toodetud tarbijate üleminekut ühelt tarnijalt teisele.  </w:t>
            </w:r>
          </w:p>
          <w:p w14:paraId="7CAF5F2D" w14:textId="77777777" w:rsidR="00A90382" w:rsidRPr="00AD4052" w:rsidRDefault="00A90382" w:rsidP="00C35E51">
            <w:pPr>
              <w:spacing w:after="0" w:line="240" w:lineRule="auto"/>
              <w:rPr>
                <w:rFonts w:eastAsia="Times New Roman" w:cs="Calibri"/>
                <w:noProof/>
                <w:color w:val="006100"/>
                <w:sz w:val="18"/>
                <w:szCs w:val="18"/>
                <w:lang w:eastAsia="en-GB"/>
              </w:rPr>
            </w:pPr>
          </w:p>
          <w:p w14:paraId="6EE3443F" w14:textId="77777777" w:rsidR="00A90382" w:rsidRPr="00E02B5D" w:rsidRDefault="00A90382" w:rsidP="00C35E51">
            <w:pPr>
              <w:spacing w:after="0" w:line="240" w:lineRule="auto"/>
              <w:rPr>
                <w:rFonts w:eastAsia="Times New Roman" w:cs="Calibri"/>
                <w:noProof/>
                <w:color w:val="006100"/>
                <w:sz w:val="18"/>
                <w:szCs w:val="18"/>
              </w:rPr>
            </w:pPr>
            <w:r>
              <w:rPr>
                <w:noProof/>
                <w:color w:val="006100"/>
                <w:sz w:val="18"/>
              </w:rPr>
              <w:t>Isetarbijate registrit haldab pädev üksus (nt Kreeka jaotusvõrguettevõtja), kes tagab, et õigustatud isikutele antakse läbipaistev ja mittediskrimineeriv juurdepääs ning et omatarbeks toodetud tarbijate registreerimine ja kõigi registris olevate andmete käitlemine on kooskõlas kohaldatava liidu õigusraamistikuga ning eelkõige andmekaitse ja eraelu puutumatuse eeskirjadega.</w:t>
            </w:r>
          </w:p>
          <w:p w14:paraId="1FBE0B51" w14:textId="77777777" w:rsidR="00A90382" w:rsidRPr="00AD4052" w:rsidRDefault="00A90382" w:rsidP="00C35E51">
            <w:pPr>
              <w:spacing w:after="0" w:line="240" w:lineRule="auto"/>
              <w:rPr>
                <w:rFonts w:eastAsia="Times New Roman" w:cs="Calibri"/>
                <w:noProof/>
                <w:color w:val="006100"/>
                <w:sz w:val="18"/>
                <w:szCs w:val="18"/>
                <w:lang w:eastAsia="en-GB"/>
              </w:rPr>
            </w:pPr>
          </w:p>
          <w:p w14:paraId="58C4E197" w14:textId="77777777" w:rsidR="00A90382" w:rsidRPr="00E02B5D" w:rsidRDefault="00A90382" w:rsidP="00C35E51">
            <w:pPr>
              <w:spacing w:after="0" w:line="240" w:lineRule="auto"/>
              <w:rPr>
                <w:rFonts w:eastAsia="Times New Roman" w:cs="Calibri"/>
                <w:noProof/>
                <w:color w:val="006100"/>
                <w:sz w:val="18"/>
                <w:szCs w:val="18"/>
              </w:rPr>
            </w:pPr>
            <w:r>
              <w:rPr>
                <w:noProof/>
                <w:color w:val="006100"/>
                <w:sz w:val="18"/>
              </w:rPr>
              <w:t xml:space="preserve">Energiakogukondadele antav tehniline abi peab olema täielikult toimiv, sealhulgas määratakse asjakohane interaktiivne kontaktpunkt. Abikõlbliku isiku taotluse korral toetab ja hõlbustab kontaktpunkt neid pooli kogu haldusmenetluses, mis on vajalik energiakogukondade loomiseks/osalemiseks. </w:t>
            </w:r>
          </w:p>
        </w:tc>
      </w:tr>
    </w:tbl>
    <w:p w14:paraId="278D9131" w14:textId="77777777" w:rsidR="00A90382" w:rsidRDefault="00A90382" w:rsidP="00D16F13">
      <w:pPr>
        <w:keepNext/>
        <w:keepLines/>
        <w:spacing w:before="240" w:after="0" w:line="240" w:lineRule="auto"/>
        <w:jc w:val="both"/>
        <w:outlineLvl w:val="4"/>
        <w:rPr>
          <w:rFonts w:ascii="Cambria" w:hAnsi="Cambria"/>
          <w:noProof/>
          <w:color w:val="365F91"/>
          <w:sz w:val="24"/>
        </w:rPr>
      </w:pPr>
      <w:r>
        <w:rPr>
          <w:rFonts w:ascii="Cambria" w:hAnsi="Cambria"/>
          <w:noProof/>
          <w:color w:val="365F91"/>
          <w:sz w:val="24"/>
        </w:rPr>
        <w:t>Reform 7: Energiatõhususega seotud uuenduslike sekkumiste tegevuskava ja uute rahastamisvahendite kindlaksmääramine (meetme ID: 16993)</w:t>
      </w:r>
    </w:p>
    <w:p w14:paraId="7D07C0BD" w14:textId="77777777" w:rsidR="00EF74AB" w:rsidRPr="00AD4052" w:rsidRDefault="00EF74AB" w:rsidP="00D16F13">
      <w:pPr>
        <w:keepNext/>
        <w:keepLines/>
        <w:spacing w:before="240" w:after="0" w:line="240" w:lineRule="auto"/>
        <w:jc w:val="both"/>
        <w:outlineLvl w:val="4"/>
        <w:rPr>
          <w:rFonts w:ascii="Cambria" w:eastAsia="Times New Roman" w:hAnsi="Cambria"/>
          <w:noProof/>
          <w:color w:val="365F91"/>
          <w:sz w:val="24"/>
        </w:rPr>
      </w:pPr>
    </w:p>
    <w:tbl>
      <w:tblPr>
        <w:tblW w:w="15309" w:type="dxa"/>
        <w:tblInd w:w="-5" w:type="dxa"/>
        <w:tblLook w:val="04A0" w:firstRow="1" w:lastRow="0" w:firstColumn="1" w:lastColumn="0" w:noHBand="0" w:noVBand="1"/>
      </w:tblPr>
      <w:tblGrid>
        <w:gridCol w:w="1666"/>
        <w:gridCol w:w="1793"/>
        <w:gridCol w:w="1094"/>
        <w:gridCol w:w="1604"/>
        <w:gridCol w:w="1553"/>
        <w:gridCol w:w="1205"/>
        <w:gridCol w:w="966"/>
        <w:gridCol w:w="906"/>
        <w:gridCol w:w="922"/>
        <w:gridCol w:w="720"/>
        <w:gridCol w:w="2880"/>
      </w:tblGrid>
      <w:tr w:rsidR="00AD0982" w:rsidRPr="003B132A" w14:paraId="689C8D8F" w14:textId="77777777" w:rsidTr="005D5392">
        <w:trPr>
          <w:trHeight w:val="927"/>
          <w:tblHeader/>
        </w:trPr>
        <w:tc>
          <w:tcPr>
            <w:tcW w:w="16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7A1EDA"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FE6557"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A8293C4"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6BCC3F"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878B72"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07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2FD3FF2"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642" w:type="dxa"/>
            <w:gridSpan w:val="2"/>
            <w:tcBorders>
              <w:top w:val="single" w:sz="4" w:space="0" w:color="auto"/>
              <w:left w:val="nil"/>
              <w:bottom w:val="single" w:sz="4" w:space="0" w:color="auto"/>
              <w:right w:val="single" w:sz="4" w:space="0" w:color="auto"/>
            </w:tcBorders>
            <w:shd w:val="clear" w:color="auto" w:fill="BDD7EE"/>
            <w:vAlign w:val="center"/>
            <w:hideMark/>
          </w:tcPr>
          <w:p w14:paraId="588B1535"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B97A7A"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AD0982" w:rsidRPr="00E02B5D" w14:paraId="4267495B" w14:textId="77777777" w:rsidTr="005D5392">
        <w:trPr>
          <w:trHeight w:val="665"/>
        </w:trPr>
        <w:tc>
          <w:tcPr>
            <w:tcW w:w="1666" w:type="dxa"/>
            <w:vMerge/>
            <w:tcBorders>
              <w:top w:val="single" w:sz="4" w:space="0" w:color="auto"/>
              <w:left w:val="single" w:sz="4" w:space="0" w:color="auto"/>
              <w:bottom w:val="single" w:sz="4" w:space="0" w:color="auto"/>
              <w:right w:val="single" w:sz="4" w:space="0" w:color="auto"/>
            </w:tcBorders>
            <w:vAlign w:val="center"/>
            <w:hideMark/>
          </w:tcPr>
          <w:p w14:paraId="58EF8EB9"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79433EFF"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23D4BD24"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14:paraId="3368D556"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57CD141D"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20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1898E80"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66" w:type="dxa"/>
            <w:tcBorders>
              <w:top w:val="nil"/>
              <w:left w:val="nil"/>
              <w:bottom w:val="single" w:sz="4" w:space="0" w:color="auto"/>
              <w:right w:val="single" w:sz="4" w:space="0" w:color="auto"/>
            </w:tcBorders>
            <w:shd w:val="clear" w:color="auto" w:fill="BDD7EE"/>
            <w:vAlign w:val="center"/>
            <w:hideMark/>
          </w:tcPr>
          <w:p w14:paraId="452CA8E7"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906" w:type="dxa"/>
            <w:tcBorders>
              <w:top w:val="nil"/>
              <w:left w:val="nil"/>
              <w:bottom w:val="single" w:sz="4" w:space="0" w:color="auto"/>
              <w:right w:val="single" w:sz="4" w:space="0" w:color="auto"/>
            </w:tcBorders>
            <w:shd w:val="clear" w:color="auto" w:fill="BDD7EE"/>
            <w:vAlign w:val="center"/>
            <w:hideMark/>
          </w:tcPr>
          <w:p w14:paraId="5D588F0A"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922" w:type="dxa"/>
            <w:tcBorders>
              <w:top w:val="nil"/>
              <w:left w:val="nil"/>
              <w:bottom w:val="single" w:sz="4" w:space="0" w:color="auto"/>
              <w:right w:val="single" w:sz="4" w:space="0" w:color="auto"/>
            </w:tcBorders>
            <w:shd w:val="clear" w:color="auto" w:fill="BDD7EE"/>
            <w:vAlign w:val="center"/>
            <w:hideMark/>
          </w:tcPr>
          <w:p w14:paraId="29746CC5"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20" w:type="dxa"/>
            <w:tcBorders>
              <w:top w:val="nil"/>
              <w:left w:val="nil"/>
              <w:bottom w:val="single" w:sz="4" w:space="0" w:color="auto"/>
              <w:right w:val="single" w:sz="4" w:space="0" w:color="auto"/>
            </w:tcBorders>
            <w:shd w:val="clear" w:color="auto" w:fill="BDD7EE"/>
            <w:vAlign w:val="center"/>
            <w:hideMark/>
          </w:tcPr>
          <w:p w14:paraId="727D77E3"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2880" w:type="dxa"/>
            <w:vMerge/>
            <w:tcBorders>
              <w:top w:val="single" w:sz="4" w:space="0" w:color="auto"/>
              <w:bottom w:val="single" w:sz="4" w:space="0" w:color="auto"/>
              <w:right w:val="single" w:sz="4" w:space="0" w:color="auto"/>
            </w:tcBorders>
            <w:vAlign w:val="center"/>
            <w:hideMark/>
          </w:tcPr>
          <w:p w14:paraId="526D33C1" w14:textId="77777777" w:rsidR="00A90382" w:rsidRPr="00E02B5D" w:rsidRDefault="00A90382" w:rsidP="00D16F13">
            <w:pPr>
              <w:spacing w:after="0" w:line="240" w:lineRule="auto"/>
              <w:rPr>
                <w:rFonts w:ascii="Times New Roman" w:eastAsia="Times New Roman" w:hAnsi="Times New Roman" w:cs="Times New Roman"/>
                <w:b/>
                <w:bCs/>
                <w:noProof/>
                <w:sz w:val="18"/>
                <w:szCs w:val="18"/>
                <w:lang w:val="en-GB" w:eastAsia="en-GB"/>
              </w:rPr>
            </w:pPr>
          </w:p>
        </w:tc>
      </w:tr>
      <w:tr w:rsidR="008A0BD9" w:rsidRPr="003B132A" w14:paraId="45C5A9B2" w14:textId="77777777" w:rsidTr="005D5392">
        <w:tc>
          <w:tcPr>
            <w:tcW w:w="1666" w:type="dxa"/>
            <w:tcBorders>
              <w:top w:val="single" w:sz="4" w:space="0" w:color="auto"/>
              <w:left w:val="single" w:sz="4" w:space="0" w:color="auto"/>
              <w:bottom w:val="single" w:sz="4" w:space="0" w:color="auto"/>
              <w:right w:val="single" w:sz="4" w:space="0" w:color="auto"/>
            </w:tcBorders>
            <w:shd w:val="clear" w:color="auto" w:fill="C6EFCE"/>
            <w:noWrap/>
          </w:tcPr>
          <w:p w14:paraId="0F760486"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363</w:t>
            </w:r>
          </w:p>
        </w:tc>
        <w:tc>
          <w:tcPr>
            <w:tcW w:w="1793" w:type="dxa"/>
            <w:tcBorders>
              <w:top w:val="single" w:sz="4" w:space="0" w:color="auto"/>
              <w:left w:val="nil"/>
              <w:bottom w:val="single" w:sz="4" w:space="0" w:color="auto"/>
              <w:right w:val="single" w:sz="4" w:space="0" w:color="auto"/>
            </w:tcBorders>
            <w:shd w:val="clear" w:color="auto" w:fill="C6EFCE"/>
            <w:noWrap/>
          </w:tcPr>
          <w:p w14:paraId="3D9841B3"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20-5. REPowerEU reformid – 16993_Innovatiivsete energiatõhususe meetmete tegevuskava ja uute rahastamisvahendite kindlaksmääramine</w:t>
            </w:r>
          </w:p>
        </w:tc>
        <w:tc>
          <w:tcPr>
            <w:tcW w:w="1094" w:type="dxa"/>
            <w:tcBorders>
              <w:top w:val="single" w:sz="4" w:space="0" w:color="auto"/>
              <w:left w:val="nil"/>
              <w:bottom w:val="single" w:sz="4" w:space="0" w:color="auto"/>
              <w:right w:val="single" w:sz="4" w:space="0" w:color="auto"/>
            </w:tcBorders>
            <w:shd w:val="clear" w:color="auto" w:fill="C6EFCE"/>
            <w:noWrap/>
          </w:tcPr>
          <w:p w14:paraId="151D52A3"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Eesmärk</w:t>
            </w:r>
          </w:p>
        </w:tc>
        <w:tc>
          <w:tcPr>
            <w:tcW w:w="1604" w:type="dxa"/>
            <w:tcBorders>
              <w:top w:val="single" w:sz="4" w:space="0" w:color="auto"/>
              <w:left w:val="nil"/>
              <w:bottom w:val="single" w:sz="4" w:space="0" w:color="auto"/>
              <w:right w:val="single" w:sz="4" w:space="0" w:color="auto"/>
            </w:tcBorders>
            <w:shd w:val="clear" w:color="auto" w:fill="C6EFCE"/>
            <w:noWrap/>
          </w:tcPr>
          <w:p w14:paraId="20F7EC31"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Energiatõhususega seotud uuenduslike meetmete tegevuskava ja õigusraamistik on kehtestatud</w:t>
            </w:r>
          </w:p>
        </w:tc>
        <w:tc>
          <w:tcPr>
            <w:tcW w:w="1553" w:type="dxa"/>
            <w:tcBorders>
              <w:top w:val="single" w:sz="4" w:space="0" w:color="auto"/>
              <w:left w:val="nil"/>
              <w:bottom w:val="single" w:sz="4" w:space="0" w:color="auto"/>
              <w:right w:val="single" w:sz="4" w:space="0" w:color="auto"/>
            </w:tcBorders>
            <w:shd w:val="clear" w:color="auto" w:fill="C6EFCE"/>
            <w:noWrap/>
          </w:tcPr>
          <w:p w14:paraId="622CD762"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Õigusaktide jõustumine</w:t>
            </w:r>
          </w:p>
        </w:tc>
        <w:tc>
          <w:tcPr>
            <w:tcW w:w="1205" w:type="dxa"/>
            <w:tcBorders>
              <w:top w:val="single" w:sz="4" w:space="0" w:color="auto"/>
              <w:left w:val="nil"/>
              <w:bottom w:val="single" w:sz="4" w:space="0" w:color="auto"/>
              <w:right w:val="single" w:sz="4" w:space="0" w:color="auto"/>
            </w:tcBorders>
            <w:shd w:val="clear" w:color="auto" w:fill="C6EFCE"/>
            <w:noWrap/>
          </w:tcPr>
          <w:p w14:paraId="6D4FC4A8"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28385D1D"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1558F396"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922" w:type="dxa"/>
            <w:tcBorders>
              <w:top w:val="nil"/>
              <w:left w:val="nil"/>
              <w:bottom w:val="single" w:sz="4" w:space="0" w:color="auto"/>
              <w:right w:val="single" w:sz="4" w:space="0" w:color="auto"/>
            </w:tcBorders>
            <w:shd w:val="clear" w:color="auto" w:fill="C6EFCE"/>
            <w:noWrap/>
          </w:tcPr>
          <w:p w14:paraId="10857100"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 kv</w:t>
            </w:r>
          </w:p>
        </w:tc>
        <w:tc>
          <w:tcPr>
            <w:tcW w:w="720" w:type="dxa"/>
            <w:tcBorders>
              <w:top w:val="nil"/>
              <w:left w:val="nil"/>
              <w:bottom w:val="single" w:sz="4" w:space="0" w:color="auto"/>
              <w:right w:val="single" w:sz="4" w:space="0" w:color="auto"/>
            </w:tcBorders>
            <w:shd w:val="clear" w:color="auto" w:fill="C6EFCE"/>
            <w:noWrap/>
          </w:tcPr>
          <w:p w14:paraId="6A4CC69E"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2024</w:t>
            </w:r>
          </w:p>
        </w:tc>
        <w:tc>
          <w:tcPr>
            <w:tcW w:w="2880" w:type="dxa"/>
            <w:tcBorders>
              <w:top w:val="single" w:sz="4" w:space="0" w:color="auto"/>
              <w:left w:val="nil"/>
              <w:bottom w:val="single" w:sz="4" w:space="0" w:color="auto"/>
              <w:right w:val="single" w:sz="4" w:space="0" w:color="auto"/>
            </w:tcBorders>
            <w:shd w:val="clear" w:color="auto" w:fill="C6EFCE"/>
            <w:noWrap/>
          </w:tcPr>
          <w:p w14:paraId="1E6C8F64"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Jõustub ministrite otsus, millega võetakse vastu tegevuskava, milles sätestatakse uuenduslikud energiatõhususe meetmed, sealhulgas mittetoetuspõhised rahastamisvahendid. Tegevuskava sisaldab eri liiki lõppkasutajatele mõeldud rahastamisvahendite võimalusi, mis ei põhine toetusel, ning see põhineb ühel või mitmel järgmistest võimalustest: i) „superbonus“ (st maksusoodustus, mis seisneb energiatõhususele suunatud konkreetsete sekkumiste rakendamisel tekkinud kulude mahaarvamises); ning ii) muud rahastamisvahendid, mis ei ole toetusvahendid.</w:t>
            </w:r>
          </w:p>
        </w:tc>
      </w:tr>
      <w:tr w:rsidR="008A0BD9" w:rsidRPr="003B132A" w14:paraId="25AE2FD8" w14:textId="77777777" w:rsidTr="005D5392">
        <w:tc>
          <w:tcPr>
            <w:tcW w:w="1666" w:type="dxa"/>
            <w:tcBorders>
              <w:top w:val="nil"/>
              <w:left w:val="single" w:sz="4" w:space="0" w:color="auto"/>
              <w:bottom w:val="single" w:sz="4" w:space="0" w:color="auto"/>
              <w:right w:val="single" w:sz="4" w:space="0" w:color="auto"/>
            </w:tcBorders>
            <w:shd w:val="clear" w:color="auto" w:fill="C6EFCE"/>
            <w:noWrap/>
          </w:tcPr>
          <w:p w14:paraId="4B0BFE9C" w14:textId="210C5C32" w:rsidR="00A90382" w:rsidRPr="00E02B5D" w:rsidRDefault="00A90382" w:rsidP="00D16F13">
            <w:pPr>
              <w:spacing w:after="0" w:line="240" w:lineRule="auto"/>
              <w:rPr>
                <w:rFonts w:eastAsia="Times New Roman" w:cs="Calibri"/>
                <w:noProof/>
                <w:color w:val="006100"/>
                <w:sz w:val="18"/>
                <w:szCs w:val="18"/>
              </w:rPr>
            </w:pPr>
            <w:r>
              <w:rPr>
                <w:noProof/>
                <w:color w:val="006100"/>
                <w:sz w:val="18"/>
              </w:rPr>
              <w:t>364</w:t>
            </w:r>
          </w:p>
        </w:tc>
        <w:tc>
          <w:tcPr>
            <w:tcW w:w="1793" w:type="dxa"/>
            <w:tcBorders>
              <w:top w:val="nil"/>
              <w:left w:val="nil"/>
              <w:bottom w:val="single" w:sz="4" w:space="0" w:color="auto"/>
              <w:right w:val="single" w:sz="4" w:space="0" w:color="auto"/>
            </w:tcBorders>
            <w:shd w:val="clear" w:color="auto" w:fill="C6EFCE"/>
            <w:noWrap/>
          </w:tcPr>
          <w:p w14:paraId="2633848F"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20-5. REPowerEU reformid – 16993_Innovatiivsete energiatõhususe meetmete tegevuskava ja uute rahastamisvahendite kindlaksmääramine</w:t>
            </w:r>
          </w:p>
        </w:tc>
        <w:tc>
          <w:tcPr>
            <w:tcW w:w="1094" w:type="dxa"/>
            <w:tcBorders>
              <w:top w:val="nil"/>
              <w:left w:val="nil"/>
              <w:bottom w:val="single" w:sz="4" w:space="0" w:color="auto"/>
              <w:right w:val="single" w:sz="4" w:space="0" w:color="auto"/>
            </w:tcBorders>
            <w:shd w:val="clear" w:color="auto" w:fill="C6EFCE"/>
            <w:noWrap/>
          </w:tcPr>
          <w:p w14:paraId="21712C48"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Eesmärk</w:t>
            </w:r>
          </w:p>
        </w:tc>
        <w:tc>
          <w:tcPr>
            <w:tcW w:w="1604" w:type="dxa"/>
            <w:tcBorders>
              <w:top w:val="nil"/>
              <w:left w:val="nil"/>
              <w:bottom w:val="single" w:sz="4" w:space="0" w:color="auto"/>
              <w:right w:val="single" w:sz="4" w:space="0" w:color="auto"/>
            </w:tcBorders>
            <w:shd w:val="clear" w:color="auto" w:fill="C6EFCE"/>
            <w:noWrap/>
          </w:tcPr>
          <w:p w14:paraId="0DBC80D4"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Toetuseta rahastamisvahendi käivitamine</w:t>
            </w:r>
          </w:p>
        </w:tc>
        <w:tc>
          <w:tcPr>
            <w:tcW w:w="1553" w:type="dxa"/>
            <w:tcBorders>
              <w:top w:val="nil"/>
              <w:left w:val="nil"/>
              <w:bottom w:val="single" w:sz="4" w:space="0" w:color="auto"/>
              <w:right w:val="single" w:sz="4" w:space="0" w:color="auto"/>
            </w:tcBorders>
            <w:shd w:val="clear" w:color="auto" w:fill="C6EFCE"/>
            <w:noWrap/>
          </w:tcPr>
          <w:p w14:paraId="13A7011C"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Õigusaktide jõustumine</w:t>
            </w:r>
          </w:p>
        </w:tc>
        <w:tc>
          <w:tcPr>
            <w:tcW w:w="1205" w:type="dxa"/>
            <w:tcBorders>
              <w:top w:val="nil"/>
              <w:left w:val="nil"/>
              <w:bottom w:val="single" w:sz="4" w:space="0" w:color="auto"/>
              <w:right w:val="single" w:sz="4" w:space="0" w:color="auto"/>
            </w:tcBorders>
            <w:shd w:val="clear" w:color="auto" w:fill="C6EFCE"/>
            <w:noWrap/>
          </w:tcPr>
          <w:p w14:paraId="08E25C94"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966" w:type="dxa"/>
            <w:tcBorders>
              <w:top w:val="nil"/>
              <w:left w:val="nil"/>
              <w:bottom w:val="single" w:sz="4" w:space="0" w:color="auto"/>
              <w:right w:val="single" w:sz="4" w:space="0" w:color="auto"/>
            </w:tcBorders>
            <w:shd w:val="clear" w:color="auto" w:fill="C6EFCE"/>
            <w:noWrap/>
          </w:tcPr>
          <w:p w14:paraId="6F063F3A"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5DB48D61"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922" w:type="dxa"/>
            <w:tcBorders>
              <w:top w:val="nil"/>
              <w:left w:val="nil"/>
              <w:bottom w:val="single" w:sz="4" w:space="0" w:color="auto"/>
              <w:right w:val="single" w:sz="4" w:space="0" w:color="auto"/>
            </w:tcBorders>
            <w:shd w:val="clear" w:color="auto" w:fill="C6EFCE"/>
            <w:noWrap/>
          </w:tcPr>
          <w:p w14:paraId="72A09F12"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 kv</w:t>
            </w:r>
          </w:p>
        </w:tc>
        <w:tc>
          <w:tcPr>
            <w:tcW w:w="720" w:type="dxa"/>
            <w:tcBorders>
              <w:top w:val="nil"/>
              <w:left w:val="nil"/>
              <w:bottom w:val="single" w:sz="4" w:space="0" w:color="auto"/>
              <w:right w:val="single" w:sz="4" w:space="0" w:color="auto"/>
            </w:tcBorders>
            <w:shd w:val="clear" w:color="auto" w:fill="C6EFCE"/>
            <w:noWrap/>
          </w:tcPr>
          <w:p w14:paraId="170377C4"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2025</w:t>
            </w:r>
          </w:p>
        </w:tc>
        <w:tc>
          <w:tcPr>
            <w:tcW w:w="2880" w:type="dxa"/>
            <w:tcBorders>
              <w:top w:val="nil"/>
              <w:left w:val="nil"/>
              <w:bottom w:val="single" w:sz="4" w:space="0" w:color="auto"/>
              <w:right w:val="single" w:sz="4" w:space="0" w:color="auto"/>
            </w:tcBorders>
            <w:shd w:val="clear" w:color="auto" w:fill="C6EFCE"/>
            <w:noWrap/>
          </w:tcPr>
          <w:p w14:paraId="7B16685A"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Jõustub teisesed õigusaktid, millega käivitatakse mittetoetusepõhine rahastamisvahend, nagu on sätestatud tegevuskavas.</w:t>
            </w:r>
            <w:r>
              <w:rPr>
                <w:rStyle w:val="Heading1Char"/>
                <w:rFonts w:eastAsia="Calibri"/>
                <w:noProof/>
              </w:rPr>
              <w:t xml:space="preserve"> </w:t>
            </w:r>
          </w:p>
        </w:tc>
      </w:tr>
    </w:tbl>
    <w:p w14:paraId="332EAD41" w14:textId="77777777" w:rsidR="00A90382" w:rsidRPr="00AD4052" w:rsidRDefault="00A90382" w:rsidP="00D16F13">
      <w:pPr>
        <w:rPr>
          <w:rFonts w:ascii="Times New Roman" w:hAnsi="Times New Roman" w:cs="Times New Roman"/>
          <w:noProof/>
          <w:sz w:val="24"/>
        </w:rPr>
        <w:sectPr w:rsidR="00A90382" w:rsidRPr="00AD4052" w:rsidSect="00271D33">
          <w:headerReference w:type="even" r:id="rId422"/>
          <w:headerReference w:type="default" r:id="rId423"/>
          <w:footerReference w:type="even" r:id="rId424"/>
          <w:footerReference w:type="default" r:id="rId425"/>
          <w:headerReference w:type="first" r:id="rId426"/>
          <w:footerReference w:type="first" r:id="rId427"/>
          <w:pgSz w:w="16839" w:h="11907" w:orient="landscape"/>
          <w:pgMar w:top="1134" w:right="1134" w:bottom="1134" w:left="1134" w:header="567" w:footer="355" w:gutter="0"/>
          <w:cols w:space="720"/>
          <w:docGrid w:linePitch="360"/>
        </w:sectPr>
      </w:pPr>
    </w:p>
    <w:p w14:paraId="20B973C0" w14:textId="77777777" w:rsidR="00A90382" w:rsidRPr="00E02B5D" w:rsidRDefault="00A90382" w:rsidP="00D16F13">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noProof/>
          <w:sz w:val="24"/>
        </w:rPr>
        <w:t>U. KOMPONENT 5.2. REPowerEU INVESTEERINGUD</w:t>
      </w:r>
    </w:p>
    <w:p w14:paraId="059A5E20" w14:textId="77777777" w:rsidR="00A90382" w:rsidRPr="00E02B5D" w:rsidRDefault="00A90382" w:rsidP="00645BC7">
      <w:pPr>
        <w:spacing w:before="120" w:after="120" w:line="240" w:lineRule="auto"/>
        <w:jc w:val="both"/>
        <w:rPr>
          <w:rFonts w:ascii="Times New Roman" w:hAnsi="Times New Roman" w:cs="Times New Roman"/>
          <w:b/>
          <w:bCs/>
          <w:noProof/>
          <w:sz w:val="24"/>
          <w:u w:val="single"/>
          <w:lang w:val="en-GB"/>
        </w:rPr>
      </w:pPr>
    </w:p>
    <w:p w14:paraId="0E19AF25" w14:textId="77777777" w:rsidR="00A90382" w:rsidRPr="00E02B5D" w:rsidRDefault="00A90382" w:rsidP="00645BC7">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U.1. </w:t>
      </w:r>
      <w:r>
        <w:rPr>
          <w:noProof/>
        </w:rPr>
        <w:tab/>
      </w:r>
      <w:r>
        <w:rPr>
          <w:rFonts w:ascii="Times New Roman" w:hAnsi="Times New Roman"/>
          <w:b/>
          <w:noProof/>
          <w:sz w:val="24"/>
          <w:u w:val="single"/>
        </w:rPr>
        <w:t>Tagastamatu rahalise toetusega seotud reformide ja investeeringute kirjeldus</w:t>
      </w:r>
    </w:p>
    <w:p w14:paraId="0A60D6CB"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REPowerEU peatükk sisaldab kolme investeerimismeedet, millega toetatakse energiatõhusust, uute taastuvate energiaallikate kasutuselevõttu, energia salvestamist ning süsinikdioksiidi kogumist ja säilitamist, sealhulgas: 1) investeering, millega toetatakse energiatõhusust ja taastuvate energiaallikate edendamist omatarbeks tarbimiseks ja mis koosneb viiest allinvesteeringust, mis hõlmavad i) elamute energiatõhusamaks renoveerimist toetuste andmise kaudu; ii) avaliku ja erasektori mitteeluhoonete energiatõhusaks renoveerimine toetuste andmise kaudu; iii) eluhoonetes ja põllumajandussektoris omatarbeks kasutatavate päikeseelektrisüsteemide paigaldamise suurendamine, milleks antakse toetusi; iv) taastuvate energiaallikate edendamine eluhoonetes, rahastades uute taastuvenergiasüsteemide paigaldamist vee soojendamiseks ning v) munitsipaalvee- ja kanalisatsiooniteenuste energiatõhususe parandamine; 2) Suurendada energiasalvestussüsteemide paigaldamist taastuvate energiaallikate täiendavaks kasutuselevõtuks; ning 3) biometaani ja taastuvallikatest toodetud vesiniku tootmise katseprojektid ning süsinikdioksiidi kogumise ja säilitamise tehnoloogia edendamine tööstusharudes, kus heidet on raske vähendada, et edendada tööstuse CO</w:t>
      </w:r>
      <w:r>
        <w:rPr>
          <w:rFonts w:ascii="Times New Roman" w:hAnsi="Times New Roman"/>
          <w:noProof/>
          <w:sz w:val="24"/>
          <w:vertAlign w:val="subscript"/>
        </w:rPr>
        <w:t>2</w:t>
      </w:r>
      <w:r>
        <w:rPr>
          <w:rFonts w:ascii="Times New Roman" w:hAnsi="Times New Roman"/>
          <w:noProof/>
          <w:sz w:val="24"/>
        </w:rPr>
        <w:t xml:space="preserve"> heite vähendamist.</w:t>
      </w:r>
    </w:p>
    <w:p w14:paraId="401CCDA3" w14:textId="77777777" w:rsidR="00A90382" w:rsidRPr="00AD4052" w:rsidRDefault="00A90382" w:rsidP="00645BC7">
      <w:pPr>
        <w:spacing w:before="120" w:after="120" w:line="240" w:lineRule="auto"/>
        <w:jc w:val="both"/>
        <w:rPr>
          <w:rFonts w:ascii="Times New Roman" w:hAnsi="Times New Roman" w:cs="Times New Roman"/>
          <w:noProof/>
          <w:sz w:val="24"/>
        </w:rPr>
      </w:pPr>
    </w:p>
    <w:p w14:paraId="2C09C048" w14:textId="77777777" w:rsidR="00A90382" w:rsidRPr="00E02B5D" w:rsidRDefault="00A90382" w:rsidP="00645BC7">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Investeering:</w:t>
      </w:r>
      <w:r>
        <w:rPr>
          <w:rFonts w:ascii="Times New Roman" w:hAnsi="Times New Roman"/>
          <w:noProof/>
          <w:sz w:val="24"/>
        </w:rPr>
        <w:t xml:space="preserve"> Energiasalvestuse paigaldamine taastuvate energiaallikate täiendavaks läbivooluks (meetme ID: 16996)</w:t>
      </w:r>
    </w:p>
    <w:p w14:paraId="0D224A60"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Selle meetme eesmärk on suurendada investeeringuid: „Salvestamissüsteemide paigaldamise toetamine taastuvate energiaallikate osakaalu suurendamiseks“ (ID: 16926) komponendi 1.1 all (energeetika). Investeering on olemasoleva taaste- ja vastupidavuskava raames tehtava investeeringu nr 16926 teise allprogrammi täiustamine, mis on seotud eraldiseisvate võrgutasandi salvestussüsteemide arendamisega ja mille eesmärk on võimaldada sellise salvestusvõimsuse edasist arendamist. Investeeringu tulemusel rajatakse täiendavad uued energiasalvestusseadmed võimsusega vähemalt 175 MW. </w:t>
      </w:r>
    </w:p>
    <w:p w14:paraId="778BEB89"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Investeeringu rakendamine viiakse lõpule 2025. aasta neljandaks kvartaliks.</w:t>
      </w:r>
    </w:p>
    <w:p w14:paraId="4DD7DC7B" w14:textId="77777777" w:rsidR="00A90382" w:rsidRPr="00AD4052" w:rsidRDefault="00A90382" w:rsidP="00D16F13">
      <w:pPr>
        <w:spacing w:before="120" w:after="120" w:line="240" w:lineRule="auto"/>
        <w:jc w:val="both"/>
        <w:rPr>
          <w:rFonts w:ascii="Times New Roman" w:hAnsi="Times New Roman" w:cs="Times New Roman"/>
          <w:noProof/>
          <w:sz w:val="24"/>
          <w:szCs w:val="24"/>
        </w:rPr>
      </w:pPr>
    </w:p>
    <w:p w14:paraId="6D32424F" w14:textId="77777777" w:rsidR="00A90382" w:rsidRPr="00E02B5D" w:rsidRDefault="00A90382" w:rsidP="00645BC7">
      <w:pPr>
        <w:spacing w:before="120" w:after="120" w:line="240" w:lineRule="auto"/>
        <w:jc w:val="both"/>
        <w:rPr>
          <w:rFonts w:ascii="Times New Roman" w:hAnsi="Times New Roman" w:cs="Times New Roman"/>
          <w:noProof/>
          <w:sz w:val="24"/>
        </w:rPr>
      </w:pPr>
      <w:r>
        <w:rPr>
          <w:rFonts w:ascii="Times New Roman" w:hAnsi="Times New Roman"/>
          <w:b/>
          <w:noProof/>
          <w:sz w:val="24"/>
        </w:rPr>
        <w:t>Investeering:</w:t>
      </w:r>
      <w:r>
        <w:rPr>
          <w:rFonts w:ascii="Times New Roman" w:hAnsi="Times New Roman"/>
          <w:noProof/>
          <w:sz w:val="24"/>
        </w:rPr>
        <w:t xml:space="preserve"> Energiatõhusus ja taastuvate energiaallikate edendamine oma tarbeks (meetme ID: 16994)</w:t>
      </w:r>
    </w:p>
    <w:p w14:paraId="3C26B28E" w14:textId="7239B983" w:rsidR="00A90382" w:rsidRPr="00E02B5D" w:rsidRDefault="00A90382" w:rsidP="00645BC7">
      <w:pPr>
        <w:spacing w:before="120" w:after="120" w:line="240" w:lineRule="auto"/>
        <w:jc w:val="both"/>
        <w:rPr>
          <w:rFonts w:ascii="Times New Roman" w:hAnsi="Times New Roman" w:cs="Times New Roman"/>
          <w:noProof/>
          <w:sz w:val="24"/>
          <w:szCs w:val="24"/>
        </w:rPr>
      </w:pPr>
      <w:r>
        <w:rPr>
          <w:rFonts w:ascii="Times New Roman" w:hAnsi="Times New Roman"/>
          <w:noProof/>
          <w:sz w:val="24"/>
        </w:rPr>
        <w:t>Selle investeeringu eesmärk on parandada energiatõhusust ja taastuvenergia kasutuselevõttu mitmes lõppenergia tarbimisega sektoris. Investeeringu eesmärk on edendada energiatõhususe rakendamist ja taastuvenergia kasutuselevõttu elu- ja mitteeluhoonetes, põllumajandussektoris ning munitsipaalvee- ja kanalisatsiooniteenuste sektoris ning selle eesmärk on ühendada võrku primaarenergia säästmine, kasvuhoonegaaside heite vähenemine ja uus taastuvenergia. See investeering koosneb kuuest allinvesteeringust:</w:t>
      </w:r>
    </w:p>
    <w:p w14:paraId="339CD41E" w14:textId="77777777" w:rsidR="00A90382" w:rsidRPr="00E02B5D" w:rsidRDefault="00A90382" w:rsidP="00DE1EE5">
      <w:pPr>
        <w:pStyle w:val="ListParagraph"/>
        <w:numPr>
          <w:ilvl w:val="0"/>
          <w:numId w:val="71"/>
        </w:numPr>
        <w:spacing w:before="120" w:after="120" w:line="240" w:lineRule="auto"/>
        <w:ind w:left="1080"/>
        <w:jc w:val="both"/>
        <w:rPr>
          <w:rFonts w:ascii="Times New Roman" w:hAnsi="Times New Roman" w:cs="Times New Roman"/>
          <w:i/>
          <w:noProof/>
          <w:sz w:val="24"/>
        </w:rPr>
      </w:pPr>
      <w:r>
        <w:rPr>
          <w:rFonts w:ascii="Times New Roman" w:hAnsi="Times New Roman"/>
          <w:i/>
          <w:noProof/>
          <w:sz w:val="24"/>
        </w:rPr>
        <w:t>Elamute energiatõhusamaks muutmine</w:t>
      </w:r>
    </w:p>
    <w:p w14:paraId="22825745" w14:textId="77777777" w:rsidR="00A90382" w:rsidRPr="00E02B5D" w:rsidRDefault="00A90382" w:rsidP="00D16F13">
      <w:pPr>
        <w:spacing w:before="120" w:after="120" w:line="240" w:lineRule="auto"/>
        <w:ind w:left="720"/>
        <w:jc w:val="both"/>
        <w:rPr>
          <w:rFonts w:ascii="Times New Roman" w:hAnsi="Times New Roman" w:cs="Times New Roman"/>
          <w:noProof/>
          <w:sz w:val="24"/>
        </w:rPr>
      </w:pPr>
      <w:r>
        <w:rPr>
          <w:rFonts w:ascii="Times New Roman" w:hAnsi="Times New Roman"/>
          <w:noProof/>
          <w:sz w:val="24"/>
        </w:rPr>
        <w:t>Investeeringuga parandatakse elamute energiatõhusust. See hõlmab renoveerimisi, millega saavutatakse märkimisväärne primaarenergia sääst, aidates seega kaasa riikliku energia- ja kliimakava asjakohaste eesmärkide saavutamisele. Energiaostuvõimetuid leibkondi toetatakse suurendatud toetuste protsendimäärana.</w:t>
      </w:r>
    </w:p>
    <w:p w14:paraId="7D5AB9C5" w14:textId="77777777" w:rsidR="00A90382" w:rsidRPr="00E02B5D" w:rsidRDefault="00A90382" w:rsidP="00DE1EE5">
      <w:pPr>
        <w:pStyle w:val="ListParagraph"/>
        <w:numPr>
          <w:ilvl w:val="0"/>
          <w:numId w:val="71"/>
        </w:numPr>
        <w:spacing w:before="120" w:after="120" w:line="240" w:lineRule="auto"/>
        <w:ind w:left="1080"/>
        <w:jc w:val="both"/>
        <w:rPr>
          <w:rFonts w:ascii="Times New Roman" w:hAnsi="Times New Roman" w:cs="Times New Roman"/>
          <w:i/>
          <w:noProof/>
          <w:sz w:val="24"/>
        </w:rPr>
      </w:pPr>
      <w:r>
        <w:rPr>
          <w:rFonts w:ascii="Times New Roman" w:hAnsi="Times New Roman"/>
          <w:i/>
          <w:noProof/>
          <w:sz w:val="24"/>
        </w:rPr>
        <w:t>Avaliku sektori hoonete ja erasektori (mitteeluhooned) energiatõhusus</w:t>
      </w:r>
    </w:p>
    <w:p w14:paraId="1C95B441" w14:textId="2B8EBE24" w:rsidR="00A90382" w:rsidRPr="00E02B5D" w:rsidRDefault="00A90382" w:rsidP="00D16F13">
      <w:pPr>
        <w:spacing w:before="120" w:after="120" w:line="240" w:lineRule="auto"/>
        <w:ind w:left="720"/>
        <w:jc w:val="both"/>
        <w:rPr>
          <w:rFonts w:ascii="Times New Roman" w:hAnsi="Times New Roman" w:cs="Times New Roman"/>
          <w:noProof/>
          <w:sz w:val="24"/>
          <w:szCs w:val="24"/>
        </w:rPr>
      </w:pPr>
      <w:r>
        <w:rPr>
          <w:rFonts w:ascii="Times New Roman" w:hAnsi="Times New Roman"/>
          <w:noProof/>
          <w:sz w:val="24"/>
        </w:rPr>
        <w:t>See investeering on suunatud hoonete energiatõhususe parandamisele energiatõhusate seadmete ja süsteemide tarnimise ja paigaldamise kaudu.</w:t>
      </w:r>
    </w:p>
    <w:p w14:paraId="3630D47E" w14:textId="77777777" w:rsidR="00A90382" w:rsidRPr="00E02B5D" w:rsidRDefault="00A90382" w:rsidP="00DE1EE5">
      <w:pPr>
        <w:pStyle w:val="ListParagraph"/>
        <w:numPr>
          <w:ilvl w:val="0"/>
          <w:numId w:val="71"/>
        </w:numPr>
        <w:spacing w:before="120" w:after="120" w:line="240" w:lineRule="auto"/>
        <w:ind w:left="1080"/>
        <w:jc w:val="both"/>
        <w:rPr>
          <w:rFonts w:ascii="Times New Roman" w:hAnsi="Times New Roman" w:cs="Times New Roman"/>
          <w:i/>
          <w:noProof/>
          <w:sz w:val="24"/>
        </w:rPr>
      </w:pPr>
      <w:r>
        <w:rPr>
          <w:rFonts w:ascii="Times New Roman" w:hAnsi="Times New Roman"/>
          <w:i/>
          <w:noProof/>
          <w:sz w:val="24"/>
        </w:rPr>
        <w:t>Fotogalvaanilised süsteemid omatarbeks elamutes ja põllumajandussektoris</w:t>
      </w:r>
    </w:p>
    <w:p w14:paraId="0A54A611" w14:textId="7490C6A2" w:rsidR="00A90382" w:rsidRPr="00E02B5D" w:rsidRDefault="67E023FD" w:rsidP="00D16F13">
      <w:pPr>
        <w:spacing w:before="120" w:after="120" w:line="240" w:lineRule="auto"/>
        <w:ind w:left="720"/>
        <w:jc w:val="both"/>
        <w:rPr>
          <w:rFonts w:ascii="Times New Roman" w:hAnsi="Times New Roman" w:cs="Times New Roman"/>
          <w:noProof/>
          <w:sz w:val="24"/>
          <w:szCs w:val="24"/>
        </w:rPr>
      </w:pPr>
      <w:r>
        <w:rPr>
          <w:rFonts w:ascii="Times New Roman" w:hAnsi="Times New Roman"/>
          <w:noProof/>
          <w:sz w:val="24"/>
        </w:rPr>
        <w:t>Selleks et edendada toodetud elektrienergia omatarbimist netoarvestite ja netoarvete kaudu, toetatakse selle investeeringuga fotogalvaaniliste süsteemide paigaldamist eluhoonetesse ja põllumajandusüksustesse. See kava peab olema kooskõlas ELi direktiivi 2019/944 artikliga 15, milles on sätestatud elektrienergia siseturu ühiseeskirjad.</w:t>
      </w:r>
    </w:p>
    <w:p w14:paraId="6C7387CE" w14:textId="77777777" w:rsidR="00A90382" w:rsidRPr="00E02B5D" w:rsidRDefault="00A90382" w:rsidP="00DE1EE5">
      <w:pPr>
        <w:pStyle w:val="ListParagraph"/>
        <w:numPr>
          <w:ilvl w:val="0"/>
          <w:numId w:val="71"/>
        </w:numPr>
        <w:spacing w:before="120" w:after="120" w:line="240" w:lineRule="auto"/>
        <w:ind w:left="1080"/>
        <w:jc w:val="both"/>
        <w:rPr>
          <w:rFonts w:ascii="Times New Roman" w:hAnsi="Times New Roman" w:cs="Times New Roman"/>
          <w:i/>
          <w:noProof/>
          <w:sz w:val="24"/>
        </w:rPr>
      </w:pPr>
      <w:r>
        <w:rPr>
          <w:rFonts w:ascii="Times New Roman" w:hAnsi="Times New Roman"/>
          <w:i/>
          <w:noProof/>
          <w:sz w:val="24"/>
        </w:rPr>
        <w:t>Kodumajapidamiste taastuvenergial põhinevad veeküttesüsteemid</w:t>
      </w:r>
    </w:p>
    <w:p w14:paraId="272DDB6E" w14:textId="282CCEE8" w:rsidR="00A90382" w:rsidRPr="00E02B5D" w:rsidRDefault="00A90382" w:rsidP="00D16F13">
      <w:pPr>
        <w:spacing w:before="120" w:after="120" w:line="240" w:lineRule="auto"/>
        <w:ind w:left="720"/>
        <w:jc w:val="both"/>
        <w:rPr>
          <w:rFonts w:ascii="Times New Roman" w:hAnsi="Times New Roman" w:cs="Times New Roman"/>
          <w:noProof/>
          <w:sz w:val="24"/>
        </w:rPr>
      </w:pPr>
      <w:r>
        <w:rPr>
          <w:rFonts w:ascii="Times New Roman" w:hAnsi="Times New Roman"/>
          <w:noProof/>
          <w:sz w:val="24"/>
        </w:rPr>
        <w:t>Kreeka kannab 15 428 miljonit eurot laenurahastu jaoks üle rahvusvahelistele finantsasutustele ja kommertspankadele. Investeeringuga antakse kodumajapidamistele rahalist abi järgmistel eesmärkidel:  uute päikese-veesoojendite, soojuspumpade ja taastuvenergiasüsteemide paigaldamine, kasutades uut kaasaegset tehnoloogiat, või energiat tarbivate elektrikütteseadmete asendamine vana tehnoloogia abil uute päikese-veesoojendite, soojuspumpade ja taastuvenergiasüsteemidega, kasutades uut kaasaegset tehnoloogiat. Vanad asendatavad seadmed võetakse ringlusse kooskõlas ELi ja riiklike õigusaktidega.</w:t>
      </w:r>
    </w:p>
    <w:p w14:paraId="2547CC86" w14:textId="77777777" w:rsidR="00A90382" w:rsidRPr="00E02B5D" w:rsidRDefault="00A90382" w:rsidP="00DE1EE5">
      <w:pPr>
        <w:pStyle w:val="ListParagraph"/>
        <w:numPr>
          <w:ilvl w:val="0"/>
          <w:numId w:val="71"/>
        </w:numPr>
        <w:spacing w:before="120" w:after="120" w:line="240" w:lineRule="auto"/>
        <w:ind w:left="1080"/>
        <w:jc w:val="both"/>
        <w:rPr>
          <w:rFonts w:ascii="Times New Roman" w:hAnsi="Times New Roman" w:cs="Times New Roman"/>
          <w:i/>
          <w:noProof/>
          <w:sz w:val="24"/>
        </w:rPr>
      </w:pPr>
      <w:r>
        <w:rPr>
          <w:rFonts w:ascii="Times New Roman" w:hAnsi="Times New Roman"/>
          <w:i/>
          <w:noProof/>
          <w:sz w:val="24"/>
        </w:rPr>
        <w:t>Energiatõhususe edendamine munitsipaalvee- ja kanalisatsiooniettevõtetes</w:t>
      </w:r>
    </w:p>
    <w:p w14:paraId="4E7E080C" w14:textId="77777777" w:rsidR="00A90382" w:rsidRPr="00E02B5D" w:rsidRDefault="00A90382" w:rsidP="00D16F13">
      <w:pPr>
        <w:spacing w:before="120" w:after="120" w:line="240" w:lineRule="auto"/>
        <w:ind w:left="720"/>
        <w:jc w:val="both"/>
        <w:rPr>
          <w:rFonts w:ascii="Times New Roman" w:hAnsi="Times New Roman" w:cs="Times New Roman"/>
          <w:noProof/>
          <w:sz w:val="24"/>
        </w:rPr>
      </w:pPr>
      <w:r>
        <w:rPr>
          <w:rFonts w:ascii="Times New Roman" w:hAnsi="Times New Roman"/>
          <w:noProof/>
          <w:sz w:val="24"/>
        </w:rPr>
        <w:t>Selle investeeringuga toetatakse munitsipaalvee- ja kanalisatsiooniettevõtjate energiatõhususe parandamist järgmiste meetmete kaudu: i) vähendada pumbajaamade ja pumbamootorite energiatarbimist; ning ii) viima läbi uuringuid nende ettevõtete energiatõhususe edasiseks parandamiseks võetavate meetmete optimaalseks rakendamiseks.</w:t>
      </w:r>
    </w:p>
    <w:p w14:paraId="54078641" w14:textId="77777777" w:rsidR="00485782" w:rsidRPr="00485782" w:rsidRDefault="00485782" w:rsidP="00DE1EE5">
      <w:pPr>
        <w:pStyle w:val="ListParagraph"/>
        <w:numPr>
          <w:ilvl w:val="0"/>
          <w:numId w:val="71"/>
        </w:numPr>
        <w:spacing w:before="120" w:after="120" w:line="240" w:lineRule="auto"/>
        <w:ind w:left="1080"/>
        <w:jc w:val="both"/>
        <w:rPr>
          <w:noProof/>
        </w:rPr>
      </w:pPr>
      <w:r>
        <w:rPr>
          <w:rFonts w:ascii="Times New Roman" w:hAnsi="Times New Roman"/>
          <w:i/>
          <w:noProof/>
          <w:sz w:val="24"/>
        </w:rPr>
        <w:t>Akusalvestussüsteemid ettevõtetele</w:t>
      </w:r>
    </w:p>
    <w:p w14:paraId="3FB659E8" w14:textId="5A0A4FA1" w:rsidR="00A90382" w:rsidRPr="00E02B5D" w:rsidRDefault="00485782" w:rsidP="00D16F13">
      <w:pPr>
        <w:spacing w:before="120" w:after="120" w:line="240" w:lineRule="auto"/>
        <w:jc w:val="both"/>
        <w:rPr>
          <w:rFonts w:ascii="Times New Roman" w:hAnsi="Times New Roman" w:cs="Times New Roman"/>
          <w:noProof/>
          <w:sz w:val="24"/>
        </w:rPr>
      </w:pPr>
      <w:r>
        <w:rPr>
          <w:rFonts w:ascii="Times New Roman" w:hAnsi="Times New Roman"/>
          <w:noProof/>
          <w:sz w:val="24"/>
        </w:rPr>
        <w:t>Selle investeeringuga toetatakse selliste akusalvestussüsteemide paigaldamist, mis on ettevõtjate jaoks ühendatud taastuvate energiaallikate jaamadega. Investeeringu rakendamine viiakse lõpule 31. detsembriks 2025.</w:t>
      </w:r>
    </w:p>
    <w:p w14:paraId="51A40181" w14:textId="77777777" w:rsidR="00A90382" w:rsidRPr="00AD4052" w:rsidRDefault="00A90382" w:rsidP="00D16F13">
      <w:pPr>
        <w:spacing w:before="120" w:after="120" w:line="240" w:lineRule="auto"/>
        <w:jc w:val="both"/>
        <w:rPr>
          <w:rFonts w:ascii="Times New Roman" w:hAnsi="Times New Roman" w:cs="Times New Roman"/>
          <w:noProof/>
          <w:sz w:val="24"/>
        </w:rPr>
      </w:pPr>
    </w:p>
    <w:p w14:paraId="1BDAA51B"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Investeering</w:t>
      </w:r>
      <w:r>
        <w:rPr>
          <w:rFonts w:ascii="Times New Roman" w:hAnsi="Times New Roman"/>
          <w:noProof/>
          <w:sz w:val="24"/>
        </w:rPr>
        <w:t>: Biometaani ja taastuvallikatest toodetud vesiniku katseprojektid (meetme ID: 16995)</w:t>
      </w:r>
    </w:p>
    <w:p w14:paraId="2DFCBE39"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Selle investeeringu eesmärk on edendada Kreekas kestlikku biometaani ja taastuvallikatest toodetud vesinikku ettevõtjatele rahalise toetuse andmise kaudu. </w:t>
      </w:r>
    </w:p>
    <w:p w14:paraId="541A5A23"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Biometaani puhul toetatakse investeeringuga kas uute biogaasitootmisjaamade ehitamist ja/või olemasolevate biogaasitehaste ümberkujundamist säästva biometaani tootmiseks ning toodetud säästva biometaani veeldamist, kokkusurumist ja ladustamist. </w:t>
      </w:r>
    </w:p>
    <w:p w14:paraId="1200CADB"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Taastuvallikatest toodetud vesiniku tootmise puhul toetatakse investeeringuga taastuvallikatest toodetud vesiniku tootmiseks vajalike seadmete paigaldamist, näiteks elektrolüüsiseadmete paigaldamist, mõõte- ja seireseadmete paigaldamist ning ajutist ladustamist või taastuvenergiajaamade paigaldamist koos vesinikutootmisrajatistega, mis on ette nähtud ja asuvad samas piirkonnas. </w:t>
      </w:r>
    </w:p>
    <w:p w14:paraId="4372FABE"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Taastuvallikatest toodetud vesiniku tootmiseks kasutatakse ainult elektrolüüsi. Säästva biometaani tootmiseks kasutatakse muid tehnoloogiaid: a) termokeemilised ja hüdrotermilised protsessid (üksnes säästva biometaani tootmiseks); b) bioloogilised protsessid (biofotolüüs ja kääritamine); c) biogaasi rikastamist biomassimaterjalide anaeroobse kääritamise teel kasutatakse üksnes säästva biometaani tootmiseks (biogaasi tootmist võiks toetada, kui see hõlmab ka biogaasi ajakohastamist säästvaks biometaaniks); ning d) metaan tuleb toota ainult biojäätmetest. Biometaani tootmist edendatakse muu hulgas olmejäätmete orgaanilise komponendi, reoveepuhasti reoveesetete ning põllumajandus- ja tööstusheitvee (välja arvatud plastijäätmed) energiakasutuse kaudu. Selle investeeringu osana ei nähta ette ringlussevõetud süsinikupõhiste kütuste tootmist. </w:t>
      </w:r>
    </w:p>
    <w:p w14:paraId="2D0A13EE" w14:textId="77777777" w:rsidR="00A90382" w:rsidRPr="00E02B5D" w:rsidRDefault="00A90382" w:rsidP="00D16F13">
      <w:pPr>
        <w:spacing w:before="120" w:after="120" w:line="240" w:lineRule="auto"/>
        <w:jc w:val="both"/>
        <w:rPr>
          <w:rFonts w:ascii="Times New Roman" w:hAnsi="Times New Roman" w:cs="Times New Roman"/>
          <w:noProof/>
          <w:sz w:val="24"/>
          <w:szCs w:val="24"/>
        </w:rPr>
      </w:pPr>
      <w:r>
        <w:rPr>
          <w:rFonts w:ascii="Times New Roman" w:hAnsi="Times New Roman"/>
          <w:noProof/>
          <w:sz w:val="24"/>
        </w:rPr>
        <w:t>Taastuvallikatest toodetud vesiniku ja kestliku biometaani tootmine peab olema kooskõlas taastuvenergia direktiivi ja selle delegeeritud õigusaktidega (2018/2001/EL).</w:t>
      </w:r>
    </w:p>
    <w:p w14:paraId="76AB612E" w14:textId="77777777" w:rsidR="00A90382" w:rsidRPr="00E02B5D" w:rsidRDefault="00A90382" w:rsidP="00D16F13">
      <w:pPr>
        <w:spacing w:before="120" w:after="120" w:line="240" w:lineRule="auto"/>
        <w:rPr>
          <w:rFonts w:ascii="Times New Roman" w:hAnsi="Times New Roman" w:cs="Times New Roman"/>
          <w:noProof/>
          <w:sz w:val="24"/>
          <w:szCs w:val="24"/>
        </w:rPr>
      </w:pPr>
      <w:r>
        <w:rPr>
          <w:rFonts w:ascii="Times New Roman" w:hAnsi="Times New Roman"/>
          <w:noProof/>
          <w:sz w:val="24"/>
        </w:rPr>
        <w:t>Investeeringu rakendamine viiakse lõpule 31. detsembriks 2025.</w:t>
      </w:r>
    </w:p>
    <w:p w14:paraId="27BC2C1B" w14:textId="77777777" w:rsidR="00A90382" w:rsidRPr="00AD4052" w:rsidRDefault="00A90382" w:rsidP="00D16F13">
      <w:pPr>
        <w:rPr>
          <w:rFonts w:ascii="Times New Roman" w:hAnsi="Times New Roman" w:cs="Times New Roman"/>
          <w:noProof/>
          <w:sz w:val="24"/>
        </w:rPr>
      </w:pPr>
    </w:p>
    <w:p w14:paraId="78F4CE2A" w14:textId="77777777" w:rsidR="00A90382" w:rsidRPr="00E02B5D" w:rsidRDefault="00A90382" w:rsidP="00D16F13">
      <w:pPr>
        <w:spacing w:before="120" w:after="120" w:line="240" w:lineRule="auto"/>
        <w:rPr>
          <w:rFonts w:ascii="Times New Roman" w:hAnsi="Times New Roman" w:cs="Times New Roman"/>
          <w:b/>
          <w:bCs/>
          <w:noProof/>
          <w:sz w:val="24"/>
          <w:szCs w:val="24"/>
        </w:rPr>
      </w:pPr>
      <w:r>
        <w:rPr>
          <w:rFonts w:ascii="Times New Roman" w:hAnsi="Times New Roman"/>
          <w:b/>
          <w:noProof/>
          <w:sz w:val="24"/>
        </w:rPr>
        <w:t xml:space="preserve">Investeering: </w:t>
      </w:r>
      <w:r>
        <w:rPr>
          <w:rFonts w:ascii="Times New Roman" w:hAnsi="Times New Roman"/>
          <w:noProof/>
          <w:sz w:val="24"/>
        </w:rPr>
        <w:t>Süsinikdioksiidi kogumise ja säilitamise tehnoloogiate edendamine tööstuse CO</w:t>
      </w:r>
      <w:r>
        <w:rPr>
          <w:rFonts w:ascii="Times New Roman" w:hAnsi="Times New Roman"/>
          <w:noProof/>
          <w:sz w:val="24"/>
          <w:vertAlign w:val="subscript"/>
        </w:rPr>
        <w:t>2</w:t>
      </w:r>
      <w:r>
        <w:rPr>
          <w:rFonts w:ascii="Times New Roman" w:hAnsi="Times New Roman"/>
          <w:noProof/>
          <w:sz w:val="24"/>
        </w:rPr>
        <w:t xml:space="preserve"> heite vähendamiseks (meetme ID: 16997)</w:t>
      </w:r>
    </w:p>
    <w:p w14:paraId="62961099" w14:textId="77777777" w:rsidR="00A90382" w:rsidRPr="00E02B5D" w:rsidRDefault="00A90382" w:rsidP="00B06495">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Selle investeeringu eesmärk on edendada süsinikdioksiidi kogumise, kasutamise ja säilitamise tehnoloogiate paigaldamist kogu süsinikdioksiidi kogumise ja säilitamise väärtusahelas. Täpsemalt hõlmavad investeeringud CO2 transpordisegmenti. </w:t>
      </w:r>
    </w:p>
    <w:p w14:paraId="3207BACA" w14:textId="77777777" w:rsidR="00A90382" w:rsidRPr="00E02B5D" w:rsidRDefault="00A90382" w:rsidP="00B06495">
      <w:pPr>
        <w:spacing w:before="120" w:after="120" w:line="240" w:lineRule="auto"/>
        <w:jc w:val="both"/>
        <w:rPr>
          <w:rFonts w:ascii="Times New Roman" w:hAnsi="Times New Roman" w:cs="Times New Roman"/>
          <w:noProof/>
          <w:sz w:val="24"/>
          <w:szCs w:val="24"/>
        </w:rPr>
      </w:pPr>
      <w:r>
        <w:rPr>
          <w:rFonts w:ascii="Times New Roman" w:hAnsi="Times New Roman"/>
          <w:noProof/>
          <w:sz w:val="24"/>
        </w:rPr>
        <w:t>Mis puudutab transpordikomponenti, siis hõlmab see Atika piirkonnas asuvat torujuhet, mis ühendab kaht tsemenditööstust veeldamisterminaliga, mida ei käsitata kava „REPowerEU“ raames käesoleva meetme osana ning mida võiks arendada Revythousas või mõnes muus uues asukohas, nagu seda näitavad tehnilised uuringud. Torujuhe ja veeldamisterminal moodustavad osa Prinose säilitamispiirkonna väärtusahelast, kuna veeldatud CO</w:t>
      </w:r>
      <w:r>
        <w:rPr>
          <w:rFonts w:ascii="Times New Roman" w:hAnsi="Times New Roman"/>
          <w:noProof/>
          <w:sz w:val="24"/>
          <w:vertAlign w:val="subscript"/>
        </w:rPr>
        <w:t>2</w:t>
      </w:r>
      <w:r>
        <w:rPr>
          <w:rFonts w:ascii="Times New Roman" w:hAnsi="Times New Roman"/>
          <w:noProof/>
          <w:sz w:val="24"/>
        </w:rPr>
        <w:t xml:space="preserve"> heitkogused transporditakse laevaga Prinose säilitamisalale. Uue veeldamisüksuse ja Revythousa veeldatud maagaasi terminali vahel puudub talitluslik koosmõju selles mõttes, et maagaasi veeldusjaam ei saa mingil juhul kasu veeldusjaama käitamisest. Lisaks on olemas selge regulatiivne ja raamatupidamislik eraldamine.</w:t>
      </w:r>
    </w:p>
    <w:p w14:paraId="6D959EDD" w14:textId="77777777" w:rsidR="00A90382" w:rsidRPr="00E02B5D" w:rsidRDefault="00A90382" w:rsidP="00B06495">
      <w:pPr>
        <w:spacing w:before="120" w:after="120" w:line="240" w:lineRule="auto"/>
        <w:jc w:val="both"/>
        <w:rPr>
          <w:rFonts w:ascii="Times New Roman" w:hAnsi="Times New Roman" w:cs="Times New Roman"/>
          <w:noProof/>
          <w:sz w:val="24"/>
          <w:szCs w:val="24"/>
        </w:rPr>
      </w:pPr>
      <w:r>
        <w:rPr>
          <w:rFonts w:ascii="Times New Roman" w:hAnsi="Times New Roman"/>
          <w:noProof/>
          <w:sz w:val="24"/>
        </w:rPr>
        <w:t>Taristuinvesteeringutega kaasneb kliimariski ja haavatavuse hindamine seoses meetme kliimamuutustega kohanemisega. See hindamine võib olla osa keskkonnamõju hindamisest. Lisaks nõutakse meetmega, et ehitust teostavad ettevõtjad tagaksid, et vähemalt 70 % (massist) ehitusplatsil tekkinud mitteohtlikest ehitus- ja lammutusjäätmetest (välja arvatud komisjoni otsusega 2000/532/EÜ kehtestatud Euroopa jäätmenimistu kategoorias 17 05 04 määratletud looduslikud materjalid) valmistatakse ette korduskasutamiseks, ringlussevõtuks ja muuks materjali taaskasutamiseks, sealhulgas täitetoiminguteks, kasutades jäätmeid muude materjalide asendamiseks, vastavalt jäätmehierarhiale ning ELi ehitus- ja lammutusjäätmete käitlemise protokollile. Käitajad piiravad ehitamise ajal jäätmeteket kooskõlas ELi ehitus- ja lammutusjäätmete käitlemise protokolliga, võttes arvesse parimat võimalikku tehnikat, ning hõlbustavad korduskasutamist ja kvaliteetset ringlussevõttu materjalide selektiivse eemaldamise teel, kasutades olemasolevaid ehitusjäätmete sortimissüsteeme. Ehitusplatsi mõju vältimiseks tehakse kindlaks ja käsitletakse vee kvaliteedi säilitamise ja veestressi vältimisega seotud keskkonnaseisundi halvenemise riske kooskõlas veekasutuse ja -kaitse majandamiskavaga. Veekasutus- ja kaitsekorralduskava võib olla osa projekti keskkonnamõju hindamisest. Bioloogilise mitmekesisuse eesmärgi kahjustamise vältimiseks tuleb järgida ELi õigusakte. See tähendab konkreetselt keskkonnamõju hindamise direktiivi ning bioloogilise mitmekesisuse seisukohast tundlikel aladel või nende läheduses asuvate alade/tegevuste puhul elupaikade direktiivi artikli 6 lõiget 3 ja artiklit 12 ning linnudirektiivi artiklit 5. </w:t>
      </w:r>
    </w:p>
    <w:p w14:paraId="1FFC6911" w14:textId="77777777" w:rsidR="00A90382" w:rsidRPr="00E02B5D" w:rsidRDefault="00A90382" w:rsidP="00B06495">
      <w:pPr>
        <w:spacing w:before="120" w:after="120" w:line="240" w:lineRule="auto"/>
        <w:jc w:val="both"/>
        <w:rPr>
          <w:rFonts w:ascii="Times New Roman" w:hAnsi="Times New Roman" w:cs="Times New Roman"/>
          <w:noProof/>
          <w:sz w:val="24"/>
          <w:szCs w:val="24"/>
        </w:rPr>
      </w:pPr>
      <w:r>
        <w:rPr>
          <w:rFonts w:ascii="Times New Roman" w:hAnsi="Times New Roman"/>
          <w:noProof/>
          <w:sz w:val="24"/>
        </w:rPr>
        <w:t>Rajatis, mis kogub CO2, millega taristu on ühendatud, peab vastama allpool sätestatud HKSi võrdlusaluse tingimusele ja kogutud CO2 pärineb vältimatutest heitkogustest (nt protsessiheide, näiteks tsemendi puhul). Torujuhe käivitatakse 2026. aastaks ja tööd viiakse lõpule 2025. aasta lõpuks ja sellega transporditakse HKSi käitistest pärit CO2 vooge, mis vastavad järgmistele tingimustele:</w:t>
      </w:r>
    </w:p>
    <w:p w14:paraId="6FDDDCDB" w14:textId="77777777" w:rsidR="00E66C49" w:rsidRDefault="00E66C49">
      <w:pPr>
        <w:rPr>
          <w:rFonts w:ascii="Times New Roman" w:hAnsi="Times New Roman"/>
          <w:noProof/>
          <w:sz w:val="24"/>
          <w:szCs w:val="24"/>
        </w:rPr>
      </w:pPr>
      <w:r>
        <w:rPr>
          <w:noProof/>
        </w:rPr>
        <w:br w:type="page"/>
      </w:r>
    </w:p>
    <w:p w14:paraId="3157707E" w14:textId="6AB654BE" w:rsidR="00A90382" w:rsidRPr="00E02B5D" w:rsidRDefault="28E90C37" w:rsidP="00B06495">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Et meede oleks kindlasti kooskõlas põhimõtte „Ei kahjusta oluliselt“ tehniliste suunistega (2021/C58/01), välistatakse konkursitingimustes sisalduvate rahastamiskõlblikkuse kriteeriumidega järgmiste tegevuste rahastamine: </w:t>
      </w:r>
      <w:r>
        <w:rPr>
          <w:noProof/>
        </w:rPr>
        <w:t>i) fossiilkütustega seotud tegevus, sealhulgas allkasutus tootmisahela järgmistes etappides</w:t>
      </w:r>
      <w:r w:rsidR="00A90382" w:rsidRPr="008AECE0">
        <w:rPr>
          <w:noProof/>
          <w:lang w:val="en-GB"/>
        </w:rPr>
        <w:footnoteReference w:id="47"/>
      </w:r>
      <w:r>
        <w:rPr>
          <w:noProof/>
        </w:rPr>
        <w:t>;</w:t>
      </w:r>
      <w:r>
        <w:rPr>
          <w:rFonts w:ascii="Times New Roman" w:hAnsi="Times New Roman"/>
          <w:noProof/>
          <w:sz w:val="24"/>
        </w:rPr>
        <w:t xml:space="preserve"> </w:t>
      </w:r>
      <w:r>
        <w:rPr>
          <w:noProof/>
        </w:rPr>
        <w:t>ii) ELi heitkogustega kauplemise süsteemi (HKS) raames toimuv tegevus, mille prognoositav kasvuhoonegaaside heide ei ole asjaomastest võrdlusalustest</w:t>
      </w:r>
      <w:r w:rsidR="00A90382" w:rsidRPr="008AECE0">
        <w:rPr>
          <w:noProof/>
          <w:lang w:val="en-GB"/>
        </w:rPr>
        <w:footnoteReference w:id="48"/>
      </w:r>
      <w:r>
        <w:rPr>
          <w:noProof/>
        </w:rPr>
        <w:t xml:space="preserve"> madalam;</w:t>
      </w:r>
      <w:r>
        <w:rPr>
          <w:rFonts w:ascii="Times New Roman" w:hAnsi="Times New Roman"/>
          <w:noProof/>
          <w:sz w:val="24"/>
        </w:rPr>
        <w:t xml:space="preserve"> iii) prügilate, jäätmepõletustehaste</w:t>
      </w:r>
      <w:r w:rsidR="00A90382" w:rsidRPr="008AECE0">
        <w:rPr>
          <w:noProof/>
          <w:lang w:val="en-GB"/>
        </w:rPr>
        <w:footnoteReference w:id="49"/>
      </w:r>
      <w:r>
        <w:rPr>
          <w:rFonts w:ascii="Times New Roman" w:hAnsi="Times New Roman"/>
          <w:noProof/>
          <w:sz w:val="24"/>
        </w:rPr>
        <w:t xml:space="preserve"> ja mehhaanilis-bioloogilise töötlemise jaamadega</w:t>
      </w:r>
      <w:r w:rsidR="00A90382" w:rsidRPr="008AECE0">
        <w:rPr>
          <w:noProof/>
          <w:lang w:val="en-GB"/>
        </w:rPr>
        <w:footnoteReference w:id="50"/>
      </w:r>
      <w:r>
        <w:rPr>
          <w:rFonts w:ascii="Times New Roman" w:hAnsi="Times New Roman"/>
          <w:noProof/>
          <w:sz w:val="24"/>
        </w:rPr>
        <w:t xml:space="preserve"> seotud tegevus; iv) tegevused, mille puhul jäätmete pikaajaline kõrvaldamine võib kahjustada keskkonda. Peale selle peab konkursitingimustes olema sätestatud, et valida võib ainult tegevusi, mis vastavad asjakohastele ELi ja riiklikele keskkonnaalastele õigusaktidele. </w:t>
      </w:r>
    </w:p>
    <w:p w14:paraId="3C402F1D" w14:textId="77777777" w:rsidR="00A90382" w:rsidRPr="00E02B5D" w:rsidRDefault="00A90382" w:rsidP="00D16F13">
      <w:pPr>
        <w:rPr>
          <w:rFonts w:ascii="Times New Roman" w:hAnsi="Times New Roman" w:cs="Times New Roman"/>
          <w:noProof/>
          <w:sz w:val="24"/>
        </w:rPr>
      </w:pPr>
      <w:r>
        <w:rPr>
          <w:rFonts w:ascii="Times New Roman" w:hAnsi="Times New Roman"/>
          <w:noProof/>
          <w:sz w:val="24"/>
        </w:rPr>
        <w:t>Investeeringu rakendamine viiakse lõpule 31. detsembriks 2025.</w:t>
      </w:r>
    </w:p>
    <w:p w14:paraId="0890D427" w14:textId="77777777" w:rsidR="00A7409F" w:rsidRPr="00AD4052" w:rsidRDefault="00A7409F" w:rsidP="00D16F13">
      <w:pPr>
        <w:rPr>
          <w:rFonts w:ascii="Cambria" w:eastAsia="Times New Roman" w:hAnsi="Cambria"/>
          <w:noProof/>
          <w:color w:val="365F91" w:themeColor="accent1" w:themeShade="BF"/>
          <w:sz w:val="24"/>
          <w:szCs w:val="24"/>
        </w:rPr>
        <w:sectPr w:rsidR="00A7409F" w:rsidRPr="00AD4052" w:rsidSect="00271D33">
          <w:headerReference w:type="even" r:id="rId428"/>
          <w:headerReference w:type="default" r:id="rId429"/>
          <w:footerReference w:type="even" r:id="rId430"/>
          <w:footerReference w:type="default" r:id="rId431"/>
          <w:headerReference w:type="first" r:id="rId432"/>
          <w:footerReference w:type="first" r:id="rId433"/>
          <w:pgSz w:w="11907" w:h="16839"/>
          <w:pgMar w:top="1134" w:right="1134" w:bottom="1134" w:left="1134" w:header="567" w:footer="181" w:gutter="0"/>
          <w:cols w:space="720"/>
          <w:docGrid w:linePitch="360"/>
        </w:sectPr>
      </w:pPr>
    </w:p>
    <w:p w14:paraId="3727994F" w14:textId="77777777" w:rsidR="00A90382" w:rsidRPr="00E02B5D" w:rsidRDefault="00A90382" w:rsidP="00D16F13">
      <w:pPr>
        <w:keepNext/>
        <w:keepLines/>
        <w:spacing w:before="40" w:after="0" w:line="240" w:lineRule="auto"/>
        <w:jc w:val="both"/>
        <w:outlineLvl w:val="4"/>
        <w:rPr>
          <w:rFonts w:ascii="Cambria" w:eastAsia="Times New Roman" w:hAnsi="Cambria"/>
          <w:noProof/>
          <w:color w:val="365F91"/>
          <w:sz w:val="24"/>
          <w:szCs w:val="24"/>
        </w:rPr>
      </w:pPr>
      <w:r>
        <w:rPr>
          <w:rFonts w:ascii="Times New Roman" w:hAnsi="Times New Roman"/>
          <w:b/>
          <w:noProof/>
          <w:sz w:val="24"/>
          <w:u w:val="single"/>
        </w:rPr>
        <w:t xml:space="preserve">U.2. </w:t>
      </w:r>
      <w:r>
        <w:rPr>
          <w:noProof/>
        </w:rPr>
        <w:tab/>
      </w:r>
      <w:r>
        <w:rPr>
          <w:rFonts w:ascii="Times New Roman" w:hAnsi="Times New Roman"/>
          <w:b/>
          <w:noProof/>
          <w:sz w:val="24"/>
          <w:u w:val="single"/>
        </w:rPr>
        <w:t>Tagastamatu rahalise toetuse eesmärgid, sihid, näitajad ning seire ja rakendamise ajakava</w:t>
      </w:r>
      <w:r>
        <w:rPr>
          <w:rFonts w:ascii="Cambria" w:hAnsi="Cambria"/>
          <w:noProof/>
          <w:color w:val="365F91" w:themeColor="accent1" w:themeShade="BF"/>
          <w:sz w:val="24"/>
        </w:rPr>
        <w:t xml:space="preserve"> </w:t>
      </w:r>
    </w:p>
    <w:p w14:paraId="05314DEF" w14:textId="77777777" w:rsidR="00A90382" w:rsidRPr="00E02B5D" w:rsidRDefault="00A90382" w:rsidP="00D16F13">
      <w:pPr>
        <w:keepNext/>
        <w:keepLines/>
        <w:spacing w:before="240" w:after="0" w:line="240" w:lineRule="auto"/>
        <w:jc w:val="both"/>
        <w:outlineLvl w:val="4"/>
        <w:rPr>
          <w:rFonts w:ascii="Cambria" w:eastAsia="Times New Roman" w:hAnsi="Cambria"/>
          <w:noProof/>
          <w:color w:val="365F91"/>
          <w:sz w:val="24"/>
        </w:rPr>
      </w:pPr>
      <w:r>
        <w:rPr>
          <w:rFonts w:ascii="Cambria" w:hAnsi="Cambria"/>
          <w:noProof/>
          <w:color w:val="365F91"/>
          <w:sz w:val="24"/>
        </w:rPr>
        <w:t>Investeering 1: Energiasalvestuse paigaldamine taastuvate energiaallikate täiendavaks läbivooluks (meetme ID: 16996)</w:t>
      </w:r>
    </w:p>
    <w:p w14:paraId="4F878252" w14:textId="77777777" w:rsidR="00A90382" w:rsidRPr="00E02B5D" w:rsidRDefault="00A90382">
      <w:pPr>
        <w:rPr>
          <w:noProof/>
          <w:lang w:val="en-GB"/>
        </w:rPr>
      </w:pPr>
    </w:p>
    <w:tbl>
      <w:tblPr>
        <w:tblpPr w:leftFromText="181" w:rightFromText="181" w:vertAnchor="text" w:tblpY="1"/>
        <w:tblOverlap w:val="never"/>
        <w:tblW w:w="14029" w:type="dxa"/>
        <w:tblLayout w:type="fixed"/>
        <w:tblLook w:val="04A0" w:firstRow="1" w:lastRow="0" w:firstColumn="1" w:lastColumn="0" w:noHBand="0" w:noVBand="1"/>
      </w:tblPr>
      <w:tblGrid>
        <w:gridCol w:w="1075"/>
        <w:gridCol w:w="1956"/>
        <w:gridCol w:w="1005"/>
        <w:gridCol w:w="1076"/>
        <w:gridCol w:w="1646"/>
        <w:gridCol w:w="1022"/>
        <w:gridCol w:w="1022"/>
        <w:gridCol w:w="638"/>
        <w:gridCol w:w="1060"/>
        <w:gridCol w:w="877"/>
        <w:gridCol w:w="2652"/>
      </w:tblGrid>
      <w:tr w:rsidR="00C35E51" w:rsidRPr="003B132A" w14:paraId="66836DDD" w14:textId="77777777" w:rsidTr="00C35E51">
        <w:trPr>
          <w:trHeight w:val="1125"/>
          <w:tblHeader/>
        </w:trPr>
        <w:tc>
          <w:tcPr>
            <w:tcW w:w="10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9F5BFB" w14:textId="77777777" w:rsidR="00C35E51" w:rsidRPr="00E02B5D" w:rsidRDefault="00C35E51" w:rsidP="009D5ED9">
            <w:pPr>
              <w:spacing w:before="120" w:after="120" w:line="240" w:lineRule="auto"/>
              <w:jc w:val="center"/>
              <w:rPr>
                <w:rFonts w:ascii="Times New Roman" w:hAnsi="Times New Roman" w:cs="Times New Roman"/>
                <w:noProof/>
                <w:sz w:val="24"/>
              </w:rPr>
            </w:pPr>
            <w:r>
              <w:rPr>
                <w:rFonts w:ascii="Times New Roman" w:hAnsi="Times New Roman"/>
                <w:b/>
                <w:noProof/>
                <w:sz w:val="18"/>
              </w:rPr>
              <w:t>Järjekorranumber</w:t>
            </w:r>
          </w:p>
        </w:tc>
        <w:tc>
          <w:tcPr>
            <w:tcW w:w="1993" w:type="dxa"/>
            <w:vMerge w:val="restart"/>
            <w:tcBorders>
              <w:top w:val="single" w:sz="4" w:space="0" w:color="auto"/>
              <w:left w:val="single" w:sz="4" w:space="0" w:color="auto"/>
              <w:right w:val="single" w:sz="4" w:space="0" w:color="auto"/>
            </w:tcBorders>
            <w:shd w:val="clear" w:color="auto" w:fill="BDD7EE"/>
            <w:vAlign w:val="center"/>
            <w:hideMark/>
          </w:tcPr>
          <w:p w14:paraId="28987E02" w14:textId="77777777" w:rsidR="00C35E51" w:rsidRPr="00E02B5D" w:rsidRDefault="00C35E51" w:rsidP="009D5ED9">
            <w:pPr>
              <w:spacing w:before="120" w:after="120" w:line="240" w:lineRule="auto"/>
              <w:jc w:val="center"/>
              <w:rPr>
                <w:rFonts w:ascii="Times New Roman" w:hAnsi="Times New Roman" w:cs="Times New Roman"/>
                <w:noProof/>
                <w:sz w:val="24"/>
              </w:rPr>
            </w:pPr>
            <w:r>
              <w:rPr>
                <w:rFonts w:ascii="Times New Roman" w:hAnsi="Times New Roman"/>
                <w:b/>
                <w:noProof/>
                <w:sz w:val="18"/>
              </w:rPr>
              <w:t>Seotud meede (reform või investeering)</w:t>
            </w:r>
          </w:p>
        </w:tc>
        <w:tc>
          <w:tcPr>
            <w:tcW w:w="1021" w:type="dxa"/>
            <w:vMerge w:val="restart"/>
            <w:tcBorders>
              <w:top w:val="single" w:sz="4" w:space="0" w:color="auto"/>
              <w:left w:val="single" w:sz="4" w:space="0" w:color="auto"/>
              <w:right w:val="single" w:sz="4" w:space="0" w:color="auto"/>
            </w:tcBorders>
            <w:shd w:val="clear" w:color="auto" w:fill="BDD7EE"/>
            <w:vAlign w:val="center"/>
            <w:hideMark/>
          </w:tcPr>
          <w:p w14:paraId="7D26D3B0" w14:textId="77777777" w:rsidR="00C35E51" w:rsidRPr="00E02B5D" w:rsidRDefault="00C35E51" w:rsidP="009D5ED9">
            <w:pPr>
              <w:spacing w:before="120" w:after="120" w:line="240" w:lineRule="auto"/>
              <w:jc w:val="center"/>
              <w:rPr>
                <w:rFonts w:ascii="Times New Roman" w:hAnsi="Times New Roman" w:cs="Times New Roman"/>
                <w:noProof/>
                <w:sz w:val="24"/>
              </w:rPr>
            </w:pPr>
            <w:r>
              <w:rPr>
                <w:rFonts w:ascii="Times New Roman" w:hAnsi="Times New Roman"/>
                <w:b/>
                <w:noProof/>
                <w:sz w:val="18"/>
              </w:rPr>
              <w:t>Eesmärk / siht</w:t>
            </w:r>
          </w:p>
        </w:tc>
        <w:tc>
          <w:tcPr>
            <w:tcW w:w="1093" w:type="dxa"/>
            <w:vMerge w:val="restart"/>
            <w:tcBorders>
              <w:top w:val="single" w:sz="4" w:space="0" w:color="auto"/>
              <w:left w:val="nil"/>
              <w:right w:val="single" w:sz="4" w:space="0" w:color="auto"/>
            </w:tcBorders>
            <w:shd w:val="clear" w:color="auto" w:fill="BDD7EE"/>
            <w:vAlign w:val="center"/>
            <w:hideMark/>
          </w:tcPr>
          <w:p w14:paraId="5593F348" w14:textId="77777777" w:rsidR="00C35E51" w:rsidRPr="00E02B5D" w:rsidRDefault="00C35E51" w:rsidP="009D5ED9">
            <w:pPr>
              <w:spacing w:before="120" w:after="120" w:line="240" w:lineRule="auto"/>
              <w:jc w:val="center"/>
              <w:rPr>
                <w:rFonts w:ascii="Times New Roman" w:hAnsi="Times New Roman" w:cs="Times New Roman"/>
                <w:noProof/>
                <w:sz w:val="24"/>
              </w:rPr>
            </w:pPr>
            <w:r>
              <w:rPr>
                <w:rFonts w:ascii="Times New Roman" w:hAnsi="Times New Roman"/>
                <w:b/>
                <w:noProof/>
                <w:sz w:val="18"/>
              </w:rPr>
              <w:t>Nimi</w:t>
            </w:r>
          </w:p>
        </w:tc>
        <w:tc>
          <w:tcPr>
            <w:tcW w:w="1675" w:type="dxa"/>
            <w:vMerge w:val="restart"/>
            <w:tcBorders>
              <w:top w:val="single" w:sz="4" w:space="0" w:color="auto"/>
              <w:left w:val="single" w:sz="4" w:space="0" w:color="auto"/>
              <w:right w:val="single" w:sz="4" w:space="0" w:color="auto"/>
            </w:tcBorders>
            <w:shd w:val="clear" w:color="auto" w:fill="BDD7EE"/>
            <w:vAlign w:val="center"/>
            <w:hideMark/>
          </w:tcPr>
          <w:p w14:paraId="27E9042C" w14:textId="77777777" w:rsidR="00C35E51" w:rsidRPr="00E02B5D" w:rsidRDefault="00C35E51" w:rsidP="009D5ED9">
            <w:pPr>
              <w:spacing w:before="120" w:after="120" w:line="240" w:lineRule="auto"/>
              <w:jc w:val="center"/>
              <w:rPr>
                <w:rFonts w:ascii="Times New Roman" w:hAnsi="Times New Roman" w:cs="Times New Roman"/>
                <w:noProof/>
                <w:sz w:val="24"/>
                <w:szCs w:val="24"/>
              </w:rPr>
            </w:pPr>
            <w:r>
              <w:rPr>
                <w:rFonts w:ascii="Times New Roman" w:hAnsi="Times New Roman"/>
                <w:b/>
                <w:noProof/>
                <w:sz w:val="18"/>
              </w:rPr>
              <w:t>Kvalitatiivsed näitajad (eesmärkide puhul)</w:t>
            </w:r>
          </w:p>
        </w:tc>
        <w:tc>
          <w:tcPr>
            <w:tcW w:w="2722" w:type="dxa"/>
            <w:gridSpan w:val="3"/>
            <w:tcBorders>
              <w:top w:val="single" w:sz="4" w:space="0" w:color="auto"/>
              <w:left w:val="nil"/>
              <w:bottom w:val="single" w:sz="4" w:space="0" w:color="auto"/>
              <w:right w:val="single" w:sz="4" w:space="0" w:color="auto"/>
            </w:tcBorders>
            <w:shd w:val="clear" w:color="auto" w:fill="BDD7EE"/>
            <w:vAlign w:val="center"/>
            <w:hideMark/>
          </w:tcPr>
          <w:p w14:paraId="3151DEDB" w14:textId="77777777" w:rsidR="00C35E51" w:rsidRPr="00E02B5D" w:rsidRDefault="00C35E51" w:rsidP="009D5ED9">
            <w:pPr>
              <w:spacing w:before="120" w:after="120" w:line="240" w:lineRule="auto"/>
              <w:jc w:val="center"/>
              <w:rPr>
                <w:rFonts w:ascii="Times New Roman" w:hAnsi="Times New Roman" w:cs="Times New Roman"/>
                <w:noProof/>
                <w:sz w:val="24"/>
                <w:szCs w:val="24"/>
              </w:rPr>
            </w:pPr>
            <w:r>
              <w:rPr>
                <w:rFonts w:ascii="Times New Roman" w:hAnsi="Times New Roman"/>
                <w:b/>
                <w:noProof/>
                <w:sz w:val="18"/>
              </w:rPr>
              <w:t>Kvantitatiivsed näitajad (sihtide puhul)</w:t>
            </w:r>
          </w:p>
        </w:tc>
        <w:tc>
          <w:tcPr>
            <w:tcW w:w="1779" w:type="dxa"/>
            <w:gridSpan w:val="2"/>
            <w:tcBorders>
              <w:top w:val="single" w:sz="4" w:space="0" w:color="auto"/>
              <w:left w:val="nil"/>
              <w:bottom w:val="single" w:sz="4" w:space="0" w:color="auto"/>
              <w:right w:val="single" w:sz="4" w:space="0" w:color="auto"/>
            </w:tcBorders>
            <w:shd w:val="clear" w:color="auto" w:fill="BDD7EE"/>
            <w:vAlign w:val="center"/>
            <w:hideMark/>
          </w:tcPr>
          <w:p w14:paraId="2CDF4D5A" w14:textId="77777777" w:rsidR="00C35E51" w:rsidRPr="00E02B5D" w:rsidRDefault="00C35E51" w:rsidP="009D5ED9">
            <w:pPr>
              <w:spacing w:before="120" w:after="120" w:line="240" w:lineRule="auto"/>
              <w:jc w:val="center"/>
              <w:rPr>
                <w:rFonts w:ascii="Times New Roman" w:hAnsi="Times New Roman" w:cs="Times New Roman"/>
                <w:noProof/>
                <w:sz w:val="24"/>
              </w:rPr>
            </w:pPr>
            <w:r>
              <w:rPr>
                <w:rFonts w:ascii="Times New Roman" w:hAnsi="Times New Roman"/>
                <w:b/>
                <w:noProof/>
                <w:sz w:val="18"/>
              </w:rPr>
              <w:t>Lõpuleviimise soovituslik ajakava</w:t>
            </w:r>
          </w:p>
        </w:tc>
        <w:tc>
          <w:tcPr>
            <w:tcW w:w="27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A74EB7" w14:textId="77777777" w:rsidR="00C35E51" w:rsidRPr="00E02B5D" w:rsidRDefault="00C35E51" w:rsidP="009D5ED9">
            <w:pPr>
              <w:spacing w:before="120" w:after="120" w:line="240" w:lineRule="auto"/>
              <w:jc w:val="center"/>
              <w:rPr>
                <w:rFonts w:ascii="Times New Roman" w:hAnsi="Times New Roman" w:cs="Times New Roman"/>
                <w:noProof/>
                <w:sz w:val="24"/>
              </w:rPr>
            </w:pPr>
            <w:r>
              <w:rPr>
                <w:rFonts w:ascii="Times New Roman" w:hAnsi="Times New Roman"/>
                <w:b/>
                <w:noProof/>
                <w:sz w:val="18"/>
              </w:rPr>
              <w:t>Iga eesmärgi ja sihi kirjeldus</w:t>
            </w:r>
          </w:p>
        </w:tc>
      </w:tr>
      <w:tr w:rsidR="00C35E51" w:rsidRPr="00E02B5D" w14:paraId="31918F94" w14:textId="77777777" w:rsidTr="00EF74AB">
        <w:trPr>
          <w:trHeight w:val="414"/>
          <w:tblHeader/>
        </w:trPr>
        <w:tc>
          <w:tcPr>
            <w:tcW w:w="1093" w:type="dxa"/>
            <w:vMerge/>
            <w:tcBorders>
              <w:top w:val="single" w:sz="4" w:space="0" w:color="auto"/>
              <w:left w:val="single" w:sz="4" w:space="0" w:color="auto"/>
              <w:bottom w:val="single" w:sz="4" w:space="0" w:color="auto"/>
            </w:tcBorders>
            <w:vAlign w:val="center"/>
          </w:tcPr>
          <w:p w14:paraId="5B1A97A4" w14:textId="77777777" w:rsidR="00C35E51" w:rsidRPr="00AD4052" w:rsidRDefault="00C35E51" w:rsidP="009D5ED9">
            <w:pPr>
              <w:spacing w:before="120" w:after="120" w:line="240" w:lineRule="auto"/>
              <w:jc w:val="center"/>
              <w:rPr>
                <w:rFonts w:ascii="Times New Roman" w:eastAsia="Times New Roman" w:hAnsi="Times New Roman" w:cs="Times New Roman"/>
                <w:b/>
                <w:bCs/>
                <w:noProof/>
                <w:sz w:val="18"/>
                <w:szCs w:val="18"/>
                <w:lang w:eastAsia="en-GB"/>
              </w:rPr>
            </w:pPr>
          </w:p>
        </w:tc>
        <w:tc>
          <w:tcPr>
            <w:tcW w:w="1993" w:type="dxa"/>
            <w:vMerge/>
            <w:tcBorders>
              <w:left w:val="single" w:sz="4" w:space="0" w:color="auto"/>
              <w:bottom w:val="single" w:sz="4" w:space="0" w:color="auto"/>
              <w:right w:val="single" w:sz="4" w:space="0" w:color="auto"/>
            </w:tcBorders>
            <w:shd w:val="clear" w:color="auto" w:fill="BDD7EE"/>
            <w:vAlign w:val="center"/>
          </w:tcPr>
          <w:p w14:paraId="26385F0C" w14:textId="77777777" w:rsidR="00C35E51" w:rsidRPr="00AD4052" w:rsidRDefault="00C35E51" w:rsidP="009D5ED9">
            <w:pPr>
              <w:spacing w:before="120" w:after="120" w:line="240" w:lineRule="auto"/>
              <w:jc w:val="center"/>
              <w:rPr>
                <w:rFonts w:ascii="Times New Roman" w:eastAsia="Times New Roman" w:hAnsi="Times New Roman" w:cs="Times New Roman"/>
                <w:b/>
                <w:bCs/>
                <w:noProof/>
                <w:sz w:val="18"/>
                <w:szCs w:val="18"/>
                <w:lang w:eastAsia="en-GB"/>
              </w:rPr>
            </w:pPr>
          </w:p>
        </w:tc>
        <w:tc>
          <w:tcPr>
            <w:tcW w:w="1021" w:type="dxa"/>
            <w:vMerge/>
            <w:tcBorders>
              <w:left w:val="single" w:sz="4" w:space="0" w:color="auto"/>
              <w:bottom w:val="single" w:sz="4" w:space="0" w:color="auto"/>
              <w:right w:val="single" w:sz="4" w:space="0" w:color="auto"/>
            </w:tcBorders>
            <w:shd w:val="clear" w:color="auto" w:fill="BDD7EE"/>
            <w:vAlign w:val="center"/>
          </w:tcPr>
          <w:p w14:paraId="5BA31B7C" w14:textId="77777777" w:rsidR="00C35E51" w:rsidRPr="00AD4052" w:rsidRDefault="00C35E51" w:rsidP="009D5ED9">
            <w:pPr>
              <w:spacing w:before="120" w:after="120" w:line="240" w:lineRule="auto"/>
              <w:jc w:val="center"/>
              <w:rPr>
                <w:rFonts w:ascii="Times New Roman" w:eastAsia="Times New Roman" w:hAnsi="Times New Roman" w:cs="Times New Roman"/>
                <w:b/>
                <w:bCs/>
                <w:noProof/>
                <w:sz w:val="18"/>
                <w:szCs w:val="18"/>
                <w:lang w:eastAsia="en-GB"/>
              </w:rPr>
            </w:pPr>
          </w:p>
        </w:tc>
        <w:tc>
          <w:tcPr>
            <w:tcW w:w="1093" w:type="dxa"/>
            <w:vMerge/>
            <w:tcBorders>
              <w:left w:val="nil"/>
              <w:bottom w:val="single" w:sz="4" w:space="0" w:color="auto"/>
              <w:right w:val="single" w:sz="4" w:space="0" w:color="auto"/>
            </w:tcBorders>
            <w:shd w:val="clear" w:color="auto" w:fill="BDD7EE"/>
            <w:vAlign w:val="center"/>
          </w:tcPr>
          <w:p w14:paraId="1B6252DE" w14:textId="77777777" w:rsidR="00C35E51" w:rsidRPr="00AD4052" w:rsidRDefault="00C35E51" w:rsidP="009D5ED9">
            <w:pPr>
              <w:spacing w:before="120" w:after="120" w:line="240" w:lineRule="auto"/>
              <w:jc w:val="center"/>
              <w:rPr>
                <w:rFonts w:ascii="Times New Roman" w:eastAsia="Times New Roman" w:hAnsi="Times New Roman" w:cs="Times New Roman"/>
                <w:b/>
                <w:bCs/>
                <w:noProof/>
                <w:sz w:val="18"/>
                <w:szCs w:val="18"/>
                <w:lang w:eastAsia="en-GB"/>
              </w:rPr>
            </w:pPr>
          </w:p>
        </w:tc>
        <w:tc>
          <w:tcPr>
            <w:tcW w:w="1675" w:type="dxa"/>
            <w:vMerge/>
            <w:tcBorders>
              <w:left w:val="single" w:sz="4" w:space="0" w:color="auto"/>
              <w:bottom w:val="single" w:sz="4" w:space="0" w:color="auto"/>
              <w:right w:val="single" w:sz="4" w:space="0" w:color="auto"/>
            </w:tcBorders>
            <w:shd w:val="clear" w:color="auto" w:fill="BDD7EE"/>
            <w:vAlign w:val="center"/>
          </w:tcPr>
          <w:p w14:paraId="2611DAED" w14:textId="77777777" w:rsidR="00C35E51" w:rsidRPr="00AD4052" w:rsidRDefault="00C35E51" w:rsidP="009D5ED9">
            <w:pPr>
              <w:spacing w:before="120" w:after="120" w:line="240" w:lineRule="auto"/>
              <w:jc w:val="center"/>
              <w:rPr>
                <w:rFonts w:ascii="Times New Roman" w:eastAsia="Times New Roman" w:hAnsi="Times New Roman" w:cs="Times New Roman"/>
                <w:b/>
                <w:bCs/>
                <w:noProof/>
                <w:sz w:val="18"/>
                <w:szCs w:val="18"/>
                <w:lang w:eastAsia="en-GB"/>
              </w:rPr>
            </w:pPr>
          </w:p>
        </w:tc>
        <w:tc>
          <w:tcPr>
            <w:tcW w:w="1038" w:type="dxa"/>
            <w:tcBorders>
              <w:top w:val="single" w:sz="4" w:space="0" w:color="auto"/>
              <w:left w:val="nil"/>
              <w:bottom w:val="single" w:sz="4" w:space="0" w:color="auto"/>
              <w:right w:val="single" w:sz="4" w:space="0" w:color="auto"/>
            </w:tcBorders>
            <w:shd w:val="clear" w:color="auto" w:fill="BDD7EE"/>
            <w:vAlign w:val="center"/>
          </w:tcPr>
          <w:p w14:paraId="16088C7E" w14:textId="77777777" w:rsidR="00C35E51" w:rsidRPr="00E02B5D" w:rsidRDefault="00C35E51" w:rsidP="009D5ED9">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1038" w:type="dxa"/>
            <w:tcBorders>
              <w:top w:val="single" w:sz="4" w:space="0" w:color="auto"/>
              <w:left w:val="nil"/>
              <w:bottom w:val="single" w:sz="4" w:space="0" w:color="auto"/>
              <w:right w:val="single" w:sz="4" w:space="0" w:color="auto"/>
            </w:tcBorders>
            <w:shd w:val="clear" w:color="auto" w:fill="BDD7EE"/>
            <w:vAlign w:val="center"/>
          </w:tcPr>
          <w:p w14:paraId="610281CE" w14:textId="77777777" w:rsidR="00C35E51" w:rsidRPr="00E02B5D" w:rsidRDefault="00C35E51" w:rsidP="009D5ED9">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646" w:type="dxa"/>
            <w:tcBorders>
              <w:top w:val="single" w:sz="4" w:space="0" w:color="auto"/>
              <w:left w:val="nil"/>
              <w:bottom w:val="single" w:sz="4" w:space="0" w:color="auto"/>
              <w:right w:val="single" w:sz="4" w:space="0" w:color="auto"/>
            </w:tcBorders>
            <w:shd w:val="clear" w:color="auto" w:fill="BDD7EE"/>
            <w:vAlign w:val="center"/>
          </w:tcPr>
          <w:p w14:paraId="383AB957" w14:textId="77777777" w:rsidR="00C35E51" w:rsidRPr="00E02B5D" w:rsidRDefault="00C35E51" w:rsidP="009D5ED9">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1077" w:type="dxa"/>
            <w:tcBorders>
              <w:top w:val="single" w:sz="4" w:space="0" w:color="auto"/>
              <w:left w:val="nil"/>
              <w:bottom w:val="single" w:sz="4" w:space="0" w:color="auto"/>
              <w:right w:val="single" w:sz="4" w:space="0" w:color="auto"/>
            </w:tcBorders>
            <w:shd w:val="clear" w:color="auto" w:fill="BDD7EE"/>
            <w:vAlign w:val="center"/>
          </w:tcPr>
          <w:p w14:paraId="3FE521F6" w14:textId="77777777" w:rsidR="00C35E51" w:rsidRPr="00E02B5D" w:rsidRDefault="00C35E51" w:rsidP="009D5ED9">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890" w:type="dxa"/>
            <w:tcBorders>
              <w:top w:val="single" w:sz="4" w:space="0" w:color="auto"/>
              <w:left w:val="nil"/>
              <w:bottom w:val="single" w:sz="4" w:space="0" w:color="auto"/>
              <w:right w:val="single" w:sz="4" w:space="0" w:color="auto"/>
            </w:tcBorders>
            <w:shd w:val="clear" w:color="auto" w:fill="BDD7EE"/>
            <w:vAlign w:val="center"/>
          </w:tcPr>
          <w:p w14:paraId="5454AEA9" w14:textId="77777777" w:rsidR="00C35E51" w:rsidRPr="00E02B5D" w:rsidRDefault="00C35E51" w:rsidP="009D5ED9">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2702" w:type="dxa"/>
            <w:vMerge/>
            <w:tcBorders>
              <w:top w:val="single" w:sz="4" w:space="0" w:color="auto"/>
              <w:bottom w:val="single" w:sz="4" w:space="0" w:color="auto"/>
              <w:right w:val="single" w:sz="4" w:space="0" w:color="auto"/>
            </w:tcBorders>
            <w:vAlign w:val="center"/>
          </w:tcPr>
          <w:p w14:paraId="4FBD707F" w14:textId="77777777" w:rsidR="00C35E51" w:rsidRPr="00E02B5D" w:rsidRDefault="00C35E51" w:rsidP="009D5ED9">
            <w:pPr>
              <w:spacing w:before="120" w:after="120" w:line="240" w:lineRule="auto"/>
              <w:jc w:val="center"/>
              <w:rPr>
                <w:rFonts w:ascii="Times New Roman" w:eastAsia="Times New Roman" w:hAnsi="Times New Roman" w:cs="Times New Roman"/>
                <w:b/>
                <w:bCs/>
                <w:noProof/>
                <w:sz w:val="18"/>
                <w:szCs w:val="18"/>
                <w:lang w:val="en-GB" w:eastAsia="en-GB"/>
              </w:rPr>
            </w:pPr>
          </w:p>
        </w:tc>
      </w:tr>
      <w:tr w:rsidR="00C35E51" w:rsidRPr="003B132A" w14:paraId="6FBE293D" w14:textId="77777777" w:rsidTr="00C35E51">
        <w:tc>
          <w:tcPr>
            <w:tcW w:w="1093" w:type="dxa"/>
            <w:tcBorders>
              <w:top w:val="single" w:sz="4" w:space="0" w:color="auto"/>
              <w:left w:val="single" w:sz="4" w:space="0" w:color="auto"/>
              <w:bottom w:val="single" w:sz="4" w:space="0" w:color="auto"/>
              <w:right w:val="single" w:sz="4" w:space="0" w:color="auto"/>
            </w:tcBorders>
            <w:shd w:val="clear" w:color="auto" w:fill="C6EFCE"/>
            <w:noWrap/>
          </w:tcPr>
          <w:p w14:paraId="383DF9A2" w14:textId="77777777" w:rsidR="00A7409F" w:rsidRPr="00E02B5D" w:rsidRDefault="00A7409F" w:rsidP="009D5ED9">
            <w:pPr>
              <w:spacing w:after="0" w:line="240" w:lineRule="auto"/>
              <w:rPr>
                <w:rFonts w:asciiTheme="minorHAnsi" w:eastAsia="Times New Roman" w:hAnsiTheme="minorHAnsi" w:cstheme="minorHAnsi"/>
                <w:noProof/>
                <w:sz w:val="18"/>
                <w:szCs w:val="18"/>
              </w:rPr>
            </w:pPr>
            <w:r>
              <w:rPr>
                <w:rFonts w:asciiTheme="minorHAnsi" w:hAnsiTheme="minorHAnsi"/>
                <w:noProof/>
                <w:sz w:val="18"/>
              </w:rPr>
              <w:t>365</w:t>
            </w:r>
          </w:p>
        </w:tc>
        <w:tc>
          <w:tcPr>
            <w:tcW w:w="1993" w:type="dxa"/>
            <w:tcBorders>
              <w:top w:val="single" w:sz="4" w:space="0" w:color="auto"/>
              <w:left w:val="nil"/>
              <w:bottom w:val="single" w:sz="4" w:space="0" w:color="auto"/>
              <w:right w:val="single" w:sz="4" w:space="0" w:color="auto"/>
            </w:tcBorders>
            <w:shd w:val="clear" w:color="auto" w:fill="C6EFCE"/>
            <w:noWrap/>
          </w:tcPr>
          <w:p w14:paraId="3C9E7FAA" w14:textId="77777777" w:rsidR="00A7409F" w:rsidRPr="00E02B5D" w:rsidRDefault="00A7409F" w:rsidP="009D5ED9">
            <w:pPr>
              <w:spacing w:after="0" w:line="240" w:lineRule="auto"/>
              <w:rPr>
                <w:rFonts w:eastAsia="Times New Roman" w:cs="Calibri"/>
                <w:noProof/>
                <w:color w:val="006100"/>
                <w:sz w:val="18"/>
                <w:szCs w:val="18"/>
              </w:rPr>
            </w:pPr>
            <w:r>
              <w:rPr>
                <w:noProof/>
                <w:color w:val="006100"/>
                <w:sz w:val="18"/>
              </w:rPr>
              <w:t>21–5.2. REPowerEU investeeringud – energiasalvestuse paigaldamine taastuvate energiaallikate täiendavaks kasutuselevõtuks</w:t>
            </w:r>
          </w:p>
        </w:tc>
        <w:tc>
          <w:tcPr>
            <w:tcW w:w="1021" w:type="dxa"/>
            <w:tcBorders>
              <w:top w:val="single" w:sz="4" w:space="0" w:color="auto"/>
              <w:left w:val="nil"/>
              <w:bottom w:val="single" w:sz="4" w:space="0" w:color="auto"/>
              <w:right w:val="single" w:sz="4" w:space="0" w:color="auto"/>
            </w:tcBorders>
            <w:shd w:val="clear" w:color="auto" w:fill="C6EFCE"/>
            <w:noWrap/>
          </w:tcPr>
          <w:p w14:paraId="27945EFF" w14:textId="77777777" w:rsidR="00A7409F" w:rsidRPr="00E02B5D" w:rsidRDefault="00A7409F" w:rsidP="009D5ED9">
            <w:pPr>
              <w:spacing w:after="0" w:line="240" w:lineRule="auto"/>
              <w:rPr>
                <w:rFonts w:eastAsia="Times New Roman" w:cs="Calibri"/>
                <w:noProof/>
                <w:color w:val="006100"/>
                <w:sz w:val="18"/>
                <w:szCs w:val="18"/>
              </w:rPr>
            </w:pPr>
            <w:r>
              <w:rPr>
                <w:noProof/>
                <w:color w:val="006100"/>
                <w:sz w:val="18"/>
              </w:rPr>
              <w:t>Eesmärk</w:t>
            </w:r>
          </w:p>
        </w:tc>
        <w:tc>
          <w:tcPr>
            <w:tcW w:w="1093" w:type="dxa"/>
            <w:tcBorders>
              <w:top w:val="single" w:sz="4" w:space="0" w:color="auto"/>
              <w:left w:val="nil"/>
              <w:bottom w:val="single" w:sz="4" w:space="0" w:color="auto"/>
              <w:right w:val="single" w:sz="4" w:space="0" w:color="auto"/>
            </w:tcBorders>
            <w:shd w:val="clear" w:color="auto" w:fill="C6EFCE"/>
            <w:noWrap/>
          </w:tcPr>
          <w:p w14:paraId="020D25FF" w14:textId="77777777" w:rsidR="00A7409F" w:rsidRPr="00E02B5D" w:rsidRDefault="00A7409F" w:rsidP="009D5ED9">
            <w:pPr>
              <w:spacing w:after="0" w:line="240" w:lineRule="auto"/>
              <w:rPr>
                <w:rFonts w:ascii="Times New Roman" w:eastAsia="Times New Roman" w:hAnsi="Times New Roman" w:cs="Times New Roman"/>
                <w:noProof/>
                <w:sz w:val="18"/>
                <w:szCs w:val="18"/>
              </w:rPr>
            </w:pPr>
            <w:r>
              <w:rPr>
                <w:noProof/>
                <w:color w:val="006100"/>
                <w:sz w:val="18"/>
              </w:rPr>
              <w:t>Lepingute sõlmimisest teatamine</w:t>
            </w:r>
          </w:p>
        </w:tc>
        <w:tc>
          <w:tcPr>
            <w:tcW w:w="1675" w:type="dxa"/>
            <w:tcBorders>
              <w:top w:val="single" w:sz="4" w:space="0" w:color="auto"/>
              <w:left w:val="nil"/>
              <w:bottom w:val="single" w:sz="4" w:space="0" w:color="auto"/>
              <w:right w:val="single" w:sz="4" w:space="0" w:color="auto"/>
            </w:tcBorders>
            <w:shd w:val="clear" w:color="auto" w:fill="C6EFCE"/>
            <w:noWrap/>
          </w:tcPr>
          <w:p w14:paraId="4D775471" w14:textId="77777777" w:rsidR="00A7409F" w:rsidRPr="00E02B5D" w:rsidRDefault="00A7409F" w:rsidP="009D5ED9">
            <w:pPr>
              <w:spacing w:after="120" w:line="240" w:lineRule="auto"/>
              <w:rPr>
                <w:rFonts w:ascii="Times New Roman" w:eastAsia="Times New Roman" w:hAnsi="Times New Roman" w:cs="Times New Roman"/>
                <w:noProof/>
                <w:sz w:val="18"/>
                <w:szCs w:val="18"/>
                <w:lang w:val="en-GB" w:eastAsia="en-GB"/>
              </w:rPr>
            </w:pPr>
          </w:p>
        </w:tc>
        <w:tc>
          <w:tcPr>
            <w:tcW w:w="1038" w:type="dxa"/>
            <w:tcBorders>
              <w:top w:val="nil"/>
              <w:left w:val="nil"/>
              <w:bottom w:val="single" w:sz="4" w:space="0" w:color="auto"/>
              <w:right w:val="single" w:sz="4" w:space="0" w:color="auto"/>
            </w:tcBorders>
            <w:shd w:val="clear" w:color="auto" w:fill="C6EFCE"/>
            <w:noWrap/>
          </w:tcPr>
          <w:p w14:paraId="75EF64B7" w14:textId="77777777" w:rsidR="00A7409F" w:rsidRPr="00E02B5D" w:rsidRDefault="00A7409F" w:rsidP="009D5ED9">
            <w:pPr>
              <w:spacing w:after="0" w:line="240" w:lineRule="auto"/>
              <w:rPr>
                <w:rFonts w:ascii="Times New Roman" w:eastAsia="Times New Roman" w:hAnsi="Times New Roman" w:cs="Times New Roman"/>
                <w:noProof/>
                <w:sz w:val="18"/>
                <w:szCs w:val="18"/>
                <w:lang w:val="en-GB" w:eastAsia="en-GB"/>
              </w:rPr>
            </w:pPr>
          </w:p>
        </w:tc>
        <w:tc>
          <w:tcPr>
            <w:tcW w:w="1038" w:type="dxa"/>
            <w:tcBorders>
              <w:top w:val="nil"/>
              <w:left w:val="nil"/>
              <w:bottom w:val="single" w:sz="4" w:space="0" w:color="auto"/>
              <w:right w:val="single" w:sz="4" w:space="0" w:color="auto"/>
            </w:tcBorders>
            <w:shd w:val="clear" w:color="auto" w:fill="C6EFCE"/>
            <w:noWrap/>
          </w:tcPr>
          <w:p w14:paraId="7BF7C660" w14:textId="77777777" w:rsidR="00A7409F" w:rsidRPr="00E02B5D" w:rsidRDefault="00A7409F" w:rsidP="009D5ED9">
            <w:pPr>
              <w:spacing w:after="0" w:line="240" w:lineRule="auto"/>
              <w:rPr>
                <w:rFonts w:ascii="Times New Roman" w:eastAsia="Times New Roman" w:hAnsi="Times New Roman" w:cs="Times New Roman"/>
                <w:noProof/>
                <w:sz w:val="18"/>
                <w:szCs w:val="18"/>
                <w:lang w:val="en-GB" w:eastAsia="en-GB"/>
              </w:rPr>
            </w:pPr>
          </w:p>
        </w:tc>
        <w:tc>
          <w:tcPr>
            <w:tcW w:w="646" w:type="dxa"/>
            <w:tcBorders>
              <w:top w:val="nil"/>
              <w:left w:val="nil"/>
              <w:bottom w:val="single" w:sz="4" w:space="0" w:color="auto"/>
              <w:right w:val="single" w:sz="4" w:space="0" w:color="auto"/>
            </w:tcBorders>
            <w:shd w:val="clear" w:color="auto" w:fill="C6EFCE"/>
            <w:noWrap/>
          </w:tcPr>
          <w:p w14:paraId="6B82417D" w14:textId="77777777" w:rsidR="00A7409F" w:rsidRPr="00E02B5D" w:rsidRDefault="00A7409F" w:rsidP="009D5ED9">
            <w:pPr>
              <w:spacing w:after="0" w:line="240" w:lineRule="auto"/>
              <w:rPr>
                <w:rFonts w:ascii="Times New Roman" w:eastAsia="Times New Roman" w:hAnsi="Times New Roman" w:cs="Times New Roman"/>
                <w:noProof/>
                <w:sz w:val="18"/>
                <w:szCs w:val="18"/>
                <w:lang w:val="en-GB" w:eastAsia="en-GB"/>
              </w:rPr>
            </w:pPr>
          </w:p>
        </w:tc>
        <w:tc>
          <w:tcPr>
            <w:tcW w:w="1077" w:type="dxa"/>
            <w:tcBorders>
              <w:top w:val="nil"/>
              <w:left w:val="nil"/>
              <w:bottom w:val="single" w:sz="4" w:space="0" w:color="auto"/>
              <w:right w:val="single" w:sz="4" w:space="0" w:color="auto"/>
            </w:tcBorders>
            <w:shd w:val="clear" w:color="auto" w:fill="C6EFCE"/>
            <w:noWrap/>
          </w:tcPr>
          <w:p w14:paraId="7F1758E9" w14:textId="77777777" w:rsidR="00A7409F" w:rsidRPr="00E02B5D" w:rsidRDefault="00A7409F" w:rsidP="009D5ED9">
            <w:pPr>
              <w:spacing w:after="120" w:line="240" w:lineRule="auto"/>
              <w:rPr>
                <w:rFonts w:eastAsia="Times New Roman"/>
                <w:noProof/>
                <w:color w:val="006100"/>
                <w:sz w:val="18"/>
                <w:szCs w:val="18"/>
              </w:rPr>
            </w:pPr>
            <w:r>
              <w:rPr>
                <w:noProof/>
                <w:color w:val="006100"/>
                <w:sz w:val="18"/>
              </w:rPr>
              <w:t>2. kv</w:t>
            </w:r>
          </w:p>
        </w:tc>
        <w:tc>
          <w:tcPr>
            <w:tcW w:w="880" w:type="dxa"/>
            <w:tcBorders>
              <w:top w:val="nil"/>
              <w:left w:val="nil"/>
              <w:bottom w:val="single" w:sz="4" w:space="0" w:color="auto"/>
              <w:right w:val="single" w:sz="4" w:space="0" w:color="auto"/>
            </w:tcBorders>
            <w:shd w:val="clear" w:color="auto" w:fill="C6EFCE"/>
            <w:noWrap/>
          </w:tcPr>
          <w:p w14:paraId="3DBAD044" w14:textId="77777777" w:rsidR="00A7409F" w:rsidRPr="00E02B5D" w:rsidRDefault="00A7409F" w:rsidP="009D5ED9">
            <w:pPr>
              <w:spacing w:after="120" w:line="240" w:lineRule="auto"/>
              <w:rPr>
                <w:rFonts w:eastAsia="Times New Roman"/>
                <w:noProof/>
                <w:color w:val="006100"/>
                <w:sz w:val="18"/>
                <w:szCs w:val="18"/>
              </w:rPr>
            </w:pPr>
            <w:r>
              <w:rPr>
                <w:noProof/>
                <w:color w:val="006100"/>
                <w:sz w:val="18"/>
              </w:rPr>
              <w:t>2024</w:t>
            </w:r>
          </w:p>
        </w:tc>
        <w:tc>
          <w:tcPr>
            <w:tcW w:w="2702" w:type="dxa"/>
            <w:tcBorders>
              <w:top w:val="single" w:sz="4" w:space="0" w:color="auto"/>
              <w:left w:val="nil"/>
              <w:bottom w:val="single" w:sz="4" w:space="0" w:color="auto"/>
              <w:right w:val="single" w:sz="4" w:space="0" w:color="auto"/>
            </w:tcBorders>
            <w:shd w:val="clear" w:color="auto" w:fill="C6EFCE"/>
            <w:noWrap/>
          </w:tcPr>
          <w:p w14:paraId="42D490A7" w14:textId="77777777" w:rsidR="00A7409F" w:rsidRPr="00E02B5D" w:rsidRDefault="00A7409F" w:rsidP="009D5ED9">
            <w:pPr>
              <w:spacing w:after="0" w:line="240" w:lineRule="auto"/>
              <w:rPr>
                <w:rFonts w:ascii="Times New Roman" w:eastAsia="Times New Roman" w:hAnsi="Times New Roman" w:cs="Times New Roman"/>
                <w:noProof/>
                <w:sz w:val="18"/>
                <w:szCs w:val="18"/>
              </w:rPr>
            </w:pPr>
            <w:r>
              <w:rPr>
                <w:noProof/>
                <w:color w:val="006100"/>
                <w:sz w:val="18"/>
              </w:rPr>
              <w:t xml:space="preserve">RAEEY teade projektile, mis hõlmab kokku 175 MW installeeritud elektrisalvestusvõimsust. </w:t>
            </w:r>
          </w:p>
        </w:tc>
      </w:tr>
      <w:tr w:rsidR="00C35E51" w:rsidRPr="003B132A" w14:paraId="436F2BD7" w14:textId="77777777" w:rsidTr="00C35E51">
        <w:tc>
          <w:tcPr>
            <w:tcW w:w="1093" w:type="dxa"/>
            <w:tcBorders>
              <w:top w:val="nil"/>
              <w:left w:val="single" w:sz="4" w:space="0" w:color="auto"/>
              <w:bottom w:val="single" w:sz="4" w:space="0" w:color="auto"/>
              <w:right w:val="single" w:sz="4" w:space="0" w:color="auto"/>
            </w:tcBorders>
            <w:shd w:val="clear" w:color="auto" w:fill="C6EFCE"/>
            <w:noWrap/>
          </w:tcPr>
          <w:p w14:paraId="6D40E971" w14:textId="77777777" w:rsidR="00A7409F" w:rsidRPr="00E02B5D" w:rsidRDefault="00A7409F" w:rsidP="009D5ED9">
            <w:pPr>
              <w:spacing w:after="0" w:line="240" w:lineRule="auto"/>
              <w:rPr>
                <w:rFonts w:eastAsia="Times New Roman" w:cs="Calibri"/>
                <w:noProof/>
                <w:color w:val="006100"/>
                <w:sz w:val="18"/>
                <w:szCs w:val="18"/>
              </w:rPr>
            </w:pPr>
            <w:r>
              <w:rPr>
                <w:noProof/>
                <w:color w:val="006100"/>
                <w:sz w:val="18"/>
              </w:rPr>
              <w:t>366</w:t>
            </w:r>
          </w:p>
        </w:tc>
        <w:tc>
          <w:tcPr>
            <w:tcW w:w="1993" w:type="dxa"/>
            <w:tcBorders>
              <w:top w:val="nil"/>
              <w:left w:val="nil"/>
              <w:bottom w:val="single" w:sz="4" w:space="0" w:color="auto"/>
              <w:right w:val="single" w:sz="4" w:space="0" w:color="auto"/>
            </w:tcBorders>
            <w:shd w:val="clear" w:color="auto" w:fill="C6EFCE"/>
            <w:noWrap/>
          </w:tcPr>
          <w:p w14:paraId="6E487D9F" w14:textId="77777777" w:rsidR="00A7409F" w:rsidRPr="00E02B5D" w:rsidRDefault="00A7409F" w:rsidP="009D5ED9">
            <w:pPr>
              <w:spacing w:after="0" w:line="240" w:lineRule="auto"/>
              <w:rPr>
                <w:rFonts w:ascii="Times New Roman" w:hAnsi="Times New Roman" w:cs="Times New Roman"/>
                <w:noProof/>
                <w:sz w:val="24"/>
                <w:szCs w:val="24"/>
              </w:rPr>
            </w:pPr>
            <w:r>
              <w:rPr>
                <w:noProof/>
                <w:color w:val="006100"/>
                <w:sz w:val="18"/>
              </w:rPr>
              <w:t>21–5.2. REPowerEU investeeringud – energiasalvestuse paigaldamine taastuvate energiaallikate täiendavaks kasutuselevõtuks</w:t>
            </w:r>
          </w:p>
        </w:tc>
        <w:tc>
          <w:tcPr>
            <w:tcW w:w="1021" w:type="dxa"/>
            <w:tcBorders>
              <w:top w:val="nil"/>
              <w:left w:val="nil"/>
              <w:bottom w:val="single" w:sz="4" w:space="0" w:color="auto"/>
              <w:right w:val="single" w:sz="4" w:space="0" w:color="auto"/>
            </w:tcBorders>
            <w:shd w:val="clear" w:color="auto" w:fill="C6EFCE"/>
            <w:noWrap/>
          </w:tcPr>
          <w:p w14:paraId="6E083A6A" w14:textId="77777777" w:rsidR="00A7409F" w:rsidRPr="00E02B5D" w:rsidRDefault="00A7409F" w:rsidP="009D5ED9">
            <w:pPr>
              <w:spacing w:after="120" w:line="240" w:lineRule="auto"/>
              <w:rPr>
                <w:rFonts w:ascii="Times New Roman" w:hAnsi="Times New Roman" w:cs="Times New Roman"/>
                <w:noProof/>
                <w:sz w:val="24"/>
              </w:rPr>
            </w:pPr>
            <w:r>
              <w:rPr>
                <w:noProof/>
                <w:color w:val="006100"/>
                <w:sz w:val="18"/>
              </w:rPr>
              <w:t>Eesmärk</w:t>
            </w:r>
          </w:p>
        </w:tc>
        <w:tc>
          <w:tcPr>
            <w:tcW w:w="1093" w:type="dxa"/>
            <w:tcBorders>
              <w:top w:val="nil"/>
              <w:left w:val="nil"/>
              <w:bottom w:val="single" w:sz="4" w:space="0" w:color="auto"/>
              <w:right w:val="single" w:sz="4" w:space="0" w:color="auto"/>
            </w:tcBorders>
            <w:shd w:val="clear" w:color="auto" w:fill="C6EFCE"/>
            <w:noWrap/>
          </w:tcPr>
          <w:p w14:paraId="4CB5E5E0" w14:textId="77777777" w:rsidR="00A7409F" w:rsidRPr="00E02B5D" w:rsidRDefault="00A7409F" w:rsidP="009D5ED9">
            <w:pPr>
              <w:spacing w:after="0" w:line="240" w:lineRule="auto"/>
              <w:rPr>
                <w:rFonts w:eastAsia="Times New Roman"/>
                <w:noProof/>
                <w:color w:val="006100"/>
                <w:sz w:val="18"/>
                <w:szCs w:val="18"/>
              </w:rPr>
            </w:pPr>
            <w:r>
              <w:rPr>
                <w:noProof/>
                <w:color w:val="006100"/>
                <w:sz w:val="18"/>
              </w:rPr>
              <w:t>Ladustamisrajatiste lõpuleviimine</w:t>
            </w:r>
          </w:p>
        </w:tc>
        <w:tc>
          <w:tcPr>
            <w:tcW w:w="1675" w:type="dxa"/>
            <w:tcBorders>
              <w:top w:val="nil"/>
              <w:left w:val="nil"/>
              <w:bottom w:val="single" w:sz="4" w:space="0" w:color="auto"/>
              <w:right w:val="single" w:sz="4" w:space="0" w:color="auto"/>
            </w:tcBorders>
            <w:shd w:val="clear" w:color="auto" w:fill="C6EFCE"/>
            <w:noWrap/>
          </w:tcPr>
          <w:p w14:paraId="79409578" w14:textId="77777777" w:rsidR="00A7409F" w:rsidRPr="00E02B5D" w:rsidRDefault="00A7409F" w:rsidP="009D5ED9">
            <w:pPr>
              <w:spacing w:after="120" w:line="240" w:lineRule="auto"/>
              <w:rPr>
                <w:rFonts w:ascii="Times New Roman" w:hAnsi="Times New Roman" w:cs="Times New Roman"/>
                <w:noProof/>
                <w:sz w:val="24"/>
                <w:lang w:val="en-GB"/>
              </w:rPr>
            </w:pPr>
          </w:p>
        </w:tc>
        <w:tc>
          <w:tcPr>
            <w:tcW w:w="1038" w:type="dxa"/>
            <w:tcBorders>
              <w:top w:val="nil"/>
              <w:left w:val="nil"/>
              <w:bottom w:val="single" w:sz="4" w:space="0" w:color="auto"/>
              <w:right w:val="single" w:sz="4" w:space="0" w:color="auto"/>
            </w:tcBorders>
            <w:shd w:val="clear" w:color="auto" w:fill="C6EFCE"/>
            <w:noWrap/>
          </w:tcPr>
          <w:p w14:paraId="3DB3074B" w14:textId="77777777" w:rsidR="00A7409F" w:rsidRPr="00E02B5D" w:rsidRDefault="00A7409F" w:rsidP="009D5ED9">
            <w:pPr>
              <w:spacing w:after="0" w:line="240" w:lineRule="auto"/>
              <w:rPr>
                <w:rFonts w:eastAsia="Times New Roman" w:cs="Calibri"/>
                <w:noProof/>
                <w:color w:val="006100"/>
                <w:sz w:val="18"/>
                <w:szCs w:val="18"/>
                <w:lang w:val="en-GB" w:eastAsia="en-GB"/>
              </w:rPr>
            </w:pPr>
          </w:p>
        </w:tc>
        <w:tc>
          <w:tcPr>
            <w:tcW w:w="1038" w:type="dxa"/>
            <w:tcBorders>
              <w:top w:val="nil"/>
              <w:left w:val="nil"/>
              <w:bottom w:val="single" w:sz="4" w:space="0" w:color="auto"/>
              <w:right w:val="single" w:sz="4" w:space="0" w:color="auto"/>
            </w:tcBorders>
            <w:shd w:val="clear" w:color="auto" w:fill="C6EFCE"/>
            <w:noWrap/>
          </w:tcPr>
          <w:p w14:paraId="182B94E7" w14:textId="77777777" w:rsidR="00A7409F" w:rsidRPr="00E02B5D" w:rsidRDefault="00A7409F" w:rsidP="009D5ED9">
            <w:pPr>
              <w:spacing w:after="0" w:line="240" w:lineRule="auto"/>
              <w:rPr>
                <w:rFonts w:eastAsia="Times New Roman" w:cs="Calibri"/>
                <w:noProof/>
                <w:color w:val="006100"/>
                <w:sz w:val="18"/>
                <w:szCs w:val="18"/>
                <w:lang w:val="en-GB" w:eastAsia="en-GB"/>
              </w:rPr>
            </w:pPr>
          </w:p>
        </w:tc>
        <w:tc>
          <w:tcPr>
            <w:tcW w:w="646" w:type="dxa"/>
            <w:tcBorders>
              <w:top w:val="nil"/>
              <w:left w:val="nil"/>
              <w:bottom w:val="single" w:sz="4" w:space="0" w:color="auto"/>
              <w:right w:val="single" w:sz="4" w:space="0" w:color="auto"/>
            </w:tcBorders>
            <w:shd w:val="clear" w:color="auto" w:fill="C6EFCE"/>
            <w:noWrap/>
          </w:tcPr>
          <w:p w14:paraId="5AFC0E6D" w14:textId="77777777" w:rsidR="00A7409F" w:rsidRPr="00E02B5D" w:rsidRDefault="00A7409F" w:rsidP="009D5ED9">
            <w:pPr>
              <w:spacing w:after="0" w:line="240" w:lineRule="auto"/>
              <w:rPr>
                <w:rFonts w:eastAsia="Times New Roman" w:cs="Calibri"/>
                <w:noProof/>
                <w:color w:val="006100"/>
                <w:sz w:val="18"/>
                <w:szCs w:val="18"/>
                <w:lang w:val="en-GB" w:eastAsia="en-GB"/>
              </w:rPr>
            </w:pPr>
          </w:p>
        </w:tc>
        <w:tc>
          <w:tcPr>
            <w:tcW w:w="1077" w:type="dxa"/>
            <w:tcBorders>
              <w:top w:val="nil"/>
              <w:left w:val="nil"/>
              <w:bottom w:val="single" w:sz="4" w:space="0" w:color="auto"/>
              <w:right w:val="single" w:sz="4" w:space="0" w:color="auto"/>
            </w:tcBorders>
            <w:shd w:val="clear" w:color="auto" w:fill="C6EFCE"/>
            <w:noWrap/>
          </w:tcPr>
          <w:p w14:paraId="12C24165" w14:textId="77777777" w:rsidR="00A7409F" w:rsidRPr="00E02B5D" w:rsidRDefault="00A7409F" w:rsidP="009D5ED9">
            <w:pPr>
              <w:spacing w:after="120" w:line="240" w:lineRule="auto"/>
              <w:rPr>
                <w:rFonts w:eastAsia="Times New Roman"/>
                <w:noProof/>
                <w:color w:val="006100"/>
                <w:sz w:val="18"/>
                <w:szCs w:val="18"/>
              </w:rPr>
            </w:pPr>
            <w:r>
              <w:rPr>
                <w:noProof/>
                <w:color w:val="006100"/>
                <w:sz w:val="18"/>
              </w:rPr>
              <w:t>4. kv</w:t>
            </w:r>
          </w:p>
        </w:tc>
        <w:tc>
          <w:tcPr>
            <w:tcW w:w="880" w:type="dxa"/>
            <w:tcBorders>
              <w:top w:val="nil"/>
              <w:left w:val="nil"/>
              <w:bottom w:val="single" w:sz="4" w:space="0" w:color="auto"/>
              <w:right w:val="single" w:sz="4" w:space="0" w:color="auto"/>
            </w:tcBorders>
            <w:shd w:val="clear" w:color="auto" w:fill="C6EFCE"/>
            <w:noWrap/>
          </w:tcPr>
          <w:p w14:paraId="41537258" w14:textId="77777777" w:rsidR="00A7409F" w:rsidRPr="00E02B5D" w:rsidRDefault="00A7409F" w:rsidP="009D5ED9">
            <w:pPr>
              <w:spacing w:after="120" w:line="240" w:lineRule="auto"/>
              <w:rPr>
                <w:rFonts w:eastAsia="Times New Roman"/>
                <w:noProof/>
                <w:color w:val="006100"/>
                <w:sz w:val="18"/>
                <w:szCs w:val="18"/>
              </w:rPr>
            </w:pPr>
            <w:r>
              <w:rPr>
                <w:noProof/>
                <w:color w:val="006100"/>
                <w:sz w:val="18"/>
              </w:rPr>
              <w:t>2025</w:t>
            </w:r>
          </w:p>
        </w:tc>
        <w:tc>
          <w:tcPr>
            <w:tcW w:w="2702" w:type="dxa"/>
            <w:tcBorders>
              <w:top w:val="nil"/>
              <w:left w:val="nil"/>
              <w:bottom w:val="single" w:sz="4" w:space="0" w:color="auto"/>
              <w:right w:val="single" w:sz="4" w:space="0" w:color="auto"/>
            </w:tcBorders>
            <w:shd w:val="clear" w:color="auto" w:fill="C6EFCE"/>
            <w:noWrap/>
          </w:tcPr>
          <w:p w14:paraId="39566BB7" w14:textId="77777777" w:rsidR="00A7409F" w:rsidRPr="00E02B5D" w:rsidRDefault="00A7409F" w:rsidP="009D5ED9">
            <w:pPr>
              <w:spacing w:after="0" w:line="240" w:lineRule="auto"/>
              <w:rPr>
                <w:rFonts w:ascii="Times New Roman" w:hAnsi="Times New Roman" w:cs="Times New Roman"/>
                <w:noProof/>
                <w:sz w:val="24"/>
                <w:szCs w:val="24"/>
              </w:rPr>
            </w:pPr>
            <w:r>
              <w:rPr>
                <w:noProof/>
                <w:color w:val="006100"/>
                <w:sz w:val="18"/>
              </w:rPr>
              <w:t xml:space="preserve">Elektrisalvestusprojektide käivitamine kokku 175 MW ulatuses. </w:t>
            </w:r>
          </w:p>
        </w:tc>
      </w:tr>
    </w:tbl>
    <w:p w14:paraId="1AF1A136" w14:textId="77777777" w:rsidR="00A7409F" w:rsidRPr="00AD4052" w:rsidRDefault="00A7409F">
      <w:pPr>
        <w:rPr>
          <w:noProof/>
        </w:rPr>
      </w:pPr>
    </w:p>
    <w:p w14:paraId="42C260BF" w14:textId="77777777" w:rsidR="00A7409F" w:rsidRPr="00E02B5D" w:rsidRDefault="00A7409F">
      <w:pPr>
        <w:rPr>
          <w:noProof/>
        </w:rPr>
      </w:pPr>
      <w:r>
        <w:rPr>
          <w:noProof/>
        </w:rPr>
        <w:br w:type="page"/>
      </w:r>
    </w:p>
    <w:p w14:paraId="360647D8" w14:textId="77777777" w:rsidR="00A7409F" w:rsidRPr="00AD4052" w:rsidRDefault="00A7409F">
      <w:pPr>
        <w:rPr>
          <w:noProof/>
        </w:rPr>
      </w:pPr>
    </w:p>
    <w:p w14:paraId="29FEF5BF" w14:textId="77777777" w:rsidR="00A90382" w:rsidRPr="00E02B5D" w:rsidRDefault="00A90382" w:rsidP="00D16F13">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Investeering 2: Energiatõhusus ja taastuvate energiaallikate edendamine oma tarbeks (meetme ID: 16994)</w:t>
      </w:r>
    </w:p>
    <w:tbl>
      <w:tblPr>
        <w:tblpPr w:leftFromText="180" w:rightFromText="180" w:vertAnchor="text" w:tblpX="113"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758"/>
        <w:gridCol w:w="1038"/>
        <w:gridCol w:w="1869"/>
        <w:gridCol w:w="1166"/>
        <w:gridCol w:w="1171"/>
        <w:gridCol w:w="882"/>
        <w:gridCol w:w="919"/>
        <w:gridCol w:w="873"/>
        <w:gridCol w:w="873"/>
        <w:gridCol w:w="2508"/>
      </w:tblGrid>
      <w:tr w:rsidR="00A90382" w:rsidRPr="003B132A" w14:paraId="0318F6F1" w14:textId="77777777" w:rsidTr="003D2BB6">
        <w:trPr>
          <w:trHeight w:val="558"/>
          <w:tblHeader/>
        </w:trPr>
        <w:tc>
          <w:tcPr>
            <w:tcW w:w="1043" w:type="dxa"/>
            <w:vMerge w:val="restart"/>
            <w:shd w:val="clear" w:color="auto" w:fill="B8CCE4" w:themeFill="accent1" w:themeFillTint="66"/>
            <w:noWrap/>
            <w:vAlign w:val="center"/>
          </w:tcPr>
          <w:p w14:paraId="352676C8" w14:textId="77777777" w:rsidR="00A90382" w:rsidRPr="00E02B5D" w:rsidRDefault="00A90382" w:rsidP="00EF74AB">
            <w:pPr>
              <w:spacing w:after="0" w:line="240" w:lineRule="auto"/>
              <w:jc w:val="center"/>
              <w:rPr>
                <w:rFonts w:eastAsia="Times New Roman" w:cs="Calibri"/>
                <w:noProof/>
                <w:color w:val="006100"/>
                <w:sz w:val="18"/>
                <w:szCs w:val="18"/>
              </w:rPr>
            </w:pPr>
            <w:r>
              <w:rPr>
                <w:rFonts w:ascii="Times New Roman" w:hAnsi="Times New Roman"/>
                <w:b/>
                <w:noProof/>
                <w:sz w:val="18"/>
              </w:rPr>
              <w:t>Järjekorranumber</w:t>
            </w:r>
          </w:p>
        </w:tc>
        <w:tc>
          <w:tcPr>
            <w:tcW w:w="1952" w:type="dxa"/>
            <w:vMerge w:val="restart"/>
            <w:shd w:val="clear" w:color="auto" w:fill="B8CCE4" w:themeFill="accent1" w:themeFillTint="66"/>
            <w:noWrap/>
            <w:vAlign w:val="center"/>
          </w:tcPr>
          <w:p w14:paraId="1FA79AB2" w14:textId="77777777" w:rsidR="00A90382" w:rsidRPr="00E02B5D" w:rsidRDefault="00A90382" w:rsidP="00EF74AB">
            <w:pPr>
              <w:spacing w:after="0" w:line="240" w:lineRule="auto"/>
              <w:jc w:val="center"/>
              <w:rPr>
                <w:rFonts w:eastAsia="Times New Roman" w:cs="Calibri"/>
                <w:noProof/>
                <w:color w:val="006100"/>
                <w:sz w:val="18"/>
                <w:szCs w:val="18"/>
              </w:rPr>
            </w:pPr>
            <w:r>
              <w:rPr>
                <w:rFonts w:ascii="Times New Roman" w:hAnsi="Times New Roman"/>
                <w:b/>
                <w:noProof/>
                <w:sz w:val="18"/>
              </w:rPr>
              <w:t>Seotud meede (reform või investeering)</w:t>
            </w:r>
          </w:p>
        </w:tc>
        <w:tc>
          <w:tcPr>
            <w:tcW w:w="1142" w:type="dxa"/>
            <w:vMerge w:val="restart"/>
            <w:shd w:val="clear" w:color="auto" w:fill="B8CCE4" w:themeFill="accent1" w:themeFillTint="66"/>
            <w:noWrap/>
            <w:vAlign w:val="center"/>
          </w:tcPr>
          <w:p w14:paraId="7BE64F70" w14:textId="77777777" w:rsidR="00A90382" w:rsidRPr="00E02B5D" w:rsidRDefault="00A90382" w:rsidP="00EF74AB">
            <w:pPr>
              <w:spacing w:after="0" w:line="240" w:lineRule="auto"/>
              <w:jc w:val="center"/>
              <w:rPr>
                <w:rFonts w:eastAsia="Times New Roman" w:cs="Calibri"/>
                <w:noProof/>
                <w:color w:val="006100"/>
                <w:sz w:val="18"/>
                <w:szCs w:val="18"/>
              </w:rPr>
            </w:pPr>
            <w:r>
              <w:rPr>
                <w:rFonts w:ascii="Times New Roman" w:hAnsi="Times New Roman"/>
                <w:b/>
                <w:noProof/>
                <w:sz w:val="18"/>
              </w:rPr>
              <w:t>Eesmärk / siht</w:t>
            </w:r>
          </w:p>
        </w:tc>
        <w:tc>
          <w:tcPr>
            <w:tcW w:w="1234" w:type="dxa"/>
            <w:vMerge w:val="restart"/>
            <w:shd w:val="clear" w:color="auto" w:fill="B8CCE4" w:themeFill="accent1" w:themeFillTint="66"/>
            <w:noWrap/>
            <w:vAlign w:val="center"/>
          </w:tcPr>
          <w:p w14:paraId="4D828568" w14:textId="77777777" w:rsidR="00A90382" w:rsidRPr="00E02B5D" w:rsidRDefault="00A90382" w:rsidP="00EF74AB">
            <w:pPr>
              <w:spacing w:after="0" w:line="240" w:lineRule="auto"/>
              <w:jc w:val="center"/>
              <w:rPr>
                <w:rFonts w:eastAsia="Times New Roman" w:cs="Calibri"/>
                <w:noProof/>
                <w:color w:val="006100"/>
                <w:sz w:val="18"/>
                <w:szCs w:val="18"/>
              </w:rPr>
            </w:pPr>
            <w:r>
              <w:rPr>
                <w:rFonts w:ascii="Times New Roman" w:hAnsi="Times New Roman"/>
                <w:b/>
                <w:noProof/>
                <w:sz w:val="18"/>
              </w:rPr>
              <w:t>Nimi</w:t>
            </w:r>
          </w:p>
        </w:tc>
        <w:tc>
          <w:tcPr>
            <w:tcW w:w="1286" w:type="dxa"/>
            <w:vMerge w:val="restart"/>
            <w:shd w:val="clear" w:color="auto" w:fill="B8CCE4" w:themeFill="accent1" w:themeFillTint="66"/>
            <w:noWrap/>
            <w:vAlign w:val="center"/>
          </w:tcPr>
          <w:p w14:paraId="2344BB3A" w14:textId="77777777" w:rsidR="00A90382" w:rsidRPr="00E02B5D" w:rsidRDefault="00A90382" w:rsidP="00EF74AB">
            <w:pPr>
              <w:spacing w:after="0" w:line="240" w:lineRule="auto"/>
              <w:jc w:val="center"/>
              <w:rPr>
                <w:rFonts w:eastAsia="Times New Roman" w:cs="Calibri"/>
                <w:noProof/>
                <w:color w:val="006100"/>
                <w:sz w:val="18"/>
                <w:szCs w:val="18"/>
              </w:rPr>
            </w:pPr>
            <w:r>
              <w:rPr>
                <w:rFonts w:ascii="Times New Roman" w:hAnsi="Times New Roman"/>
                <w:b/>
                <w:noProof/>
                <w:sz w:val="18"/>
              </w:rPr>
              <w:t>Kvalitatiivsed näitajad (eesmärkide puhul)</w:t>
            </w:r>
          </w:p>
        </w:tc>
        <w:tc>
          <w:tcPr>
            <w:tcW w:w="3045" w:type="dxa"/>
            <w:gridSpan w:val="3"/>
            <w:shd w:val="clear" w:color="auto" w:fill="B8CCE4" w:themeFill="accent1" w:themeFillTint="66"/>
            <w:noWrap/>
            <w:vAlign w:val="center"/>
          </w:tcPr>
          <w:p w14:paraId="1ECF6EBF" w14:textId="77777777" w:rsidR="00A90382" w:rsidRPr="00E02B5D" w:rsidRDefault="00A90382" w:rsidP="00EF74AB">
            <w:pPr>
              <w:spacing w:after="0" w:line="240" w:lineRule="auto"/>
              <w:jc w:val="center"/>
              <w:rPr>
                <w:rFonts w:eastAsia="Times New Roman" w:cs="Calibri"/>
                <w:noProof/>
                <w:color w:val="006100"/>
                <w:sz w:val="18"/>
                <w:szCs w:val="18"/>
              </w:rPr>
            </w:pPr>
            <w:r>
              <w:rPr>
                <w:rFonts w:ascii="Times New Roman" w:hAnsi="Times New Roman"/>
                <w:b/>
                <w:noProof/>
                <w:sz w:val="18"/>
              </w:rPr>
              <w:t>Kvantitatiivsed näitajad (sihtide puhul)</w:t>
            </w:r>
          </w:p>
        </w:tc>
        <w:tc>
          <w:tcPr>
            <w:tcW w:w="1912" w:type="dxa"/>
            <w:gridSpan w:val="2"/>
            <w:shd w:val="clear" w:color="auto" w:fill="B8CCE4" w:themeFill="accent1" w:themeFillTint="66"/>
            <w:noWrap/>
            <w:vAlign w:val="center"/>
          </w:tcPr>
          <w:p w14:paraId="16D86497" w14:textId="77777777" w:rsidR="00A90382" w:rsidRPr="00E02B5D" w:rsidRDefault="00A90382" w:rsidP="00EF74AB">
            <w:pPr>
              <w:spacing w:after="0" w:line="240" w:lineRule="auto"/>
              <w:jc w:val="center"/>
              <w:rPr>
                <w:rFonts w:eastAsia="Times New Roman" w:cs="Calibri"/>
                <w:noProof/>
                <w:color w:val="006100"/>
                <w:sz w:val="18"/>
                <w:szCs w:val="18"/>
              </w:rPr>
            </w:pPr>
            <w:r>
              <w:rPr>
                <w:rFonts w:ascii="Times New Roman" w:hAnsi="Times New Roman"/>
                <w:b/>
                <w:noProof/>
                <w:sz w:val="18"/>
              </w:rPr>
              <w:t>Lõpuleviimise soovituslik ajakava</w:t>
            </w:r>
          </w:p>
        </w:tc>
        <w:tc>
          <w:tcPr>
            <w:tcW w:w="2698" w:type="dxa"/>
            <w:vMerge w:val="restart"/>
            <w:shd w:val="clear" w:color="auto" w:fill="B8CCE4" w:themeFill="accent1" w:themeFillTint="66"/>
            <w:noWrap/>
            <w:vAlign w:val="center"/>
          </w:tcPr>
          <w:p w14:paraId="0697A81C" w14:textId="77777777" w:rsidR="00A90382" w:rsidRPr="00E02B5D" w:rsidRDefault="00A90382" w:rsidP="00EF74AB">
            <w:pPr>
              <w:spacing w:after="0" w:line="240" w:lineRule="auto"/>
              <w:jc w:val="center"/>
              <w:rPr>
                <w:rFonts w:eastAsia="Times New Roman" w:cs="Calibri"/>
                <w:noProof/>
                <w:color w:val="006100"/>
                <w:sz w:val="18"/>
                <w:szCs w:val="18"/>
              </w:rPr>
            </w:pPr>
            <w:r>
              <w:rPr>
                <w:rFonts w:ascii="Times New Roman" w:hAnsi="Times New Roman"/>
                <w:b/>
                <w:noProof/>
                <w:sz w:val="18"/>
              </w:rPr>
              <w:t>Iga eesmärgi ja sihi kirjeldus</w:t>
            </w:r>
          </w:p>
        </w:tc>
      </w:tr>
      <w:tr w:rsidR="006E0EA2" w:rsidRPr="00E02B5D" w14:paraId="1F0929BA" w14:textId="77777777" w:rsidTr="003D2BB6">
        <w:trPr>
          <w:trHeight w:val="557"/>
        </w:trPr>
        <w:tc>
          <w:tcPr>
            <w:tcW w:w="1043" w:type="dxa"/>
            <w:vMerge/>
            <w:noWrap/>
            <w:vAlign w:val="center"/>
          </w:tcPr>
          <w:p w14:paraId="6FC63AF0"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952" w:type="dxa"/>
            <w:vMerge/>
            <w:noWrap/>
            <w:vAlign w:val="center"/>
          </w:tcPr>
          <w:p w14:paraId="22CFFCA8"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142" w:type="dxa"/>
            <w:vMerge/>
            <w:noWrap/>
            <w:vAlign w:val="center"/>
          </w:tcPr>
          <w:p w14:paraId="201C7FFE"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234" w:type="dxa"/>
            <w:vMerge/>
            <w:noWrap/>
            <w:vAlign w:val="center"/>
          </w:tcPr>
          <w:p w14:paraId="0066E747"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286" w:type="dxa"/>
            <w:vMerge/>
            <w:noWrap/>
            <w:vAlign w:val="center"/>
          </w:tcPr>
          <w:p w14:paraId="06C34485"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152" w:type="dxa"/>
            <w:shd w:val="clear" w:color="auto" w:fill="B8CCE4" w:themeFill="accent1" w:themeFillTint="66"/>
            <w:noWrap/>
            <w:vAlign w:val="center"/>
          </w:tcPr>
          <w:p w14:paraId="0C285EDD" w14:textId="77777777" w:rsidR="00A90382" w:rsidRPr="00E02B5D" w:rsidRDefault="00A90382" w:rsidP="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885" w:type="dxa"/>
            <w:shd w:val="clear" w:color="auto" w:fill="B8CCE4" w:themeFill="accent1" w:themeFillTint="66"/>
            <w:vAlign w:val="center"/>
          </w:tcPr>
          <w:p w14:paraId="03CBFD26" w14:textId="77777777" w:rsidR="00A90382" w:rsidRPr="00E02B5D" w:rsidRDefault="00A90382" w:rsidP="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Lähtetase</w:t>
            </w:r>
          </w:p>
        </w:tc>
        <w:tc>
          <w:tcPr>
            <w:tcW w:w="1008" w:type="dxa"/>
            <w:shd w:val="clear" w:color="auto" w:fill="B8CCE4" w:themeFill="accent1" w:themeFillTint="66"/>
            <w:vAlign w:val="center"/>
          </w:tcPr>
          <w:p w14:paraId="43BB6037" w14:textId="77777777" w:rsidR="00A90382" w:rsidRPr="00E02B5D" w:rsidRDefault="00A90382" w:rsidP="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w:t>
            </w:r>
          </w:p>
        </w:tc>
        <w:tc>
          <w:tcPr>
            <w:tcW w:w="956" w:type="dxa"/>
            <w:shd w:val="clear" w:color="auto" w:fill="B8CCE4" w:themeFill="accent1" w:themeFillTint="66"/>
            <w:noWrap/>
            <w:vAlign w:val="center"/>
          </w:tcPr>
          <w:p w14:paraId="066706E0" w14:textId="77777777" w:rsidR="00A90382" w:rsidRPr="00E02B5D" w:rsidRDefault="00A90382" w:rsidP="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956" w:type="dxa"/>
            <w:shd w:val="clear" w:color="auto" w:fill="B8CCE4" w:themeFill="accent1" w:themeFillTint="66"/>
            <w:vAlign w:val="center"/>
          </w:tcPr>
          <w:p w14:paraId="397F6EF5" w14:textId="77777777" w:rsidR="00A90382" w:rsidRPr="00E02B5D" w:rsidRDefault="00A90382" w:rsidP="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2698" w:type="dxa"/>
            <w:vMerge/>
            <w:noWrap/>
          </w:tcPr>
          <w:p w14:paraId="68D06D97" w14:textId="77777777" w:rsidR="00A90382" w:rsidRPr="00E02B5D" w:rsidRDefault="00A90382" w:rsidP="00D16F13">
            <w:pPr>
              <w:spacing w:after="0" w:line="240" w:lineRule="auto"/>
              <w:rPr>
                <w:rFonts w:ascii="Times New Roman" w:eastAsia="Times New Roman" w:hAnsi="Times New Roman" w:cs="Times New Roman"/>
                <w:b/>
                <w:bCs/>
                <w:noProof/>
                <w:sz w:val="18"/>
                <w:szCs w:val="18"/>
                <w:lang w:val="en-GB" w:eastAsia="en-GB"/>
              </w:rPr>
            </w:pPr>
          </w:p>
        </w:tc>
      </w:tr>
      <w:tr w:rsidR="00A90382" w:rsidRPr="003B132A" w14:paraId="7415466F" w14:textId="77777777" w:rsidTr="003D2BB6">
        <w:trPr>
          <w:trHeight w:val="300"/>
        </w:trPr>
        <w:tc>
          <w:tcPr>
            <w:tcW w:w="1043" w:type="dxa"/>
            <w:shd w:val="clear" w:color="auto" w:fill="C6EFCE"/>
            <w:noWrap/>
          </w:tcPr>
          <w:p w14:paraId="3D927F51"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367</w:t>
            </w:r>
          </w:p>
        </w:tc>
        <w:tc>
          <w:tcPr>
            <w:tcW w:w="1952" w:type="dxa"/>
            <w:shd w:val="clear" w:color="auto" w:fill="C6EFCE"/>
            <w:noWrap/>
          </w:tcPr>
          <w:p w14:paraId="382B097D"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21–5.2. REPowerEU investeeringud – 16994_Energiatõhusus ja taastuvate energiaallikate edendamine oma tarbeks </w:t>
            </w:r>
          </w:p>
        </w:tc>
        <w:tc>
          <w:tcPr>
            <w:tcW w:w="1142" w:type="dxa"/>
            <w:shd w:val="clear" w:color="auto" w:fill="C6EFCE"/>
            <w:noWrap/>
          </w:tcPr>
          <w:p w14:paraId="6617C9B0"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Eesmärk</w:t>
            </w:r>
          </w:p>
        </w:tc>
        <w:tc>
          <w:tcPr>
            <w:tcW w:w="1234" w:type="dxa"/>
            <w:shd w:val="clear" w:color="auto" w:fill="C6EFCE"/>
            <w:noWrap/>
          </w:tcPr>
          <w:p w14:paraId="39A15781"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Toetusprogrammide käivitamine</w:t>
            </w:r>
          </w:p>
        </w:tc>
        <w:tc>
          <w:tcPr>
            <w:tcW w:w="1286" w:type="dxa"/>
            <w:shd w:val="clear" w:color="auto" w:fill="C6EFCE"/>
            <w:noWrap/>
          </w:tcPr>
          <w:p w14:paraId="7DA6BF49"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1152" w:type="dxa"/>
            <w:shd w:val="clear" w:color="auto" w:fill="C6EFCE"/>
            <w:noWrap/>
          </w:tcPr>
          <w:p w14:paraId="0105420B"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885" w:type="dxa"/>
            <w:shd w:val="clear" w:color="auto" w:fill="C6EFCE"/>
            <w:noWrap/>
          </w:tcPr>
          <w:p w14:paraId="41C3507A"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1008" w:type="dxa"/>
            <w:shd w:val="clear" w:color="auto" w:fill="C6EFCE"/>
            <w:noWrap/>
          </w:tcPr>
          <w:p w14:paraId="7CF31FCD"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956" w:type="dxa"/>
            <w:shd w:val="clear" w:color="auto" w:fill="C6EFCE"/>
            <w:noWrap/>
          </w:tcPr>
          <w:p w14:paraId="1617EBB8"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4. kv</w:t>
            </w:r>
          </w:p>
        </w:tc>
        <w:tc>
          <w:tcPr>
            <w:tcW w:w="956" w:type="dxa"/>
            <w:shd w:val="clear" w:color="auto" w:fill="C6EFCE"/>
            <w:noWrap/>
          </w:tcPr>
          <w:p w14:paraId="2EBAA938"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2023</w:t>
            </w:r>
          </w:p>
        </w:tc>
        <w:tc>
          <w:tcPr>
            <w:tcW w:w="2698" w:type="dxa"/>
            <w:shd w:val="clear" w:color="auto" w:fill="C6EFCE"/>
            <w:noWrap/>
          </w:tcPr>
          <w:p w14:paraId="49FA85BC"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Jõustub ministrite otsus, millega käivitatakse järgmised toetusprogrammid: </w:t>
            </w:r>
          </w:p>
          <w:p w14:paraId="2AE96693" w14:textId="77777777" w:rsidR="00A90382" w:rsidRPr="00E02B5D" w:rsidRDefault="00A90382" w:rsidP="00D16F13">
            <w:pPr>
              <w:spacing w:after="0" w:line="240" w:lineRule="auto"/>
              <w:rPr>
                <w:rFonts w:eastAsia="Times New Roman" w:cs="Calibri"/>
                <w:noProof/>
                <w:color w:val="006100"/>
                <w:sz w:val="18"/>
                <w:szCs w:val="18"/>
                <w:lang w:val="en-GB" w:eastAsia="en-GB"/>
              </w:rPr>
            </w:pPr>
          </w:p>
          <w:p w14:paraId="5710D0BF" w14:textId="77777777" w:rsidR="004B5A01" w:rsidRPr="00E02B5D" w:rsidRDefault="00A90382" w:rsidP="00DE1EE5">
            <w:pPr>
              <w:pStyle w:val="ListParagraph"/>
              <w:numPr>
                <w:ilvl w:val="0"/>
                <w:numId w:val="77"/>
              </w:numPr>
              <w:spacing w:after="0" w:line="240" w:lineRule="auto"/>
              <w:rPr>
                <w:rFonts w:eastAsia="Times New Roman" w:cs="Calibri"/>
                <w:noProof/>
                <w:color w:val="006100"/>
                <w:sz w:val="18"/>
                <w:szCs w:val="18"/>
              </w:rPr>
            </w:pPr>
            <w:r>
              <w:rPr>
                <w:noProof/>
                <w:color w:val="006100"/>
                <w:sz w:val="18"/>
              </w:rPr>
              <w:t>Elamute energiatõhusamaks renoveerimiseks, sealhulgas valikuprotsessi sisseseadmine tagamaks, et elamute primaarenergia tarbimine väheneb vähemalt 30 % võrreldes eluaseme esialgse jõudlusega kWh/m², ja energiaostuvõimetuid kodumajapidamisi toetatakse suurendatud toetuste protsendimäärana.</w:t>
            </w:r>
          </w:p>
          <w:p w14:paraId="3B2503D5" w14:textId="77777777" w:rsidR="00A90382" w:rsidRPr="00E02B5D" w:rsidRDefault="00A90382" w:rsidP="00DE1EE5">
            <w:pPr>
              <w:pStyle w:val="ListParagraph"/>
              <w:numPr>
                <w:ilvl w:val="0"/>
                <w:numId w:val="77"/>
              </w:numPr>
              <w:spacing w:after="0" w:line="240" w:lineRule="auto"/>
              <w:rPr>
                <w:rFonts w:eastAsia="Times New Roman" w:cs="Calibri"/>
                <w:noProof/>
                <w:color w:val="006100"/>
                <w:sz w:val="18"/>
                <w:szCs w:val="18"/>
              </w:rPr>
            </w:pPr>
            <w:r>
              <w:rPr>
                <w:noProof/>
                <w:color w:val="006100"/>
                <w:sz w:val="18"/>
              </w:rPr>
              <w:t xml:space="preserve">Avaliku sektori hoonete ja erasektori (mitteeluhooned) energiatõhusus, sealhulgas valikumenetluse sisseseadmine, et tagada abisaajate primaarenergia tarbimise vähenemine vähemalt 30 % võrreldes elaniku algse energiatõhususega, mis on arvutatud kWh/m². </w:t>
            </w:r>
          </w:p>
          <w:p w14:paraId="1610D10E" w14:textId="77777777" w:rsidR="00A90382" w:rsidRPr="00E02B5D" w:rsidRDefault="00A90382" w:rsidP="00DE1EE5">
            <w:pPr>
              <w:pStyle w:val="ListParagraph"/>
              <w:numPr>
                <w:ilvl w:val="0"/>
                <w:numId w:val="77"/>
              </w:numPr>
              <w:spacing w:after="0" w:line="240" w:lineRule="auto"/>
              <w:rPr>
                <w:rFonts w:eastAsia="Times New Roman" w:cs="Calibri"/>
                <w:noProof/>
                <w:color w:val="006100"/>
                <w:sz w:val="18"/>
                <w:szCs w:val="18"/>
              </w:rPr>
            </w:pPr>
            <w:r>
              <w:rPr>
                <w:noProof/>
                <w:color w:val="006100"/>
                <w:sz w:val="18"/>
              </w:rPr>
              <w:t xml:space="preserve"> Fotogalvaanilised süsteemid omatarbeks elamu- ja põllumajandussektoris.</w:t>
            </w:r>
          </w:p>
          <w:p w14:paraId="1E30D54A" w14:textId="36FBE04E" w:rsidR="00A90382" w:rsidRPr="00E02B5D" w:rsidRDefault="00A90382" w:rsidP="00DE1EE5">
            <w:pPr>
              <w:pStyle w:val="ListParagraph"/>
              <w:numPr>
                <w:ilvl w:val="0"/>
                <w:numId w:val="77"/>
              </w:numPr>
              <w:spacing w:after="0" w:line="240" w:lineRule="auto"/>
              <w:rPr>
                <w:rFonts w:eastAsia="Times New Roman" w:cs="Calibri"/>
                <w:noProof/>
                <w:color w:val="006100"/>
                <w:sz w:val="18"/>
                <w:szCs w:val="18"/>
              </w:rPr>
            </w:pPr>
            <w:r>
              <w:rPr>
                <w:noProof/>
                <w:color w:val="006100"/>
                <w:sz w:val="18"/>
              </w:rPr>
              <w:t xml:space="preserve">Kodumajapidamiste taastuvenergial põhinevad veeküttesüsteemid, et toetada taastuvate energiaallikate kasutuselevõttu eluhoonetes: </w:t>
            </w:r>
            <w:r>
              <w:rPr>
                <w:noProof/>
              </w:rPr>
              <w:t xml:space="preserve"> </w:t>
            </w:r>
            <w:r>
              <w:rPr>
                <w:noProof/>
                <w:color w:val="006100"/>
                <w:sz w:val="18"/>
              </w:rPr>
              <w:t>uute päikese-veesoojendite, soojuspumpade ja taastuvenergiasüsteemide paigaldamine, kasutades uut kaasaegset tehnoloogiat, või energiat tarbivate elektrikütteseadmete asendamine vana tehnoloogia abil uute päikese-veesoojendite, soojuspumpade ja taastuvenergiasüsteemidega, kasutades uut kaasaegset tehnoloogiat. Energiaostuvõimetuid kodumajapidamisi toetatakse suurema toetuse protsendimääraga (kohaldatakse üksnes päikese-veesoojendite suhtes).</w:t>
            </w:r>
          </w:p>
          <w:p w14:paraId="52732B22" w14:textId="77777777" w:rsidR="00A90382" w:rsidRPr="009C26FF" w:rsidRDefault="00A90382" w:rsidP="00DE1EE5">
            <w:pPr>
              <w:pStyle w:val="ListParagraph"/>
              <w:numPr>
                <w:ilvl w:val="0"/>
                <w:numId w:val="77"/>
              </w:numPr>
              <w:spacing w:after="0" w:line="240" w:lineRule="auto"/>
              <w:rPr>
                <w:rFonts w:eastAsia="Times New Roman" w:cs="Calibri"/>
                <w:noProof/>
                <w:color w:val="006100"/>
                <w:sz w:val="18"/>
                <w:szCs w:val="18"/>
              </w:rPr>
            </w:pPr>
            <w:r>
              <w:rPr>
                <w:noProof/>
                <w:color w:val="006100"/>
                <w:sz w:val="18"/>
              </w:rPr>
              <w:t>Energiatõhususe meetmete edendamine kohalikes vee- ja kanalisatsiooniettevõtetes, i) vähendades pumbajaamade ja pumbamootorite energiatarbimist; ning ii) viima läbi uuringuid nende ettevõtete energiatõhususe edasiseks parandamiseks võetavate meetmete optimaalseks rakendamiseks.</w:t>
            </w:r>
          </w:p>
          <w:p w14:paraId="274A9A7C" w14:textId="77777777" w:rsidR="002304DD" w:rsidRPr="00E02B5D" w:rsidRDefault="000415FA" w:rsidP="00DE1EE5">
            <w:pPr>
              <w:pStyle w:val="ListParagraph"/>
              <w:numPr>
                <w:ilvl w:val="0"/>
                <w:numId w:val="77"/>
              </w:numPr>
              <w:spacing w:after="0" w:line="240" w:lineRule="auto"/>
              <w:rPr>
                <w:rFonts w:eastAsia="Times New Roman" w:cs="Calibri"/>
                <w:noProof/>
                <w:color w:val="006100"/>
                <w:sz w:val="18"/>
                <w:szCs w:val="18"/>
              </w:rPr>
            </w:pPr>
            <w:r>
              <w:rPr>
                <w:noProof/>
                <w:color w:val="006100"/>
                <w:sz w:val="18"/>
              </w:rPr>
              <w:t>Toetus akusalvestussüsteemide paigaldamiseks ettevõtetele.</w:t>
            </w:r>
          </w:p>
        </w:tc>
      </w:tr>
      <w:tr w:rsidR="00A90382" w:rsidRPr="003B132A" w14:paraId="47825735" w14:textId="77777777" w:rsidTr="003D2BB6">
        <w:trPr>
          <w:trHeight w:val="300"/>
        </w:trPr>
        <w:tc>
          <w:tcPr>
            <w:tcW w:w="1043" w:type="dxa"/>
            <w:shd w:val="clear" w:color="auto" w:fill="C6EFCE"/>
            <w:noWrap/>
          </w:tcPr>
          <w:p w14:paraId="6F3C03C9"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368</w:t>
            </w:r>
          </w:p>
        </w:tc>
        <w:tc>
          <w:tcPr>
            <w:tcW w:w="1952" w:type="dxa"/>
            <w:shd w:val="clear" w:color="auto" w:fill="C6EFCE"/>
            <w:noWrap/>
          </w:tcPr>
          <w:p w14:paraId="6C6A32C6"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21–5.2. REPowerEU investeeringud – 16994_Energiatõhusus ja taastuvate energiaallikate edendamine oma tarbeks</w:t>
            </w:r>
          </w:p>
        </w:tc>
        <w:tc>
          <w:tcPr>
            <w:tcW w:w="1142" w:type="dxa"/>
            <w:shd w:val="clear" w:color="auto" w:fill="C6EFCE"/>
            <w:noWrap/>
          </w:tcPr>
          <w:p w14:paraId="412AC067" w14:textId="77777777" w:rsidR="00A90382" w:rsidRPr="00E02B5D" w:rsidRDefault="00A90382" w:rsidP="00D16F13">
            <w:pPr>
              <w:spacing w:after="0" w:line="240" w:lineRule="auto"/>
              <w:rPr>
                <w:rFonts w:eastAsia="Times New Roman" w:cs="Calibri"/>
                <w:noProof/>
                <w:color w:val="006100"/>
                <w:sz w:val="18"/>
                <w:szCs w:val="18"/>
                <w:highlight w:val="yellow"/>
              </w:rPr>
            </w:pPr>
            <w:r>
              <w:rPr>
                <w:noProof/>
                <w:color w:val="006100"/>
                <w:sz w:val="18"/>
              </w:rPr>
              <w:t xml:space="preserve"> Siht</w:t>
            </w:r>
          </w:p>
        </w:tc>
        <w:tc>
          <w:tcPr>
            <w:tcW w:w="1234" w:type="dxa"/>
            <w:shd w:val="clear" w:color="auto" w:fill="C6EFCE"/>
            <w:noWrap/>
          </w:tcPr>
          <w:p w14:paraId="20240D9B"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Omatarbeks mõeldud fotogalvaaniliste süsteemide toetusprogrammi lõpuleviimine</w:t>
            </w:r>
          </w:p>
        </w:tc>
        <w:tc>
          <w:tcPr>
            <w:tcW w:w="1286" w:type="dxa"/>
            <w:shd w:val="clear" w:color="auto" w:fill="C6EFCE"/>
            <w:noWrap/>
          </w:tcPr>
          <w:p w14:paraId="222AB326" w14:textId="77777777" w:rsidR="00A90382" w:rsidRPr="00AD4052" w:rsidRDefault="00A90382" w:rsidP="00D16F13">
            <w:pPr>
              <w:spacing w:after="0" w:line="240" w:lineRule="auto"/>
              <w:rPr>
                <w:rFonts w:eastAsia="Times New Roman" w:cs="Calibri"/>
                <w:noProof/>
                <w:color w:val="006100"/>
                <w:sz w:val="18"/>
                <w:szCs w:val="18"/>
                <w:lang w:eastAsia="en-GB"/>
              </w:rPr>
            </w:pPr>
          </w:p>
        </w:tc>
        <w:tc>
          <w:tcPr>
            <w:tcW w:w="1152" w:type="dxa"/>
            <w:shd w:val="clear" w:color="auto" w:fill="C6EFCE"/>
            <w:noWrap/>
          </w:tcPr>
          <w:p w14:paraId="5B27895A"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Paigaldatud fotoelektriliste süsteemide arv</w:t>
            </w:r>
          </w:p>
        </w:tc>
        <w:tc>
          <w:tcPr>
            <w:tcW w:w="885" w:type="dxa"/>
            <w:shd w:val="clear" w:color="auto" w:fill="C6EFCE"/>
            <w:noWrap/>
          </w:tcPr>
          <w:p w14:paraId="16CD25A7"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0</w:t>
            </w:r>
          </w:p>
        </w:tc>
        <w:tc>
          <w:tcPr>
            <w:tcW w:w="1008" w:type="dxa"/>
            <w:shd w:val="clear" w:color="auto" w:fill="C6EFCE"/>
            <w:noWrap/>
          </w:tcPr>
          <w:p w14:paraId="572A36FB"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11 580</w:t>
            </w:r>
          </w:p>
        </w:tc>
        <w:tc>
          <w:tcPr>
            <w:tcW w:w="956" w:type="dxa"/>
            <w:shd w:val="clear" w:color="auto" w:fill="C6EFCE"/>
            <w:noWrap/>
          </w:tcPr>
          <w:p w14:paraId="098C27AF"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3. kv</w:t>
            </w:r>
          </w:p>
        </w:tc>
        <w:tc>
          <w:tcPr>
            <w:tcW w:w="956" w:type="dxa"/>
            <w:shd w:val="clear" w:color="auto" w:fill="C6EFCE"/>
            <w:noWrap/>
          </w:tcPr>
          <w:p w14:paraId="60DB18A6"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2024</w:t>
            </w:r>
          </w:p>
        </w:tc>
        <w:tc>
          <w:tcPr>
            <w:tcW w:w="2698" w:type="dxa"/>
            <w:shd w:val="clear" w:color="auto" w:fill="C6EFCE"/>
            <w:noWrap/>
          </w:tcPr>
          <w:p w14:paraId="504D7B5C" w14:textId="77777777" w:rsidR="00A90382" w:rsidRPr="00E02B5D" w:rsidRDefault="00A90382" w:rsidP="00D16F13">
            <w:pPr>
              <w:spacing w:after="0" w:line="240" w:lineRule="auto"/>
              <w:rPr>
                <w:rFonts w:eastAsia="Times New Roman" w:cs="Calibri"/>
                <w:noProof/>
                <w:color w:val="006100"/>
                <w:sz w:val="18"/>
                <w:szCs w:val="18"/>
                <w:highlight w:val="yellow"/>
              </w:rPr>
            </w:pPr>
            <w:r>
              <w:rPr>
                <w:noProof/>
                <w:color w:val="006100"/>
                <w:sz w:val="18"/>
              </w:rPr>
              <w:t xml:space="preserve"> </w:t>
            </w:r>
            <w:r>
              <w:rPr>
                <w:noProof/>
              </w:rPr>
              <w:t xml:space="preserve"> </w:t>
            </w:r>
            <w:r>
              <w:rPr>
                <w:noProof/>
                <w:color w:val="006100"/>
                <w:sz w:val="18"/>
              </w:rPr>
              <w:t>Fotogalvaanilised süsteemid omatarbeks elamu- ja põllumajandussektoris: Paigaldatud on 11 580 fotoelektrilist süsteemi, millest 900 on mõeldud energiaostuvõimetutele majapidamistele ja 360 põllumajandustootjatele.</w:t>
            </w:r>
          </w:p>
        </w:tc>
      </w:tr>
      <w:tr w:rsidR="00A90382" w:rsidRPr="003B132A" w14:paraId="338F77B9" w14:textId="77777777" w:rsidTr="003D2BB6">
        <w:trPr>
          <w:trHeight w:val="300"/>
        </w:trPr>
        <w:tc>
          <w:tcPr>
            <w:tcW w:w="1043" w:type="dxa"/>
            <w:shd w:val="clear" w:color="auto" w:fill="C6EFCE"/>
            <w:noWrap/>
          </w:tcPr>
          <w:p w14:paraId="6E585D79"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369</w:t>
            </w:r>
          </w:p>
        </w:tc>
        <w:tc>
          <w:tcPr>
            <w:tcW w:w="1952" w:type="dxa"/>
            <w:shd w:val="clear" w:color="auto" w:fill="C6EFCE"/>
            <w:noWrap/>
          </w:tcPr>
          <w:p w14:paraId="4F06E743"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21–5.2. REPowerEU investeeringud – 16994_Energiatõhusus ja taastuvate energiaallikate edendamine oma tarbeks</w:t>
            </w:r>
          </w:p>
        </w:tc>
        <w:tc>
          <w:tcPr>
            <w:tcW w:w="1142" w:type="dxa"/>
            <w:shd w:val="clear" w:color="auto" w:fill="C6EFCE"/>
            <w:noWrap/>
          </w:tcPr>
          <w:p w14:paraId="56E2DC5D"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Siht</w:t>
            </w:r>
          </w:p>
        </w:tc>
        <w:tc>
          <w:tcPr>
            <w:tcW w:w="1234" w:type="dxa"/>
            <w:shd w:val="clear" w:color="auto" w:fill="C6EFCE"/>
            <w:noWrap/>
          </w:tcPr>
          <w:p w14:paraId="582CD29F" w14:textId="77D8F244" w:rsidR="00A90382" w:rsidRPr="00E02B5D" w:rsidRDefault="00A90382" w:rsidP="001938AA">
            <w:pPr>
              <w:spacing w:after="0" w:line="240" w:lineRule="auto"/>
              <w:rPr>
                <w:rFonts w:eastAsia="Times New Roman" w:cs="Calibri"/>
                <w:noProof/>
                <w:color w:val="006100"/>
                <w:sz w:val="18"/>
                <w:szCs w:val="18"/>
              </w:rPr>
            </w:pPr>
            <w:r>
              <w:rPr>
                <w:noProof/>
                <w:color w:val="006100"/>
                <w:sz w:val="18"/>
              </w:rPr>
              <w:t>Energiatõhusaks renoveerimiseks tehtavate allinvesteeringute, päikese-veesoojendite, soojuspumpade, munitsipaalvee- ja kanalisatsiooniettevõtete energiatõhususega seotud sekkumiste ning ettevõtete akusalvestussüsteemide lõpuleviimine.</w:t>
            </w:r>
          </w:p>
        </w:tc>
        <w:tc>
          <w:tcPr>
            <w:tcW w:w="1286" w:type="dxa"/>
            <w:shd w:val="clear" w:color="auto" w:fill="C6EFCE"/>
            <w:noWrap/>
          </w:tcPr>
          <w:p w14:paraId="4A98FABF" w14:textId="77777777" w:rsidR="00A90382" w:rsidRPr="00AD4052" w:rsidRDefault="00A90382" w:rsidP="00D16F13">
            <w:pPr>
              <w:spacing w:after="0" w:line="240" w:lineRule="auto"/>
              <w:rPr>
                <w:rFonts w:eastAsia="Times New Roman" w:cs="Calibri"/>
                <w:noProof/>
                <w:color w:val="006100"/>
                <w:sz w:val="18"/>
                <w:szCs w:val="18"/>
                <w:lang w:eastAsia="en-GB"/>
              </w:rPr>
            </w:pPr>
          </w:p>
        </w:tc>
        <w:tc>
          <w:tcPr>
            <w:tcW w:w="1152" w:type="dxa"/>
            <w:shd w:val="clear" w:color="auto" w:fill="C6EFCE"/>
            <w:noWrap/>
          </w:tcPr>
          <w:p w14:paraId="69D85B2F" w14:textId="58D3040D" w:rsidR="00A90382" w:rsidRPr="00E02B5D" w:rsidRDefault="00A90382" w:rsidP="00D16F13">
            <w:pPr>
              <w:spacing w:after="0" w:line="240" w:lineRule="auto"/>
              <w:rPr>
                <w:rFonts w:cs="Calibri"/>
                <w:noProof/>
                <w:color w:val="006100"/>
                <w:sz w:val="18"/>
                <w:szCs w:val="18"/>
              </w:rPr>
            </w:pPr>
            <w:r>
              <w:rPr>
                <w:noProof/>
                <w:color w:val="006100"/>
                <w:sz w:val="18"/>
              </w:rPr>
              <w:t xml:space="preserve">1a ja b, 2 ning </w:t>
            </w:r>
          </w:p>
          <w:p w14:paraId="2C2F0633" w14:textId="324F4F8C" w:rsidR="00A90382" w:rsidRDefault="00A90382" w:rsidP="00D16F13">
            <w:pPr>
              <w:spacing w:after="0" w:line="240" w:lineRule="auto"/>
              <w:rPr>
                <w:noProof/>
                <w:color w:val="006100"/>
                <w:sz w:val="18"/>
              </w:rPr>
            </w:pPr>
            <w:r>
              <w:rPr>
                <w:noProof/>
                <w:color w:val="006100"/>
                <w:sz w:val="18"/>
              </w:rPr>
              <w:t>3: Arv</w:t>
            </w:r>
          </w:p>
          <w:p w14:paraId="5978BEEC" w14:textId="6D0B7532" w:rsidR="00A21DAF" w:rsidRPr="00E02B5D" w:rsidRDefault="00A21DAF" w:rsidP="00D16F13">
            <w:pPr>
              <w:spacing w:after="0" w:line="240" w:lineRule="auto"/>
              <w:rPr>
                <w:rFonts w:cs="Calibri"/>
                <w:noProof/>
                <w:sz w:val="18"/>
                <w:szCs w:val="18"/>
              </w:rPr>
            </w:pPr>
            <w:r>
              <w:rPr>
                <w:noProof/>
                <w:color w:val="006100"/>
                <w:sz w:val="18"/>
              </w:rPr>
              <w:t>4. Paigaldatud akusalvesti võimsus (MW)</w:t>
            </w:r>
          </w:p>
        </w:tc>
        <w:tc>
          <w:tcPr>
            <w:tcW w:w="885" w:type="dxa"/>
            <w:shd w:val="clear" w:color="auto" w:fill="C6EFCE"/>
            <w:noWrap/>
          </w:tcPr>
          <w:p w14:paraId="084140A6"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0</w:t>
            </w:r>
          </w:p>
        </w:tc>
        <w:tc>
          <w:tcPr>
            <w:tcW w:w="1008" w:type="dxa"/>
            <w:shd w:val="clear" w:color="auto" w:fill="C6EFCE"/>
            <w:noWrap/>
          </w:tcPr>
          <w:p w14:paraId="4A59DCC6" w14:textId="6B9C01D6" w:rsidR="00A90382" w:rsidRDefault="00A90382" w:rsidP="00D16F13">
            <w:pPr>
              <w:spacing w:after="0" w:line="240" w:lineRule="auto"/>
              <w:rPr>
                <w:noProof/>
                <w:color w:val="006100"/>
                <w:sz w:val="18"/>
              </w:rPr>
            </w:pPr>
            <w:r>
              <w:rPr>
                <w:noProof/>
                <w:color w:val="006100"/>
                <w:sz w:val="18"/>
              </w:rPr>
              <w:t>1a. 11 500</w:t>
            </w:r>
          </w:p>
          <w:p w14:paraId="747761CE" w14:textId="5AFF668D" w:rsidR="006E429F" w:rsidRPr="00E02B5D" w:rsidRDefault="006E429F" w:rsidP="00D16F13">
            <w:pPr>
              <w:spacing w:after="0" w:line="240" w:lineRule="auto"/>
              <w:rPr>
                <w:rFonts w:eastAsia="Times New Roman" w:cs="Calibri"/>
                <w:noProof/>
                <w:color w:val="006100"/>
                <w:sz w:val="18"/>
                <w:szCs w:val="18"/>
              </w:rPr>
            </w:pPr>
            <w:r>
              <w:rPr>
                <w:noProof/>
                <w:color w:val="006100"/>
                <w:sz w:val="18"/>
              </w:rPr>
              <w:t>1b. 280</w:t>
            </w:r>
          </w:p>
          <w:p w14:paraId="22F01FC9" w14:textId="77777777" w:rsidR="00A90382" w:rsidRPr="00E02B5D" w:rsidRDefault="006A1F32" w:rsidP="00D16F13">
            <w:pPr>
              <w:spacing w:after="0" w:line="240" w:lineRule="auto"/>
              <w:rPr>
                <w:rFonts w:eastAsia="Times New Roman" w:cs="Calibri"/>
                <w:noProof/>
                <w:color w:val="006100"/>
                <w:sz w:val="18"/>
                <w:szCs w:val="18"/>
              </w:rPr>
            </w:pPr>
            <w:r>
              <w:rPr>
                <w:noProof/>
                <w:color w:val="006100"/>
                <w:sz w:val="18"/>
              </w:rPr>
              <w:t>2. 171 700</w:t>
            </w:r>
          </w:p>
          <w:p w14:paraId="710036E9" w14:textId="77777777" w:rsidR="006A1F32" w:rsidRDefault="006A1F32" w:rsidP="00D16F13">
            <w:pPr>
              <w:spacing w:after="0" w:line="240" w:lineRule="auto"/>
              <w:rPr>
                <w:noProof/>
                <w:color w:val="006100"/>
                <w:sz w:val="18"/>
              </w:rPr>
            </w:pPr>
            <w:r>
              <w:rPr>
                <w:noProof/>
                <w:color w:val="006100"/>
                <w:sz w:val="18"/>
              </w:rPr>
              <w:t>3. 15</w:t>
            </w:r>
          </w:p>
          <w:p w14:paraId="30478121" w14:textId="130E1A26" w:rsidR="00A21DAF" w:rsidRPr="00E02B5D" w:rsidRDefault="00A21DAF" w:rsidP="00D806C9">
            <w:pPr>
              <w:spacing w:after="0" w:line="240" w:lineRule="auto"/>
              <w:rPr>
                <w:rFonts w:eastAsia="Times New Roman" w:cs="Calibri"/>
                <w:noProof/>
                <w:color w:val="006100"/>
                <w:sz w:val="18"/>
                <w:szCs w:val="18"/>
              </w:rPr>
            </w:pPr>
            <w:r>
              <w:rPr>
                <w:noProof/>
                <w:color w:val="006100"/>
                <w:sz w:val="18"/>
              </w:rPr>
              <w:t>4. 333</w:t>
            </w:r>
          </w:p>
        </w:tc>
        <w:tc>
          <w:tcPr>
            <w:tcW w:w="956" w:type="dxa"/>
            <w:shd w:val="clear" w:color="auto" w:fill="C6EFCE"/>
            <w:noWrap/>
          </w:tcPr>
          <w:p w14:paraId="4231ABD3"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4. kv</w:t>
            </w:r>
          </w:p>
        </w:tc>
        <w:tc>
          <w:tcPr>
            <w:tcW w:w="956" w:type="dxa"/>
            <w:shd w:val="clear" w:color="auto" w:fill="C6EFCE"/>
            <w:noWrap/>
          </w:tcPr>
          <w:p w14:paraId="06999985"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2025</w:t>
            </w:r>
          </w:p>
        </w:tc>
        <w:tc>
          <w:tcPr>
            <w:tcW w:w="2698" w:type="dxa"/>
            <w:shd w:val="clear" w:color="auto" w:fill="C6EFCE"/>
            <w:noWrap/>
          </w:tcPr>
          <w:p w14:paraId="4DA32AF4" w14:textId="52694341" w:rsidR="00A90382" w:rsidRPr="00E02B5D" w:rsidRDefault="28E90C37" w:rsidP="00DE1EE5">
            <w:pPr>
              <w:pStyle w:val="ListParagraph"/>
              <w:numPr>
                <w:ilvl w:val="0"/>
                <w:numId w:val="78"/>
              </w:numPr>
              <w:spacing w:after="0" w:line="240" w:lineRule="auto"/>
              <w:rPr>
                <w:rFonts w:eastAsia="Times New Roman" w:cs="Calibri"/>
                <w:noProof/>
                <w:color w:val="006100"/>
                <w:sz w:val="18"/>
                <w:szCs w:val="18"/>
              </w:rPr>
            </w:pPr>
            <w:r>
              <w:rPr>
                <w:noProof/>
                <w:color w:val="006100"/>
                <w:sz w:val="18"/>
              </w:rPr>
              <w:t>a) Eluhoonete energiatõhusaks renoveerimine: Energiatõhususe parandamiseks tehtavate renoveerimistööde lõpuleviimine 11 500 elamus, millest vähemalt 2 300 on mõeldud energiaostuvõimetutele kodumajapidamistele, kusjuures primaarenergia sääst on keskmiselt vähemalt 30 %.</w:t>
            </w:r>
          </w:p>
          <w:p w14:paraId="07B3AFDB" w14:textId="77777777" w:rsidR="00A90382" w:rsidRPr="00E02B5D" w:rsidRDefault="28E90C37" w:rsidP="00D16F13">
            <w:pPr>
              <w:pStyle w:val="ListParagraph"/>
              <w:spacing w:after="0" w:line="240" w:lineRule="auto"/>
              <w:ind w:left="360"/>
              <w:rPr>
                <w:rFonts w:eastAsia="Times New Roman" w:cs="Calibri"/>
                <w:noProof/>
                <w:color w:val="006100"/>
                <w:sz w:val="18"/>
                <w:szCs w:val="18"/>
              </w:rPr>
            </w:pPr>
            <w:r>
              <w:rPr>
                <w:noProof/>
                <w:color w:val="006100"/>
                <w:sz w:val="18"/>
              </w:rPr>
              <w:t>b) avaliku ja erasektori mitteeluhoonete energiatõhusaks renoveerimine: Rekonstrueerimise lõpuleviimine 280 hoone energiatõhususe parandamiseks, mille puhul primaarenergia sääst on keskmiselt vähemalt 30 %.</w:t>
            </w:r>
          </w:p>
          <w:p w14:paraId="136E168A" w14:textId="3B0F69AF" w:rsidR="00A90382" w:rsidRPr="00E02B5D" w:rsidRDefault="00A90382" w:rsidP="00DE1EE5">
            <w:pPr>
              <w:pStyle w:val="ListParagraph"/>
              <w:numPr>
                <w:ilvl w:val="0"/>
                <w:numId w:val="78"/>
              </w:numPr>
              <w:spacing w:after="0" w:line="240" w:lineRule="auto"/>
              <w:rPr>
                <w:rFonts w:eastAsia="Times New Roman" w:cs="Calibri"/>
                <w:noProof/>
                <w:color w:val="006100"/>
                <w:sz w:val="18"/>
                <w:szCs w:val="18"/>
              </w:rPr>
            </w:pPr>
            <w:r>
              <w:rPr>
                <w:noProof/>
                <w:color w:val="006100"/>
                <w:sz w:val="18"/>
              </w:rPr>
              <w:t xml:space="preserve">Taastuvenergial põhinevad veeküttesüsteemid: Kodumajapidamistele on paigaldatud 171 700 päikeseveesoojendussüsteemi ja soojuspumpa, millest 34 000 on mõeldud energiaostuvõimetutele kodumajapidamistele. </w:t>
            </w:r>
          </w:p>
          <w:p w14:paraId="01636588" w14:textId="77777777" w:rsidR="00A90382" w:rsidRPr="00A21DAF" w:rsidRDefault="00A90382" w:rsidP="00DE1EE5">
            <w:pPr>
              <w:pStyle w:val="ListParagraph"/>
              <w:numPr>
                <w:ilvl w:val="0"/>
                <w:numId w:val="78"/>
              </w:numPr>
              <w:spacing w:after="0" w:line="240" w:lineRule="auto"/>
              <w:rPr>
                <w:rFonts w:eastAsia="Times New Roman" w:cs="Calibri"/>
                <w:noProof/>
                <w:color w:val="006100"/>
                <w:sz w:val="18"/>
                <w:szCs w:val="18"/>
              </w:rPr>
            </w:pPr>
            <w:r>
              <w:rPr>
                <w:noProof/>
                <w:color w:val="006100"/>
                <w:sz w:val="18"/>
              </w:rPr>
              <w:t>Energiatõhususe edendamine munitsipaalvee- ja kanalisatsiooniettevõtetes: Lõpule viidud energiatõhususega seotud sekkumised, mille tulemuseks on energiasääst vähemalt 15 kohaliku omavalitsuse vee- ja kanalisatsiooniettevõtja jaoks (DEYA).</w:t>
            </w:r>
          </w:p>
          <w:p w14:paraId="5D3ACB20" w14:textId="77777777" w:rsidR="00A21DAF" w:rsidRPr="00E02B5D" w:rsidRDefault="00A21DAF" w:rsidP="00DE1EE5">
            <w:pPr>
              <w:pStyle w:val="ListParagraph"/>
              <w:numPr>
                <w:ilvl w:val="0"/>
                <w:numId w:val="78"/>
              </w:numPr>
              <w:spacing w:after="0" w:line="240" w:lineRule="auto"/>
              <w:rPr>
                <w:rFonts w:eastAsia="Times New Roman" w:cs="Calibri"/>
                <w:noProof/>
                <w:color w:val="006100"/>
                <w:sz w:val="18"/>
                <w:szCs w:val="18"/>
              </w:rPr>
            </w:pPr>
            <w:r>
              <w:rPr>
                <w:noProof/>
                <w:color w:val="006100"/>
                <w:sz w:val="18"/>
              </w:rPr>
              <w:t>Akusalvestussüsteemide paigaldamine ettevõtetele koguvõimsusega 333 MW.</w:t>
            </w:r>
          </w:p>
        </w:tc>
      </w:tr>
    </w:tbl>
    <w:p w14:paraId="2CC7636C" w14:textId="77777777" w:rsidR="00A90382" w:rsidRPr="00E02B5D" w:rsidRDefault="00A90382" w:rsidP="00D16F13">
      <w:pPr>
        <w:keepNext/>
        <w:keepLines/>
        <w:spacing w:before="240" w:after="240" w:line="240" w:lineRule="auto"/>
        <w:jc w:val="both"/>
        <w:outlineLvl w:val="4"/>
        <w:rPr>
          <w:rFonts w:ascii="Cambria" w:eastAsia="Times New Roman" w:hAnsi="Cambria"/>
          <w:noProof/>
          <w:color w:val="365F91"/>
          <w:sz w:val="24"/>
          <w:szCs w:val="24"/>
        </w:rPr>
      </w:pPr>
      <w:r>
        <w:rPr>
          <w:rFonts w:ascii="Cambria" w:hAnsi="Cambria"/>
          <w:noProof/>
          <w:color w:val="365F91" w:themeColor="accent1" w:themeShade="BF"/>
          <w:sz w:val="24"/>
        </w:rPr>
        <w:t>Investeering 3: Biometaani ja taastuvallikatest toodetud vesiniku katseprojektid (meetme ID: 16995)</w:t>
      </w:r>
    </w:p>
    <w:tbl>
      <w:tblPr>
        <w:tblW w:w="14341" w:type="dxa"/>
        <w:tblInd w:w="113" w:type="dxa"/>
        <w:tblLook w:val="04A0" w:firstRow="1" w:lastRow="0" w:firstColumn="1" w:lastColumn="0" w:noHBand="0" w:noVBand="1"/>
      </w:tblPr>
      <w:tblGrid>
        <w:gridCol w:w="1567"/>
        <w:gridCol w:w="1645"/>
        <w:gridCol w:w="1034"/>
        <w:gridCol w:w="1333"/>
        <w:gridCol w:w="1462"/>
        <w:gridCol w:w="1138"/>
        <w:gridCol w:w="915"/>
        <w:gridCol w:w="859"/>
        <w:gridCol w:w="874"/>
        <w:gridCol w:w="686"/>
        <w:gridCol w:w="2935"/>
      </w:tblGrid>
      <w:tr w:rsidR="00A90382" w:rsidRPr="003B132A" w14:paraId="40031EDA" w14:textId="77777777" w:rsidTr="00A7409F">
        <w:trPr>
          <w:trHeight w:val="927"/>
          <w:tblHeader/>
        </w:trPr>
        <w:tc>
          <w:tcPr>
            <w:tcW w:w="11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3DF74E"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4559B4"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8F3DAA"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3D4C32"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A0DECC"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284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19020A2"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642" w:type="dxa"/>
            <w:gridSpan w:val="2"/>
            <w:tcBorders>
              <w:top w:val="single" w:sz="4" w:space="0" w:color="auto"/>
              <w:left w:val="nil"/>
              <w:bottom w:val="single" w:sz="4" w:space="0" w:color="auto"/>
              <w:right w:val="single" w:sz="4" w:space="0" w:color="auto"/>
            </w:tcBorders>
            <w:shd w:val="clear" w:color="auto" w:fill="BDD7EE"/>
            <w:vAlign w:val="center"/>
            <w:hideMark/>
          </w:tcPr>
          <w:p w14:paraId="4140CFAD"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31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6BFE2E"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A90382" w:rsidRPr="00E02B5D" w14:paraId="20118C91" w14:textId="77777777" w:rsidTr="00A7409F">
        <w:trPr>
          <w:trHeight w:val="1013"/>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52C359A6"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2B5327F2"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3030454F"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46DFABBC"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0DCC2271" w14:textId="77777777" w:rsidR="00A90382" w:rsidRPr="00AD4052" w:rsidRDefault="00A90382" w:rsidP="00D16F13">
            <w:pPr>
              <w:spacing w:after="0" w:line="240" w:lineRule="auto"/>
              <w:rPr>
                <w:rFonts w:ascii="Times New Roman" w:eastAsia="Times New Roman" w:hAnsi="Times New Roman" w:cs="Times New Roman"/>
                <w:b/>
                <w:bCs/>
                <w:noProof/>
                <w:sz w:val="18"/>
                <w:szCs w:val="18"/>
                <w:lang w:eastAsia="en-GB"/>
              </w:rPr>
            </w:pPr>
          </w:p>
        </w:tc>
        <w:tc>
          <w:tcPr>
            <w:tcW w:w="120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B52060A"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Mõõtühik</w:t>
            </w:r>
          </w:p>
        </w:tc>
        <w:tc>
          <w:tcPr>
            <w:tcW w:w="92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4BEA84A"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Lähtetase </w:t>
            </w:r>
          </w:p>
        </w:tc>
        <w:tc>
          <w:tcPr>
            <w:tcW w:w="71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14B060F"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Eesmärk </w:t>
            </w:r>
          </w:p>
        </w:tc>
        <w:tc>
          <w:tcPr>
            <w:tcW w:w="92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6344BDD"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Kvartal</w:t>
            </w:r>
          </w:p>
        </w:tc>
        <w:tc>
          <w:tcPr>
            <w:tcW w:w="7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F4F0BAA" w14:textId="77777777" w:rsidR="00A90382" w:rsidRPr="00E02B5D" w:rsidRDefault="00A90382" w:rsidP="00D16F13">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Aasta</w:t>
            </w:r>
          </w:p>
        </w:tc>
        <w:tc>
          <w:tcPr>
            <w:tcW w:w="3133" w:type="dxa"/>
            <w:vMerge/>
            <w:tcBorders>
              <w:top w:val="single" w:sz="4" w:space="0" w:color="auto"/>
              <w:left w:val="single" w:sz="4" w:space="0" w:color="auto"/>
              <w:bottom w:val="single" w:sz="4" w:space="0" w:color="auto"/>
              <w:right w:val="single" w:sz="4" w:space="0" w:color="auto"/>
            </w:tcBorders>
            <w:vAlign w:val="center"/>
            <w:hideMark/>
          </w:tcPr>
          <w:p w14:paraId="467F634E" w14:textId="77777777" w:rsidR="00A90382" w:rsidRPr="00E02B5D" w:rsidRDefault="00A90382" w:rsidP="00D16F13">
            <w:pPr>
              <w:spacing w:after="0" w:line="240" w:lineRule="auto"/>
              <w:rPr>
                <w:rFonts w:ascii="Times New Roman" w:eastAsia="Times New Roman" w:hAnsi="Times New Roman" w:cs="Times New Roman"/>
                <w:b/>
                <w:bCs/>
                <w:noProof/>
                <w:sz w:val="18"/>
                <w:szCs w:val="18"/>
                <w:lang w:val="en-GB" w:eastAsia="en-GB"/>
              </w:rPr>
            </w:pPr>
          </w:p>
        </w:tc>
      </w:tr>
      <w:tr w:rsidR="00A90382" w:rsidRPr="003B132A" w14:paraId="16C7C52A" w14:textId="77777777" w:rsidTr="00A7409F">
        <w:tc>
          <w:tcPr>
            <w:tcW w:w="1120" w:type="dxa"/>
            <w:tcBorders>
              <w:top w:val="single" w:sz="4" w:space="0" w:color="auto"/>
              <w:left w:val="single" w:sz="4" w:space="0" w:color="auto"/>
              <w:bottom w:val="single" w:sz="4" w:space="0" w:color="auto"/>
              <w:right w:val="single" w:sz="4" w:space="0" w:color="auto"/>
            </w:tcBorders>
            <w:shd w:val="clear" w:color="auto" w:fill="C6EFCE"/>
            <w:noWrap/>
          </w:tcPr>
          <w:p w14:paraId="5C4A595C"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370</w:t>
            </w:r>
          </w:p>
        </w:tc>
        <w:tc>
          <w:tcPr>
            <w:tcW w:w="1749" w:type="dxa"/>
            <w:tcBorders>
              <w:top w:val="single" w:sz="4" w:space="0" w:color="auto"/>
              <w:left w:val="nil"/>
              <w:bottom w:val="single" w:sz="4" w:space="0" w:color="auto"/>
              <w:right w:val="single" w:sz="4" w:space="0" w:color="auto"/>
            </w:tcBorders>
            <w:shd w:val="clear" w:color="auto" w:fill="C6EFCE"/>
            <w:noWrap/>
          </w:tcPr>
          <w:p w14:paraId="2B531197" w14:textId="77777777" w:rsidR="00A90382" w:rsidRPr="00E02B5D" w:rsidRDefault="00A90382" w:rsidP="00D16F13">
            <w:pPr>
              <w:spacing w:after="0" w:line="240" w:lineRule="auto"/>
              <w:rPr>
                <w:rFonts w:ascii="Times New Roman" w:hAnsi="Times New Roman" w:cs="Times New Roman"/>
                <w:noProof/>
                <w:sz w:val="24"/>
                <w:szCs w:val="24"/>
              </w:rPr>
            </w:pPr>
            <w:r>
              <w:rPr>
                <w:noProof/>
                <w:color w:val="006100"/>
                <w:sz w:val="18"/>
              </w:rPr>
              <w:t>21–5.2. REPowerEU investeeringud – 16995_Biometaani ja taastuvallikatest toodetud vesiniku tootmise katseprojektid</w:t>
            </w:r>
          </w:p>
        </w:tc>
        <w:tc>
          <w:tcPr>
            <w:tcW w:w="1094" w:type="dxa"/>
            <w:tcBorders>
              <w:top w:val="single" w:sz="4" w:space="0" w:color="auto"/>
              <w:left w:val="nil"/>
              <w:bottom w:val="single" w:sz="4" w:space="0" w:color="auto"/>
              <w:right w:val="single" w:sz="4" w:space="0" w:color="auto"/>
            </w:tcBorders>
            <w:shd w:val="clear" w:color="auto" w:fill="C6EFCE"/>
            <w:noWrap/>
          </w:tcPr>
          <w:p w14:paraId="2CD6884D"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Eesmärk</w:t>
            </w:r>
          </w:p>
        </w:tc>
        <w:tc>
          <w:tcPr>
            <w:tcW w:w="1205" w:type="dxa"/>
            <w:tcBorders>
              <w:top w:val="single" w:sz="4" w:space="0" w:color="auto"/>
              <w:left w:val="nil"/>
              <w:bottom w:val="single" w:sz="4" w:space="0" w:color="auto"/>
              <w:right w:val="single" w:sz="4" w:space="0" w:color="auto"/>
            </w:tcBorders>
            <w:shd w:val="clear" w:color="auto" w:fill="C6EFCE"/>
            <w:noWrap/>
          </w:tcPr>
          <w:p w14:paraId="3D37BF86"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Projektide edukaks tunnistamise lepingu(te) allkirjastamine </w:t>
            </w:r>
          </w:p>
        </w:tc>
        <w:tc>
          <w:tcPr>
            <w:tcW w:w="1553" w:type="dxa"/>
            <w:tcBorders>
              <w:top w:val="single" w:sz="4" w:space="0" w:color="auto"/>
              <w:left w:val="nil"/>
              <w:bottom w:val="single" w:sz="4" w:space="0" w:color="auto"/>
              <w:right w:val="single" w:sz="4" w:space="0" w:color="auto"/>
            </w:tcBorders>
            <w:shd w:val="clear" w:color="auto" w:fill="C6EFCE"/>
            <w:noWrap/>
          </w:tcPr>
          <w:p w14:paraId="1EBB5172"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Leping(ud) on allkirjastatud.</w:t>
            </w:r>
          </w:p>
        </w:tc>
        <w:tc>
          <w:tcPr>
            <w:tcW w:w="1205" w:type="dxa"/>
            <w:tcBorders>
              <w:top w:val="single" w:sz="4" w:space="0" w:color="auto"/>
              <w:left w:val="nil"/>
              <w:bottom w:val="single" w:sz="4" w:space="0" w:color="auto"/>
              <w:right w:val="single" w:sz="4" w:space="0" w:color="auto"/>
            </w:tcBorders>
            <w:shd w:val="clear" w:color="auto" w:fill="C6EFCE"/>
            <w:noWrap/>
          </w:tcPr>
          <w:p w14:paraId="13304D1F"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927" w:type="dxa"/>
            <w:tcBorders>
              <w:top w:val="single" w:sz="4" w:space="0" w:color="auto"/>
              <w:left w:val="nil"/>
              <w:bottom w:val="single" w:sz="4" w:space="0" w:color="auto"/>
              <w:right w:val="single" w:sz="4" w:space="0" w:color="auto"/>
            </w:tcBorders>
            <w:shd w:val="clear" w:color="auto" w:fill="C6EFCE"/>
            <w:noWrap/>
          </w:tcPr>
          <w:p w14:paraId="3F0B5569"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713" w:type="dxa"/>
            <w:tcBorders>
              <w:top w:val="single" w:sz="4" w:space="0" w:color="auto"/>
              <w:left w:val="nil"/>
              <w:bottom w:val="single" w:sz="4" w:space="0" w:color="auto"/>
              <w:right w:val="single" w:sz="4" w:space="0" w:color="auto"/>
            </w:tcBorders>
            <w:shd w:val="clear" w:color="auto" w:fill="C6EFCE"/>
            <w:noWrap/>
          </w:tcPr>
          <w:p w14:paraId="30D86AFF" w14:textId="77777777" w:rsidR="00A90382" w:rsidRPr="00E02B5D" w:rsidRDefault="00A90382" w:rsidP="00D16F13">
            <w:pPr>
              <w:spacing w:after="0" w:line="240" w:lineRule="auto"/>
              <w:rPr>
                <w:rFonts w:eastAsia="Times New Roman" w:cs="Calibri"/>
                <w:noProof/>
                <w:color w:val="006100"/>
                <w:sz w:val="18"/>
                <w:szCs w:val="18"/>
                <w:lang w:val="en-GB" w:eastAsia="en-GB"/>
              </w:rPr>
            </w:pPr>
          </w:p>
        </w:tc>
        <w:tc>
          <w:tcPr>
            <w:tcW w:w="922" w:type="dxa"/>
            <w:tcBorders>
              <w:top w:val="single" w:sz="4" w:space="0" w:color="auto"/>
              <w:left w:val="nil"/>
              <w:bottom w:val="single" w:sz="4" w:space="0" w:color="auto"/>
              <w:right w:val="single" w:sz="4" w:space="0" w:color="auto"/>
            </w:tcBorders>
            <w:shd w:val="clear" w:color="auto" w:fill="C6EFCE"/>
            <w:noWrap/>
          </w:tcPr>
          <w:p w14:paraId="798D87E8"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3. kv</w:t>
            </w:r>
          </w:p>
        </w:tc>
        <w:tc>
          <w:tcPr>
            <w:tcW w:w="720" w:type="dxa"/>
            <w:tcBorders>
              <w:top w:val="single" w:sz="4" w:space="0" w:color="auto"/>
              <w:left w:val="nil"/>
              <w:bottom w:val="single" w:sz="4" w:space="0" w:color="auto"/>
              <w:right w:val="single" w:sz="4" w:space="0" w:color="auto"/>
            </w:tcBorders>
            <w:shd w:val="clear" w:color="auto" w:fill="C6EFCE"/>
            <w:noWrap/>
          </w:tcPr>
          <w:p w14:paraId="45A3D63A"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2024</w:t>
            </w:r>
          </w:p>
        </w:tc>
        <w:tc>
          <w:tcPr>
            <w:tcW w:w="3133" w:type="dxa"/>
            <w:tcBorders>
              <w:top w:val="single" w:sz="4" w:space="0" w:color="auto"/>
              <w:left w:val="nil"/>
              <w:bottom w:val="single" w:sz="4" w:space="0" w:color="auto"/>
              <w:right w:val="single" w:sz="4" w:space="0" w:color="auto"/>
            </w:tcBorders>
            <w:shd w:val="clear" w:color="auto" w:fill="C6EFCE"/>
            <w:noWrap/>
          </w:tcPr>
          <w:p w14:paraId="395E4E28"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Lepingu(te) allkirjastamine selliste projektide väljavalimiseks, mida toetatakse vähemalt 45 MW ulatuses uue paigaldatud taastuvallikatest toodetud vesiniku ja/või taastuvatest energiaallikatest toodetud gaaside tootmisvõimsuse jaoks. Säästva biometaani puhul toetatakse investeeringuga kas uute biogaasitootmisjaamade ehitamist ja/või olemasolevate biogaasitehaste ümberkujundamist biometaani tootmiseks ja/või toodetud biometaani veeldamist, kokkusurumist ja ladustamist. </w:t>
            </w:r>
          </w:p>
          <w:p w14:paraId="71E91B43"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Taastuvallikatest toodetud vesiniku tootmise puhul toetatakse investeeringuga ühte järgmistest meetmetest: taastuvallikatest toodetud vesiniku tootmiseks vajalike seadmete paigaldamine, näiteks elektrolüüsiseadmete paigaldamine, mõõte- ja seireseadmete paigaldamine, ajutine ladustamine või taastuvenergiajaamade paigaldamine koos vesinikutootmisrajatistega, mis on ette nähtud ja asuvad samas piirkonnas. </w:t>
            </w:r>
            <w:r>
              <w:rPr>
                <w:noProof/>
              </w:rPr>
              <w:t xml:space="preserve"> </w:t>
            </w:r>
            <w:r>
              <w:rPr>
                <w:noProof/>
              </w:rPr>
              <w:br/>
            </w:r>
          </w:p>
        </w:tc>
      </w:tr>
      <w:tr w:rsidR="00A90382" w:rsidRPr="003B132A" w14:paraId="76359598" w14:textId="77777777" w:rsidTr="00A7409F">
        <w:tc>
          <w:tcPr>
            <w:tcW w:w="1120" w:type="dxa"/>
            <w:tcBorders>
              <w:top w:val="nil"/>
              <w:left w:val="single" w:sz="4" w:space="0" w:color="auto"/>
              <w:bottom w:val="single" w:sz="4" w:space="0" w:color="auto"/>
              <w:right w:val="single" w:sz="4" w:space="0" w:color="auto"/>
            </w:tcBorders>
            <w:shd w:val="clear" w:color="auto" w:fill="C6EFCE"/>
            <w:noWrap/>
          </w:tcPr>
          <w:p w14:paraId="08E39E6C"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371</w:t>
            </w:r>
          </w:p>
        </w:tc>
        <w:tc>
          <w:tcPr>
            <w:tcW w:w="1749" w:type="dxa"/>
            <w:tcBorders>
              <w:top w:val="nil"/>
              <w:left w:val="nil"/>
              <w:bottom w:val="single" w:sz="4" w:space="0" w:color="auto"/>
              <w:right w:val="single" w:sz="4" w:space="0" w:color="auto"/>
            </w:tcBorders>
            <w:shd w:val="clear" w:color="auto" w:fill="C6EFCE"/>
            <w:noWrap/>
          </w:tcPr>
          <w:p w14:paraId="1F4157A0"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21–5.2. REPowerEU investeeringud – 16995_Biometaani ja taastuvallikatest toodetud vesiniku tootmise katseprojektid</w:t>
            </w:r>
          </w:p>
        </w:tc>
        <w:tc>
          <w:tcPr>
            <w:tcW w:w="1094" w:type="dxa"/>
            <w:tcBorders>
              <w:top w:val="nil"/>
              <w:left w:val="nil"/>
              <w:bottom w:val="single" w:sz="4" w:space="0" w:color="auto"/>
              <w:right w:val="single" w:sz="4" w:space="0" w:color="auto"/>
            </w:tcBorders>
            <w:shd w:val="clear" w:color="auto" w:fill="C6EFCE"/>
            <w:noWrap/>
          </w:tcPr>
          <w:p w14:paraId="28CB460E"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Siht</w:t>
            </w:r>
          </w:p>
        </w:tc>
        <w:tc>
          <w:tcPr>
            <w:tcW w:w="1205" w:type="dxa"/>
            <w:tcBorders>
              <w:top w:val="nil"/>
              <w:left w:val="nil"/>
              <w:bottom w:val="single" w:sz="4" w:space="0" w:color="auto"/>
              <w:right w:val="single" w:sz="4" w:space="0" w:color="auto"/>
            </w:tcBorders>
            <w:shd w:val="clear" w:color="auto" w:fill="C6EFCE"/>
            <w:noWrap/>
          </w:tcPr>
          <w:p w14:paraId="194B5204"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Täiendav taastuvallikatest toodetud vesiniku ja taastuvallikatest toodetud gaasi tootmisvõimsus</w:t>
            </w:r>
          </w:p>
        </w:tc>
        <w:tc>
          <w:tcPr>
            <w:tcW w:w="1553" w:type="dxa"/>
            <w:tcBorders>
              <w:top w:val="nil"/>
              <w:left w:val="nil"/>
              <w:bottom w:val="single" w:sz="4" w:space="0" w:color="auto"/>
              <w:right w:val="single" w:sz="4" w:space="0" w:color="auto"/>
            </w:tcBorders>
            <w:shd w:val="clear" w:color="auto" w:fill="C6EFCE"/>
            <w:noWrap/>
          </w:tcPr>
          <w:p w14:paraId="79962F81" w14:textId="77777777" w:rsidR="00A90382" w:rsidRPr="00AD4052" w:rsidRDefault="00A90382" w:rsidP="00D16F13">
            <w:pPr>
              <w:spacing w:after="0" w:line="240" w:lineRule="auto"/>
              <w:rPr>
                <w:rFonts w:eastAsia="Times New Roman" w:cs="Calibri"/>
                <w:noProof/>
                <w:color w:val="006100"/>
                <w:sz w:val="18"/>
                <w:szCs w:val="18"/>
                <w:lang w:eastAsia="en-GB"/>
              </w:rPr>
            </w:pPr>
          </w:p>
        </w:tc>
        <w:tc>
          <w:tcPr>
            <w:tcW w:w="1205" w:type="dxa"/>
            <w:tcBorders>
              <w:top w:val="nil"/>
              <w:left w:val="nil"/>
              <w:bottom w:val="single" w:sz="4" w:space="0" w:color="auto"/>
              <w:right w:val="single" w:sz="4" w:space="0" w:color="auto"/>
            </w:tcBorders>
            <w:shd w:val="clear" w:color="auto" w:fill="C6EFCE"/>
            <w:noWrap/>
          </w:tcPr>
          <w:p w14:paraId="11A94FB8"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MW</w:t>
            </w:r>
          </w:p>
        </w:tc>
        <w:tc>
          <w:tcPr>
            <w:tcW w:w="927" w:type="dxa"/>
            <w:tcBorders>
              <w:top w:val="nil"/>
              <w:left w:val="nil"/>
              <w:bottom w:val="single" w:sz="4" w:space="0" w:color="auto"/>
              <w:right w:val="single" w:sz="4" w:space="0" w:color="auto"/>
            </w:tcBorders>
            <w:shd w:val="clear" w:color="auto" w:fill="C6EFCE"/>
            <w:noWrap/>
          </w:tcPr>
          <w:p w14:paraId="2763F008"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0</w:t>
            </w:r>
          </w:p>
        </w:tc>
        <w:tc>
          <w:tcPr>
            <w:tcW w:w="713" w:type="dxa"/>
            <w:tcBorders>
              <w:top w:val="nil"/>
              <w:left w:val="nil"/>
              <w:bottom w:val="single" w:sz="4" w:space="0" w:color="auto"/>
              <w:right w:val="single" w:sz="4" w:space="0" w:color="auto"/>
            </w:tcBorders>
            <w:shd w:val="clear" w:color="auto" w:fill="C6EFCE"/>
            <w:noWrap/>
          </w:tcPr>
          <w:p w14:paraId="3FFC207F"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45</w:t>
            </w:r>
          </w:p>
        </w:tc>
        <w:tc>
          <w:tcPr>
            <w:tcW w:w="922" w:type="dxa"/>
            <w:tcBorders>
              <w:top w:val="nil"/>
              <w:left w:val="nil"/>
              <w:bottom w:val="single" w:sz="4" w:space="0" w:color="auto"/>
              <w:right w:val="single" w:sz="4" w:space="0" w:color="auto"/>
            </w:tcBorders>
            <w:shd w:val="clear" w:color="auto" w:fill="C6EFCE"/>
            <w:noWrap/>
          </w:tcPr>
          <w:p w14:paraId="46778DD0"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4. kv </w:t>
            </w:r>
          </w:p>
        </w:tc>
        <w:tc>
          <w:tcPr>
            <w:tcW w:w="720" w:type="dxa"/>
            <w:tcBorders>
              <w:top w:val="nil"/>
              <w:left w:val="nil"/>
              <w:bottom w:val="single" w:sz="4" w:space="0" w:color="auto"/>
              <w:right w:val="single" w:sz="4" w:space="0" w:color="auto"/>
            </w:tcBorders>
            <w:shd w:val="clear" w:color="auto" w:fill="C6EFCE"/>
            <w:noWrap/>
          </w:tcPr>
          <w:p w14:paraId="7388510E"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2025</w:t>
            </w:r>
          </w:p>
        </w:tc>
        <w:tc>
          <w:tcPr>
            <w:tcW w:w="3133" w:type="dxa"/>
            <w:tcBorders>
              <w:top w:val="nil"/>
              <w:left w:val="nil"/>
              <w:bottom w:val="single" w:sz="4" w:space="0" w:color="auto"/>
              <w:right w:val="single" w:sz="4" w:space="0" w:color="auto"/>
            </w:tcBorders>
            <w:shd w:val="clear" w:color="auto" w:fill="C6EFCE"/>
            <w:noWrap/>
          </w:tcPr>
          <w:p w14:paraId="4F9A86E3"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Paigaldatud täiendav taastuvallikatest toodetud vesiniku ja/või taastuvallikatest toodetud gaaside tootmisvõimsus.  </w:t>
            </w:r>
          </w:p>
        </w:tc>
      </w:tr>
    </w:tbl>
    <w:p w14:paraId="00B8CDFA" w14:textId="77777777" w:rsidR="00A90382" w:rsidRPr="00E02B5D" w:rsidRDefault="00A90382" w:rsidP="00D16F13">
      <w:pPr>
        <w:keepNext/>
        <w:keepLines/>
        <w:spacing w:before="240" w:after="240" w:line="240" w:lineRule="auto"/>
        <w:jc w:val="both"/>
        <w:outlineLvl w:val="4"/>
        <w:rPr>
          <w:rFonts w:ascii="Cambria" w:eastAsia="Times New Roman" w:hAnsi="Cambria"/>
          <w:noProof/>
          <w:color w:val="365F91"/>
          <w:sz w:val="24"/>
          <w:szCs w:val="24"/>
        </w:rPr>
      </w:pPr>
      <w:r>
        <w:rPr>
          <w:rFonts w:ascii="Cambria" w:hAnsi="Cambria"/>
          <w:noProof/>
          <w:color w:val="365F91" w:themeColor="accent1" w:themeShade="BF"/>
          <w:sz w:val="24"/>
        </w:rPr>
        <w:t>Investeering 4: Süsinikdioksiidi kogumise ja säilitamise tehnoloogiate edendamine tööstuse CO</w:t>
      </w:r>
      <w:r>
        <w:rPr>
          <w:rFonts w:ascii="Cambria" w:hAnsi="Cambria"/>
          <w:noProof/>
          <w:color w:val="365F91" w:themeColor="accent1" w:themeShade="BF"/>
          <w:sz w:val="24"/>
          <w:vertAlign w:val="subscript"/>
        </w:rPr>
        <w:t>2</w:t>
      </w:r>
      <w:r>
        <w:rPr>
          <w:rFonts w:ascii="Cambria" w:hAnsi="Cambria"/>
          <w:noProof/>
          <w:color w:val="365F91" w:themeColor="accent1" w:themeShade="BF"/>
          <w:sz w:val="24"/>
        </w:rPr>
        <w:t xml:space="preserve"> heite vähendamiseks (meetme ID: 16997)</w:t>
      </w:r>
    </w:p>
    <w:tbl>
      <w:tblPr>
        <w:tblW w:w="15333" w:type="dxa"/>
        <w:tblInd w:w="113" w:type="dxa"/>
        <w:tblLook w:val="04A0" w:firstRow="1" w:lastRow="0" w:firstColumn="1" w:lastColumn="0" w:noHBand="0" w:noVBand="1"/>
      </w:tblPr>
      <w:tblGrid>
        <w:gridCol w:w="1666"/>
        <w:gridCol w:w="1871"/>
        <w:gridCol w:w="1094"/>
        <w:gridCol w:w="1785"/>
        <w:gridCol w:w="1553"/>
        <w:gridCol w:w="1156"/>
        <w:gridCol w:w="976"/>
        <w:gridCol w:w="906"/>
        <w:gridCol w:w="846"/>
        <w:gridCol w:w="76"/>
        <w:gridCol w:w="720"/>
        <w:gridCol w:w="2684"/>
      </w:tblGrid>
      <w:tr w:rsidR="00EF74AB" w:rsidRPr="003B132A" w14:paraId="7A17A0D1" w14:textId="77777777" w:rsidTr="005D5392">
        <w:trPr>
          <w:trHeight w:val="465"/>
          <w:tblHeader/>
        </w:trPr>
        <w:tc>
          <w:tcPr>
            <w:tcW w:w="1666" w:type="dxa"/>
            <w:vMerge w:val="restart"/>
            <w:tcBorders>
              <w:top w:val="single" w:sz="4" w:space="0" w:color="auto"/>
              <w:left w:val="single" w:sz="4" w:space="0" w:color="auto"/>
              <w:right w:val="single" w:sz="4" w:space="0" w:color="auto"/>
            </w:tcBorders>
            <w:shd w:val="clear" w:color="auto" w:fill="BDD7EE"/>
            <w:vAlign w:val="center"/>
            <w:hideMark/>
          </w:tcPr>
          <w:p w14:paraId="4CC296B5" w14:textId="77777777" w:rsidR="00EF74AB" w:rsidRPr="00E02B5D" w:rsidRDefault="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1871" w:type="dxa"/>
            <w:vMerge w:val="restart"/>
            <w:tcBorders>
              <w:top w:val="single" w:sz="4" w:space="0" w:color="auto"/>
              <w:left w:val="single" w:sz="4" w:space="0" w:color="auto"/>
              <w:right w:val="single" w:sz="4" w:space="0" w:color="auto"/>
            </w:tcBorders>
            <w:shd w:val="clear" w:color="auto" w:fill="BDD7EE"/>
            <w:vAlign w:val="center"/>
            <w:hideMark/>
          </w:tcPr>
          <w:p w14:paraId="601C8202" w14:textId="77777777" w:rsidR="00EF74AB" w:rsidRPr="00E02B5D" w:rsidRDefault="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094" w:type="dxa"/>
            <w:vMerge w:val="restart"/>
            <w:tcBorders>
              <w:top w:val="single" w:sz="4" w:space="0" w:color="auto"/>
              <w:left w:val="single" w:sz="4" w:space="0" w:color="auto"/>
              <w:right w:val="single" w:sz="4" w:space="0" w:color="auto"/>
            </w:tcBorders>
            <w:shd w:val="clear" w:color="auto" w:fill="BDD7EE"/>
            <w:vAlign w:val="center"/>
            <w:hideMark/>
          </w:tcPr>
          <w:p w14:paraId="40B46D61" w14:textId="77777777" w:rsidR="00EF74AB" w:rsidRPr="00E02B5D" w:rsidRDefault="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85" w:type="dxa"/>
            <w:vMerge w:val="restart"/>
            <w:tcBorders>
              <w:top w:val="single" w:sz="4" w:space="0" w:color="auto"/>
              <w:left w:val="nil"/>
              <w:right w:val="single" w:sz="4" w:space="0" w:color="auto"/>
            </w:tcBorders>
            <w:shd w:val="clear" w:color="auto" w:fill="BDD7EE"/>
            <w:vAlign w:val="center"/>
            <w:hideMark/>
          </w:tcPr>
          <w:p w14:paraId="64D4F63B" w14:textId="77777777" w:rsidR="00EF74AB" w:rsidRPr="00E02B5D" w:rsidRDefault="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c>
          <w:tcPr>
            <w:tcW w:w="1553" w:type="dxa"/>
            <w:vMerge w:val="restart"/>
            <w:tcBorders>
              <w:top w:val="single" w:sz="4" w:space="0" w:color="auto"/>
              <w:left w:val="single" w:sz="4" w:space="0" w:color="auto"/>
              <w:right w:val="single" w:sz="4" w:space="0" w:color="auto"/>
            </w:tcBorders>
            <w:shd w:val="clear" w:color="auto" w:fill="BDD7EE"/>
            <w:vAlign w:val="center"/>
            <w:hideMark/>
          </w:tcPr>
          <w:p w14:paraId="58F72706" w14:textId="77777777" w:rsidR="00EF74AB" w:rsidRPr="00E02B5D" w:rsidRDefault="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Kvalitatiivsed näitajad (eesmärkide puhul)</w:t>
            </w:r>
          </w:p>
        </w:tc>
        <w:tc>
          <w:tcPr>
            <w:tcW w:w="3038" w:type="dxa"/>
            <w:gridSpan w:val="3"/>
            <w:tcBorders>
              <w:top w:val="single" w:sz="4" w:space="0" w:color="auto"/>
              <w:left w:val="nil"/>
              <w:bottom w:val="single" w:sz="4" w:space="0" w:color="auto"/>
              <w:right w:val="single" w:sz="4" w:space="0" w:color="auto"/>
            </w:tcBorders>
            <w:shd w:val="clear" w:color="auto" w:fill="BDD7EE"/>
            <w:vAlign w:val="center"/>
            <w:hideMark/>
          </w:tcPr>
          <w:p w14:paraId="1CA0F91C" w14:textId="77777777" w:rsidR="00EF74AB" w:rsidRPr="00E02B5D" w:rsidRDefault="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Kvantitatiivsed näitajad (sihtide puhul)</w:t>
            </w:r>
          </w:p>
        </w:tc>
        <w:tc>
          <w:tcPr>
            <w:tcW w:w="1642" w:type="dxa"/>
            <w:gridSpan w:val="3"/>
            <w:tcBorders>
              <w:top w:val="single" w:sz="4" w:space="0" w:color="auto"/>
              <w:left w:val="nil"/>
              <w:bottom w:val="single" w:sz="4" w:space="0" w:color="auto"/>
              <w:right w:val="single" w:sz="4" w:space="0" w:color="auto"/>
            </w:tcBorders>
            <w:shd w:val="clear" w:color="auto" w:fill="BDD7EE"/>
            <w:vAlign w:val="center"/>
            <w:hideMark/>
          </w:tcPr>
          <w:p w14:paraId="6681582C" w14:textId="77777777" w:rsidR="00EF74AB" w:rsidRPr="00E02B5D" w:rsidRDefault="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 xml:space="preserve">Lõpuleviimise soovituslik ajakava </w:t>
            </w:r>
          </w:p>
        </w:tc>
        <w:tc>
          <w:tcPr>
            <w:tcW w:w="2684" w:type="dxa"/>
            <w:vMerge w:val="restart"/>
            <w:tcBorders>
              <w:top w:val="single" w:sz="4" w:space="0" w:color="auto"/>
              <w:left w:val="single" w:sz="4" w:space="0" w:color="auto"/>
              <w:right w:val="single" w:sz="4" w:space="0" w:color="auto"/>
            </w:tcBorders>
            <w:shd w:val="clear" w:color="auto" w:fill="BDD7EE"/>
            <w:vAlign w:val="center"/>
            <w:hideMark/>
          </w:tcPr>
          <w:p w14:paraId="0B20883F" w14:textId="77777777" w:rsidR="00EF74AB" w:rsidRPr="00E02B5D" w:rsidRDefault="00EF74AB">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Iga eesmärgi ja sihi kirjeldus</w:t>
            </w:r>
          </w:p>
        </w:tc>
      </w:tr>
      <w:tr w:rsidR="00EF74AB" w:rsidRPr="00BB7B49" w14:paraId="00923515" w14:textId="77777777" w:rsidTr="005D5392">
        <w:trPr>
          <w:trHeight w:val="465"/>
          <w:tblHeader/>
        </w:trPr>
        <w:tc>
          <w:tcPr>
            <w:tcW w:w="1666" w:type="dxa"/>
            <w:vMerge/>
            <w:tcBorders>
              <w:left w:val="single" w:sz="4" w:space="0" w:color="auto"/>
              <w:bottom w:val="single" w:sz="4" w:space="0" w:color="auto"/>
              <w:right w:val="single" w:sz="4" w:space="0" w:color="auto"/>
            </w:tcBorders>
            <w:shd w:val="clear" w:color="auto" w:fill="BDD7EE"/>
            <w:vAlign w:val="center"/>
          </w:tcPr>
          <w:p w14:paraId="77815A26" w14:textId="77777777" w:rsidR="00EF74AB" w:rsidRPr="00AD4052" w:rsidRDefault="00EF74AB" w:rsidP="00EF74AB">
            <w:pPr>
              <w:spacing w:after="0" w:line="240" w:lineRule="auto"/>
              <w:jc w:val="center"/>
              <w:rPr>
                <w:rFonts w:ascii="Times New Roman" w:hAnsi="Times New Roman"/>
                <w:b/>
                <w:noProof/>
                <w:sz w:val="18"/>
              </w:rPr>
            </w:pPr>
          </w:p>
        </w:tc>
        <w:tc>
          <w:tcPr>
            <w:tcW w:w="1871" w:type="dxa"/>
            <w:vMerge/>
            <w:tcBorders>
              <w:left w:val="single" w:sz="4" w:space="0" w:color="auto"/>
              <w:bottom w:val="single" w:sz="4" w:space="0" w:color="auto"/>
              <w:right w:val="single" w:sz="4" w:space="0" w:color="auto"/>
            </w:tcBorders>
            <w:shd w:val="clear" w:color="auto" w:fill="BDD7EE"/>
            <w:vAlign w:val="center"/>
          </w:tcPr>
          <w:p w14:paraId="386C571F" w14:textId="77777777" w:rsidR="00EF74AB" w:rsidRPr="00AD4052" w:rsidRDefault="00EF74AB" w:rsidP="00EF74AB">
            <w:pPr>
              <w:spacing w:after="0" w:line="240" w:lineRule="auto"/>
              <w:jc w:val="center"/>
              <w:rPr>
                <w:rFonts w:ascii="Times New Roman" w:hAnsi="Times New Roman"/>
                <w:b/>
                <w:noProof/>
                <w:sz w:val="18"/>
              </w:rPr>
            </w:pPr>
          </w:p>
        </w:tc>
        <w:tc>
          <w:tcPr>
            <w:tcW w:w="1094" w:type="dxa"/>
            <w:vMerge/>
            <w:tcBorders>
              <w:left w:val="single" w:sz="4" w:space="0" w:color="auto"/>
              <w:bottom w:val="single" w:sz="4" w:space="0" w:color="auto"/>
              <w:right w:val="single" w:sz="4" w:space="0" w:color="auto"/>
            </w:tcBorders>
            <w:shd w:val="clear" w:color="auto" w:fill="BDD7EE"/>
            <w:vAlign w:val="center"/>
          </w:tcPr>
          <w:p w14:paraId="2F5708B8" w14:textId="77777777" w:rsidR="00EF74AB" w:rsidRPr="00AD4052" w:rsidRDefault="00EF74AB" w:rsidP="00EF74AB">
            <w:pPr>
              <w:spacing w:after="0" w:line="240" w:lineRule="auto"/>
              <w:jc w:val="center"/>
              <w:rPr>
                <w:rFonts w:ascii="Times New Roman" w:hAnsi="Times New Roman"/>
                <w:b/>
                <w:noProof/>
                <w:sz w:val="18"/>
              </w:rPr>
            </w:pPr>
          </w:p>
        </w:tc>
        <w:tc>
          <w:tcPr>
            <w:tcW w:w="1785" w:type="dxa"/>
            <w:vMerge/>
            <w:tcBorders>
              <w:left w:val="nil"/>
              <w:bottom w:val="single" w:sz="4" w:space="0" w:color="auto"/>
              <w:right w:val="single" w:sz="4" w:space="0" w:color="auto"/>
            </w:tcBorders>
            <w:shd w:val="clear" w:color="auto" w:fill="BDD7EE"/>
            <w:vAlign w:val="center"/>
          </w:tcPr>
          <w:p w14:paraId="38F6471F" w14:textId="77777777" w:rsidR="00EF74AB" w:rsidRPr="00AD4052" w:rsidRDefault="00EF74AB" w:rsidP="00EF74AB">
            <w:pPr>
              <w:spacing w:after="0" w:line="240" w:lineRule="auto"/>
              <w:jc w:val="center"/>
              <w:rPr>
                <w:rFonts w:ascii="Times New Roman" w:hAnsi="Times New Roman"/>
                <w:b/>
                <w:noProof/>
                <w:sz w:val="18"/>
              </w:rPr>
            </w:pPr>
          </w:p>
        </w:tc>
        <w:tc>
          <w:tcPr>
            <w:tcW w:w="1553" w:type="dxa"/>
            <w:vMerge/>
            <w:tcBorders>
              <w:left w:val="single" w:sz="4" w:space="0" w:color="auto"/>
              <w:bottom w:val="single" w:sz="4" w:space="0" w:color="auto"/>
              <w:right w:val="single" w:sz="4" w:space="0" w:color="auto"/>
            </w:tcBorders>
            <w:shd w:val="clear" w:color="auto" w:fill="BDD7EE"/>
            <w:vAlign w:val="center"/>
          </w:tcPr>
          <w:p w14:paraId="5B1346A7" w14:textId="77777777" w:rsidR="00EF74AB" w:rsidRPr="00AD4052" w:rsidRDefault="00EF74AB" w:rsidP="00EF74AB">
            <w:pPr>
              <w:spacing w:after="0" w:line="240" w:lineRule="auto"/>
              <w:jc w:val="center"/>
              <w:rPr>
                <w:rFonts w:ascii="Times New Roman" w:hAnsi="Times New Roman"/>
                <w:b/>
                <w:noProof/>
                <w:sz w:val="18"/>
              </w:rPr>
            </w:pPr>
          </w:p>
        </w:tc>
        <w:tc>
          <w:tcPr>
            <w:tcW w:w="1156" w:type="dxa"/>
            <w:tcBorders>
              <w:top w:val="single" w:sz="4" w:space="0" w:color="auto"/>
              <w:left w:val="single" w:sz="4" w:space="0" w:color="auto"/>
              <w:bottom w:val="single" w:sz="4" w:space="0" w:color="auto"/>
              <w:right w:val="single" w:sz="4" w:space="0" w:color="auto"/>
            </w:tcBorders>
            <w:shd w:val="clear" w:color="auto" w:fill="BDD7EE"/>
            <w:vAlign w:val="center"/>
          </w:tcPr>
          <w:p w14:paraId="0D8A5F12" w14:textId="77777777" w:rsidR="00EF74AB" w:rsidRPr="00E02B5D" w:rsidRDefault="00EF74AB" w:rsidP="00EF74AB">
            <w:pPr>
              <w:spacing w:after="0" w:line="240" w:lineRule="auto"/>
              <w:jc w:val="center"/>
              <w:rPr>
                <w:rFonts w:ascii="Times New Roman" w:hAnsi="Times New Roman"/>
                <w:b/>
                <w:noProof/>
                <w:sz w:val="18"/>
              </w:rPr>
            </w:pPr>
            <w:r>
              <w:rPr>
                <w:rFonts w:ascii="Times New Roman" w:hAnsi="Times New Roman"/>
                <w:b/>
                <w:noProof/>
                <w:sz w:val="18"/>
              </w:rPr>
              <w:t>Mõõtühik</w:t>
            </w:r>
          </w:p>
        </w:tc>
        <w:tc>
          <w:tcPr>
            <w:tcW w:w="976" w:type="dxa"/>
            <w:tcBorders>
              <w:top w:val="single" w:sz="4" w:space="0" w:color="auto"/>
              <w:left w:val="single" w:sz="4" w:space="0" w:color="auto"/>
              <w:bottom w:val="single" w:sz="4" w:space="0" w:color="auto"/>
              <w:right w:val="single" w:sz="4" w:space="0" w:color="auto"/>
            </w:tcBorders>
            <w:shd w:val="clear" w:color="auto" w:fill="BDD7EE"/>
            <w:vAlign w:val="center"/>
          </w:tcPr>
          <w:p w14:paraId="106DE652" w14:textId="77777777" w:rsidR="00EF74AB" w:rsidRPr="00E02B5D" w:rsidRDefault="00EF74AB" w:rsidP="00EF74AB">
            <w:pPr>
              <w:spacing w:after="0" w:line="240" w:lineRule="auto"/>
              <w:jc w:val="center"/>
              <w:rPr>
                <w:rFonts w:ascii="Times New Roman" w:hAnsi="Times New Roman"/>
                <w:b/>
                <w:noProof/>
                <w:sz w:val="18"/>
              </w:rPr>
            </w:pPr>
            <w:r>
              <w:rPr>
                <w:rFonts w:ascii="Times New Roman" w:hAnsi="Times New Roman"/>
                <w:b/>
                <w:noProof/>
                <w:sz w:val="18"/>
              </w:rPr>
              <w:t xml:space="preserve">Lähtetase </w:t>
            </w:r>
          </w:p>
        </w:tc>
        <w:tc>
          <w:tcPr>
            <w:tcW w:w="906" w:type="dxa"/>
            <w:tcBorders>
              <w:top w:val="single" w:sz="4" w:space="0" w:color="auto"/>
              <w:left w:val="single" w:sz="4" w:space="0" w:color="auto"/>
              <w:bottom w:val="single" w:sz="4" w:space="0" w:color="auto"/>
              <w:right w:val="single" w:sz="4" w:space="0" w:color="auto"/>
            </w:tcBorders>
            <w:shd w:val="clear" w:color="auto" w:fill="BDD7EE"/>
            <w:vAlign w:val="center"/>
          </w:tcPr>
          <w:p w14:paraId="632994C7" w14:textId="77777777" w:rsidR="00EF74AB" w:rsidRPr="00E02B5D" w:rsidRDefault="00EF74AB" w:rsidP="00EF74AB">
            <w:pPr>
              <w:spacing w:after="0" w:line="240" w:lineRule="auto"/>
              <w:jc w:val="center"/>
              <w:rPr>
                <w:rFonts w:ascii="Times New Roman" w:hAnsi="Times New Roman"/>
                <w:b/>
                <w:noProof/>
                <w:sz w:val="18"/>
              </w:rPr>
            </w:pPr>
            <w:r>
              <w:rPr>
                <w:rFonts w:ascii="Times New Roman" w:hAnsi="Times New Roman"/>
                <w:b/>
                <w:noProof/>
                <w:sz w:val="18"/>
              </w:rPr>
              <w:t xml:space="preserve">Eesmärk </w:t>
            </w:r>
          </w:p>
        </w:tc>
        <w:tc>
          <w:tcPr>
            <w:tcW w:w="846" w:type="dxa"/>
            <w:tcBorders>
              <w:top w:val="single" w:sz="4" w:space="0" w:color="auto"/>
              <w:left w:val="nil"/>
              <w:bottom w:val="single" w:sz="4" w:space="0" w:color="auto"/>
              <w:right w:val="single" w:sz="4" w:space="0" w:color="auto"/>
            </w:tcBorders>
            <w:shd w:val="clear" w:color="auto" w:fill="BDD7EE"/>
            <w:vAlign w:val="center"/>
          </w:tcPr>
          <w:p w14:paraId="4D3D90F3" w14:textId="77777777" w:rsidR="00EF74AB" w:rsidRPr="00E02B5D" w:rsidRDefault="00EF74AB" w:rsidP="00EF74AB">
            <w:pPr>
              <w:spacing w:after="0" w:line="240" w:lineRule="auto"/>
              <w:jc w:val="center"/>
              <w:rPr>
                <w:rFonts w:ascii="Times New Roman" w:hAnsi="Times New Roman"/>
                <w:b/>
                <w:noProof/>
                <w:sz w:val="18"/>
              </w:rPr>
            </w:pPr>
            <w:r>
              <w:rPr>
                <w:rFonts w:ascii="Times New Roman" w:hAnsi="Times New Roman"/>
                <w:b/>
                <w:noProof/>
                <w:sz w:val="18"/>
              </w:rPr>
              <w:t>Kvartal</w:t>
            </w:r>
          </w:p>
        </w:tc>
        <w:tc>
          <w:tcPr>
            <w:tcW w:w="796" w:type="dxa"/>
            <w:gridSpan w:val="2"/>
            <w:tcBorders>
              <w:top w:val="single" w:sz="4" w:space="0" w:color="auto"/>
              <w:left w:val="nil"/>
              <w:bottom w:val="single" w:sz="4" w:space="0" w:color="auto"/>
              <w:right w:val="single" w:sz="4" w:space="0" w:color="auto"/>
            </w:tcBorders>
            <w:shd w:val="clear" w:color="auto" w:fill="BDD7EE"/>
            <w:vAlign w:val="center"/>
          </w:tcPr>
          <w:p w14:paraId="4DEEA161" w14:textId="77777777" w:rsidR="00EF74AB" w:rsidRPr="00E02B5D" w:rsidRDefault="00EF74AB" w:rsidP="00EF74AB">
            <w:pPr>
              <w:spacing w:after="0" w:line="240" w:lineRule="auto"/>
              <w:jc w:val="center"/>
              <w:rPr>
                <w:rFonts w:ascii="Times New Roman" w:hAnsi="Times New Roman"/>
                <w:b/>
                <w:noProof/>
                <w:sz w:val="18"/>
              </w:rPr>
            </w:pPr>
            <w:r>
              <w:rPr>
                <w:rFonts w:ascii="Times New Roman" w:hAnsi="Times New Roman"/>
                <w:b/>
                <w:noProof/>
                <w:sz w:val="18"/>
              </w:rPr>
              <w:t>Aasta</w:t>
            </w:r>
          </w:p>
        </w:tc>
        <w:tc>
          <w:tcPr>
            <w:tcW w:w="2684" w:type="dxa"/>
            <w:vMerge/>
            <w:tcBorders>
              <w:left w:val="single" w:sz="4" w:space="0" w:color="auto"/>
              <w:bottom w:val="single" w:sz="4" w:space="0" w:color="auto"/>
              <w:right w:val="single" w:sz="4" w:space="0" w:color="auto"/>
            </w:tcBorders>
            <w:shd w:val="clear" w:color="auto" w:fill="BDD7EE"/>
            <w:vAlign w:val="center"/>
          </w:tcPr>
          <w:p w14:paraId="56B1DDAE" w14:textId="77777777" w:rsidR="00EF74AB" w:rsidRPr="00E02B5D" w:rsidRDefault="00EF74AB" w:rsidP="00EF74AB">
            <w:pPr>
              <w:spacing w:after="0" w:line="240" w:lineRule="auto"/>
              <w:jc w:val="center"/>
              <w:rPr>
                <w:rFonts w:ascii="Times New Roman" w:hAnsi="Times New Roman"/>
                <w:b/>
                <w:noProof/>
                <w:sz w:val="18"/>
                <w:lang w:val="en-GB"/>
              </w:rPr>
            </w:pPr>
          </w:p>
        </w:tc>
      </w:tr>
      <w:tr w:rsidR="00A90382" w:rsidRPr="003B132A" w14:paraId="7EE275F7" w14:textId="77777777" w:rsidTr="005D5392">
        <w:tc>
          <w:tcPr>
            <w:tcW w:w="1666" w:type="dxa"/>
            <w:tcBorders>
              <w:top w:val="nil"/>
              <w:left w:val="single" w:sz="4" w:space="0" w:color="auto"/>
              <w:bottom w:val="single" w:sz="4" w:space="0" w:color="auto"/>
              <w:right w:val="single" w:sz="4" w:space="0" w:color="auto"/>
            </w:tcBorders>
            <w:shd w:val="clear" w:color="auto" w:fill="C6EFCE"/>
            <w:noWrap/>
          </w:tcPr>
          <w:p w14:paraId="040B0414"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372</w:t>
            </w:r>
          </w:p>
        </w:tc>
        <w:tc>
          <w:tcPr>
            <w:tcW w:w="1871" w:type="dxa"/>
            <w:tcBorders>
              <w:top w:val="nil"/>
              <w:left w:val="nil"/>
              <w:bottom w:val="single" w:sz="4" w:space="0" w:color="auto"/>
              <w:right w:val="single" w:sz="4" w:space="0" w:color="auto"/>
            </w:tcBorders>
            <w:shd w:val="clear" w:color="auto" w:fill="C6EFCE"/>
            <w:noWrap/>
          </w:tcPr>
          <w:p w14:paraId="35A83581"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21–5.2. REPowerEU investeeringud – 16997_Süsinikdioksiidi kogumise ja säilitamise tehnoloogia edendamine tööstuse CO</w:t>
            </w:r>
            <w:r>
              <w:rPr>
                <w:noProof/>
                <w:color w:val="006100"/>
                <w:sz w:val="18"/>
                <w:vertAlign w:val="subscript"/>
              </w:rPr>
              <w:t>2</w:t>
            </w:r>
            <w:r>
              <w:rPr>
                <w:noProof/>
                <w:color w:val="006100"/>
                <w:sz w:val="18"/>
              </w:rPr>
              <w:t xml:space="preserve"> heite vähendamiseks </w:t>
            </w:r>
          </w:p>
          <w:p w14:paraId="11196AB8" w14:textId="77777777" w:rsidR="00A90382" w:rsidRPr="00AD4052" w:rsidRDefault="00A90382">
            <w:pPr>
              <w:spacing w:after="0" w:line="240" w:lineRule="auto"/>
              <w:rPr>
                <w:rFonts w:eastAsia="Times New Roman" w:cs="Calibri"/>
                <w:noProof/>
                <w:color w:val="006100"/>
                <w:sz w:val="18"/>
                <w:szCs w:val="18"/>
                <w:lang w:eastAsia="en-GB"/>
              </w:rPr>
            </w:pPr>
          </w:p>
        </w:tc>
        <w:tc>
          <w:tcPr>
            <w:tcW w:w="1094" w:type="dxa"/>
            <w:tcBorders>
              <w:top w:val="nil"/>
              <w:left w:val="nil"/>
              <w:bottom w:val="single" w:sz="4" w:space="0" w:color="auto"/>
              <w:right w:val="single" w:sz="4" w:space="0" w:color="auto"/>
            </w:tcBorders>
            <w:shd w:val="clear" w:color="auto" w:fill="C6EFCE"/>
            <w:noWrap/>
          </w:tcPr>
          <w:p w14:paraId="171FC8B2"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Eesmärk</w:t>
            </w:r>
          </w:p>
        </w:tc>
        <w:tc>
          <w:tcPr>
            <w:tcW w:w="1785" w:type="dxa"/>
            <w:tcBorders>
              <w:top w:val="nil"/>
              <w:left w:val="nil"/>
              <w:bottom w:val="single" w:sz="4" w:space="0" w:color="auto"/>
              <w:right w:val="single" w:sz="4" w:space="0" w:color="auto"/>
            </w:tcBorders>
            <w:shd w:val="clear" w:color="auto" w:fill="C6EFCE"/>
            <w:noWrap/>
          </w:tcPr>
          <w:p w14:paraId="396322D1"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Keskkonnatingimuste heakskiitmine ja eesmise lõpptehnoloogia lõpuleviimine: FEEDi uuringuid kavandama</w:t>
            </w:r>
          </w:p>
        </w:tc>
        <w:tc>
          <w:tcPr>
            <w:tcW w:w="1553" w:type="dxa"/>
            <w:tcBorders>
              <w:top w:val="nil"/>
              <w:left w:val="nil"/>
              <w:bottom w:val="single" w:sz="4" w:space="0" w:color="auto"/>
              <w:right w:val="single" w:sz="4" w:space="0" w:color="auto"/>
            </w:tcBorders>
            <w:shd w:val="clear" w:color="auto" w:fill="C6EFCE"/>
            <w:noWrap/>
          </w:tcPr>
          <w:p w14:paraId="2B3B70B6" w14:textId="77777777" w:rsidR="00A90382" w:rsidRPr="00AD4052" w:rsidRDefault="00A90382">
            <w:pPr>
              <w:spacing w:after="0" w:line="240" w:lineRule="auto"/>
              <w:rPr>
                <w:rFonts w:eastAsia="Times New Roman" w:cs="Calibri"/>
                <w:noProof/>
                <w:color w:val="006100"/>
                <w:sz w:val="18"/>
                <w:szCs w:val="18"/>
                <w:lang w:eastAsia="en-GB"/>
              </w:rPr>
            </w:pPr>
          </w:p>
        </w:tc>
        <w:tc>
          <w:tcPr>
            <w:tcW w:w="1156" w:type="dxa"/>
            <w:tcBorders>
              <w:top w:val="nil"/>
              <w:left w:val="nil"/>
              <w:bottom w:val="single" w:sz="4" w:space="0" w:color="auto"/>
              <w:right w:val="single" w:sz="4" w:space="0" w:color="auto"/>
            </w:tcBorders>
            <w:shd w:val="clear" w:color="auto" w:fill="C6EFCE"/>
            <w:noWrap/>
          </w:tcPr>
          <w:p w14:paraId="225FC638" w14:textId="77777777" w:rsidR="00A90382" w:rsidRPr="00AD4052" w:rsidRDefault="00A90382">
            <w:pPr>
              <w:spacing w:after="0" w:line="240" w:lineRule="auto"/>
              <w:rPr>
                <w:rFonts w:eastAsia="Times New Roman" w:cs="Calibri"/>
                <w:noProof/>
                <w:color w:val="006100"/>
                <w:sz w:val="18"/>
                <w:szCs w:val="18"/>
                <w:lang w:eastAsia="en-GB"/>
              </w:rPr>
            </w:pPr>
          </w:p>
        </w:tc>
        <w:tc>
          <w:tcPr>
            <w:tcW w:w="976" w:type="dxa"/>
            <w:tcBorders>
              <w:top w:val="nil"/>
              <w:left w:val="nil"/>
              <w:bottom w:val="single" w:sz="4" w:space="0" w:color="auto"/>
              <w:right w:val="single" w:sz="4" w:space="0" w:color="auto"/>
            </w:tcBorders>
            <w:shd w:val="clear" w:color="auto" w:fill="C6EFCE"/>
            <w:noWrap/>
          </w:tcPr>
          <w:p w14:paraId="4F440C7D" w14:textId="77777777" w:rsidR="00A90382" w:rsidRPr="00AD4052" w:rsidRDefault="00A90382">
            <w:pPr>
              <w:spacing w:after="0" w:line="240" w:lineRule="auto"/>
              <w:rPr>
                <w:rFonts w:eastAsia="Times New Roman" w:cs="Calibri"/>
                <w:noProof/>
                <w:color w:val="006100"/>
                <w:sz w:val="18"/>
                <w:szCs w:val="18"/>
                <w:lang w:eastAsia="en-GB"/>
              </w:rPr>
            </w:pPr>
          </w:p>
        </w:tc>
        <w:tc>
          <w:tcPr>
            <w:tcW w:w="906" w:type="dxa"/>
            <w:tcBorders>
              <w:top w:val="nil"/>
              <w:left w:val="nil"/>
              <w:bottom w:val="single" w:sz="4" w:space="0" w:color="auto"/>
              <w:right w:val="single" w:sz="4" w:space="0" w:color="auto"/>
            </w:tcBorders>
            <w:shd w:val="clear" w:color="auto" w:fill="C6EFCE"/>
            <w:noWrap/>
          </w:tcPr>
          <w:p w14:paraId="009FEF75" w14:textId="77777777" w:rsidR="00A90382" w:rsidRPr="00AD4052" w:rsidRDefault="00A90382">
            <w:pPr>
              <w:spacing w:after="0" w:line="240" w:lineRule="auto"/>
              <w:rPr>
                <w:rFonts w:eastAsia="Times New Roman" w:cs="Calibri"/>
                <w:noProof/>
                <w:color w:val="006100"/>
                <w:sz w:val="18"/>
                <w:szCs w:val="18"/>
                <w:lang w:eastAsia="en-GB"/>
              </w:rPr>
            </w:pPr>
          </w:p>
        </w:tc>
        <w:tc>
          <w:tcPr>
            <w:tcW w:w="922" w:type="dxa"/>
            <w:gridSpan w:val="2"/>
            <w:tcBorders>
              <w:top w:val="nil"/>
              <w:left w:val="nil"/>
              <w:bottom w:val="single" w:sz="4" w:space="0" w:color="auto"/>
              <w:right w:val="single" w:sz="4" w:space="0" w:color="auto"/>
            </w:tcBorders>
            <w:shd w:val="clear" w:color="auto" w:fill="C6EFCE"/>
            <w:noWrap/>
          </w:tcPr>
          <w:p w14:paraId="12B1F907"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2. kv</w:t>
            </w:r>
          </w:p>
        </w:tc>
        <w:tc>
          <w:tcPr>
            <w:tcW w:w="720" w:type="dxa"/>
            <w:tcBorders>
              <w:top w:val="nil"/>
              <w:left w:val="nil"/>
              <w:bottom w:val="single" w:sz="4" w:space="0" w:color="auto"/>
              <w:right w:val="single" w:sz="4" w:space="0" w:color="auto"/>
            </w:tcBorders>
            <w:shd w:val="clear" w:color="auto" w:fill="C6EFCE"/>
            <w:noWrap/>
          </w:tcPr>
          <w:p w14:paraId="50AB4AC0"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2024</w:t>
            </w:r>
          </w:p>
        </w:tc>
        <w:tc>
          <w:tcPr>
            <w:tcW w:w="2684" w:type="dxa"/>
            <w:tcBorders>
              <w:top w:val="nil"/>
              <w:left w:val="nil"/>
              <w:bottom w:val="single" w:sz="4" w:space="0" w:color="auto"/>
              <w:right w:val="single" w:sz="4" w:space="0" w:color="auto"/>
            </w:tcBorders>
            <w:shd w:val="clear" w:color="auto" w:fill="C6EFCE"/>
            <w:noWrap/>
          </w:tcPr>
          <w:p w14:paraId="565F787C"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Pädevate asutuste heakskiit transpordikomponendi keskkonnatingimuste ja esiotsa tehnilise projekti (FEED) lõpuleviimise uuringule, mis hõlmab torujuhtme ehitamist.</w:t>
            </w:r>
          </w:p>
          <w:p w14:paraId="279E0F34" w14:textId="77777777" w:rsidR="00A90382" w:rsidRPr="00AD4052" w:rsidRDefault="00A90382">
            <w:pPr>
              <w:spacing w:after="0" w:line="240" w:lineRule="auto"/>
              <w:rPr>
                <w:rFonts w:eastAsia="Times New Roman" w:cs="Calibri"/>
                <w:noProof/>
                <w:color w:val="006100"/>
                <w:sz w:val="18"/>
                <w:szCs w:val="18"/>
                <w:lang w:eastAsia="en-GB"/>
              </w:rPr>
            </w:pPr>
          </w:p>
          <w:p w14:paraId="75BA15C7"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Torujuhtmesse tehtava investeeringuga kaasneb kliimariski ja haavatavuse hinnang seoses meetme kliimamuutustega kohanemisega. See hindamine võib olla osa keskkonnamõju hindamisest. Lisaks nõutakse meetmega, et ehitust teostavad ettevõtjad tagaksid, et vähemalt 70 % (massist) ehitusplatsil tekkinud mitteohtlikest ehitus- ja lammutusjäätmetest (välja arvatud komisjoni otsusega 2000/532/EÜ kehtestatud Euroopa jäätmenimistu kategoorias 17 05 04 määratletud looduslikud materjalid) valmistatakse ette korduskasutamiseks, ringlussevõtuks ja muuks materjali taaskasutamiseks, sealhulgas täitetoiminguteks, kasutades jäätmeid muude materjalide asendamiseks, vastavalt jäätmehierarhiale ning ELi ehitus- ja lammutusjäätmete käitlemise protokollile. Käitajad piiravad ehitamise ajal jäätmeteket kooskõlas ELi ehitus- ja lammutusjäätmete käitlemise protokolliga, võttes arvesse parimat võimalikku tehnikat, ning hõlbustavad korduskasutamist ja kvaliteetset ringlussevõttu materjalide selektiivse eemaldamise teel, kasutades olemasolevaid ehitusjäätmete sortimissüsteeme. Ehitusplatsi mõju vältimiseks tehakse kindlaks ja käsitletakse vee kvaliteedi säilitamise ja veestressi vältimisega seotud keskkonnaseisundi halvenemise riske kooskõlas veekasutuse ja -kaitse majandamiskavaga. Veekasutus- ja kaitsekorralduskava võib olla osa projekti keskkonnamõju hindamisest. Bioloogilise mitmekesisuse eesmärgi kahjustamise vältimiseks tuleb järgida ELi õigusakte. See tähendab konkreetselt keskkonnamõju hindamise direktiivi ning bioloogilise mitmekesisuse seisukohast tundlikel aladel või nende läheduses asuvate alade/tegevuste puhul elupaikade direktiivi artikli 6 lõiget 3 ja artiklit 12 ning linnudirektiivi artiklit 5. </w:t>
            </w:r>
          </w:p>
        </w:tc>
      </w:tr>
      <w:tr w:rsidR="00A90382" w:rsidRPr="003B132A" w14:paraId="1CD38B4A" w14:textId="77777777" w:rsidTr="005D5392">
        <w:tc>
          <w:tcPr>
            <w:tcW w:w="1666" w:type="dxa"/>
            <w:tcBorders>
              <w:top w:val="nil"/>
              <w:left w:val="single" w:sz="4" w:space="0" w:color="auto"/>
              <w:bottom w:val="single" w:sz="4" w:space="0" w:color="auto"/>
              <w:right w:val="single" w:sz="4" w:space="0" w:color="auto"/>
            </w:tcBorders>
            <w:shd w:val="clear" w:color="auto" w:fill="C6EFCE"/>
            <w:noWrap/>
          </w:tcPr>
          <w:p w14:paraId="50D47C8A"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373</w:t>
            </w:r>
          </w:p>
        </w:tc>
        <w:tc>
          <w:tcPr>
            <w:tcW w:w="1871" w:type="dxa"/>
            <w:tcBorders>
              <w:top w:val="nil"/>
              <w:left w:val="nil"/>
              <w:bottom w:val="single" w:sz="4" w:space="0" w:color="auto"/>
              <w:right w:val="single" w:sz="4" w:space="0" w:color="auto"/>
            </w:tcBorders>
            <w:shd w:val="clear" w:color="auto" w:fill="C6EFCE"/>
            <w:noWrap/>
          </w:tcPr>
          <w:p w14:paraId="02BAA50F"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21–5.2. REPowerEU investeeringud – 16997_Süsinikdioksiidi kogumise ja säilitamise tehnoloogia edendamine tööstuse CO</w:t>
            </w:r>
            <w:r>
              <w:rPr>
                <w:noProof/>
                <w:color w:val="006100"/>
                <w:sz w:val="18"/>
                <w:vertAlign w:val="subscript"/>
              </w:rPr>
              <w:t>2</w:t>
            </w:r>
            <w:r>
              <w:rPr>
                <w:noProof/>
                <w:color w:val="006100"/>
                <w:sz w:val="18"/>
              </w:rPr>
              <w:t xml:space="preserve"> heite vähendamiseks </w:t>
            </w:r>
          </w:p>
          <w:p w14:paraId="4D5AEBA4" w14:textId="77777777" w:rsidR="00A90382" w:rsidRPr="00E02B5D" w:rsidRDefault="00A90382" w:rsidP="00D16F13">
            <w:pPr>
              <w:spacing w:after="0" w:line="240" w:lineRule="auto"/>
              <w:rPr>
                <w:rFonts w:eastAsia="Times New Roman" w:cs="Calibri"/>
                <w:noProof/>
                <w:color w:val="006100"/>
                <w:sz w:val="18"/>
                <w:szCs w:val="18"/>
              </w:rPr>
            </w:pPr>
            <w:r>
              <w:rPr>
                <w:noProof/>
                <w:color w:val="006100"/>
                <w:sz w:val="18"/>
              </w:rPr>
              <w:t xml:space="preserve"> </w:t>
            </w:r>
          </w:p>
        </w:tc>
        <w:tc>
          <w:tcPr>
            <w:tcW w:w="1094" w:type="dxa"/>
            <w:tcBorders>
              <w:top w:val="nil"/>
              <w:left w:val="nil"/>
              <w:bottom w:val="single" w:sz="4" w:space="0" w:color="auto"/>
              <w:right w:val="single" w:sz="4" w:space="0" w:color="auto"/>
            </w:tcBorders>
            <w:shd w:val="clear" w:color="auto" w:fill="C6EFCE"/>
            <w:noWrap/>
          </w:tcPr>
          <w:p w14:paraId="340EDF74"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Eesmärk</w:t>
            </w:r>
          </w:p>
        </w:tc>
        <w:tc>
          <w:tcPr>
            <w:tcW w:w="1785" w:type="dxa"/>
            <w:tcBorders>
              <w:top w:val="nil"/>
              <w:left w:val="nil"/>
              <w:bottom w:val="single" w:sz="4" w:space="0" w:color="auto"/>
              <w:right w:val="single" w:sz="4" w:space="0" w:color="auto"/>
            </w:tcBorders>
            <w:shd w:val="clear" w:color="auto" w:fill="C6EFCE"/>
            <w:noWrap/>
          </w:tcPr>
          <w:p w14:paraId="399F2CB3"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Investeeringutega seotud tööde lõpuleviimine</w:t>
            </w:r>
          </w:p>
        </w:tc>
        <w:tc>
          <w:tcPr>
            <w:tcW w:w="1553" w:type="dxa"/>
            <w:tcBorders>
              <w:top w:val="nil"/>
              <w:left w:val="nil"/>
              <w:bottom w:val="single" w:sz="4" w:space="0" w:color="auto"/>
              <w:right w:val="single" w:sz="4" w:space="0" w:color="auto"/>
            </w:tcBorders>
            <w:shd w:val="clear" w:color="auto" w:fill="C6EFCE"/>
            <w:noWrap/>
          </w:tcPr>
          <w:p w14:paraId="2A82946A" w14:textId="77777777" w:rsidR="00A90382" w:rsidRPr="00E02B5D" w:rsidRDefault="00A90382">
            <w:pPr>
              <w:spacing w:after="0" w:line="240" w:lineRule="auto"/>
              <w:rPr>
                <w:rFonts w:eastAsia="Times New Roman" w:cs="Calibri"/>
                <w:noProof/>
                <w:color w:val="006100"/>
                <w:sz w:val="18"/>
                <w:szCs w:val="18"/>
                <w:lang w:val="en-GB" w:eastAsia="en-GB"/>
              </w:rPr>
            </w:pPr>
          </w:p>
        </w:tc>
        <w:tc>
          <w:tcPr>
            <w:tcW w:w="1156" w:type="dxa"/>
            <w:tcBorders>
              <w:top w:val="nil"/>
              <w:left w:val="nil"/>
              <w:bottom w:val="single" w:sz="4" w:space="0" w:color="auto"/>
              <w:right w:val="single" w:sz="4" w:space="0" w:color="auto"/>
            </w:tcBorders>
            <w:shd w:val="clear" w:color="auto" w:fill="C6EFCE"/>
            <w:noWrap/>
          </w:tcPr>
          <w:p w14:paraId="6E8461A0" w14:textId="77777777" w:rsidR="00A90382" w:rsidRPr="00E02B5D" w:rsidRDefault="00A90382">
            <w:pPr>
              <w:spacing w:after="0" w:line="240" w:lineRule="auto"/>
              <w:rPr>
                <w:rFonts w:eastAsia="Times New Roman" w:cs="Calibri"/>
                <w:noProof/>
                <w:color w:val="006100"/>
                <w:sz w:val="18"/>
                <w:szCs w:val="18"/>
                <w:lang w:val="en-GB" w:eastAsia="en-GB"/>
              </w:rPr>
            </w:pPr>
          </w:p>
        </w:tc>
        <w:tc>
          <w:tcPr>
            <w:tcW w:w="976" w:type="dxa"/>
            <w:tcBorders>
              <w:top w:val="nil"/>
              <w:left w:val="nil"/>
              <w:bottom w:val="single" w:sz="4" w:space="0" w:color="auto"/>
              <w:right w:val="single" w:sz="4" w:space="0" w:color="auto"/>
            </w:tcBorders>
            <w:shd w:val="clear" w:color="auto" w:fill="C6EFCE"/>
            <w:noWrap/>
          </w:tcPr>
          <w:p w14:paraId="67A21D06" w14:textId="77777777" w:rsidR="00A90382" w:rsidRPr="00E02B5D" w:rsidRDefault="00A90382">
            <w:pPr>
              <w:spacing w:after="0" w:line="240" w:lineRule="auto"/>
              <w:rPr>
                <w:rFonts w:eastAsia="Times New Roman" w:cs="Calibri"/>
                <w:noProof/>
                <w:color w:val="006100"/>
                <w:sz w:val="18"/>
                <w:szCs w:val="18"/>
                <w:lang w:val="en-GB" w:eastAsia="en-GB"/>
              </w:rPr>
            </w:pPr>
          </w:p>
        </w:tc>
        <w:tc>
          <w:tcPr>
            <w:tcW w:w="906" w:type="dxa"/>
            <w:tcBorders>
              <w:top w:val="nil"/>
              <w:left w:val="nil"/>
              <w:bottom w:val="single" w:sz="4" w:space="0" w:color="auto"/>
              <w:right w:val="single" w:sz="4" w:space="0" w:color="auto"/>
            </w:tcBorders>
            <w:shd w:val="clear" w:color="auto" w:fill="C6EFCE"/>
            <w:noWrap/>
          </w:tcPr>
          <w:p w14:paraId="51407095" w14:textId="77777777" w:rsidR="00A90382" w:rsidRPr="00E02B5D" w:rsidRDefault="00A90382">
            <w:pPr>
              <w:spacing w:after="0" w:line="240" w:lineRule="auto"/>
              <w:rPr>
                <w:rFonts w:eastAsia="Times New Roman" w:cs="Calibri"/>
                <w:noProof/>
                <w:color w:val="006100"/>
                <w:sz w:val="18"/>
                <w:szCs w:val="18"/>
                <w:lang w:val="en-GB" w:eastAsia="en-GB"/>
              </w:rPr>
            </w:pPr>
          </w:p>
        </w:tc>
        <w:tc>
          <w:tcPr>
            <w:tcW w:w="922" w:type="dxa"/>
            <w:gridSpan w:val="2"/>
            <w:tcBorders>
              <w:top w:val="nil"/>
              <w:left w:val="nil"/>
              <w:bottom w:val="single" w:sz="4" w:space="0" w:color="auto"/>
              <w:right w:val="single" w:sz="4" w:space="0" w:color="auto"/>
            </w:tcBorders>
            <w:shd w:val="clear" w:color="auto" w:fill="C6EFCE"/>
            <w:noWrap/>
          </w:tcPr>
          <w:p w14:paraId="302BD235"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 xml:space="preserve">4. kv </w:t>
            </w:r>
          </w:p>
        </w:tc>
        <w:tc>
          <w:tcPr>
            <w:tcW w:w="720" w:type="dxa"/>
            <w:tcBorders>
              <w:top w:val="nil"/>
              <w:left w:val="nil"/>
              <w:bottom w:val="single" w:sz="4" w:space="0" w:color="auto"/>
              <w:right w:val="single" w:sz="4" w:space="0" w:color="auto"/>
            </w:tcBorders>
            <w:shd w:val="clear" w:color="auto" w:fill="C6EFCE"/>
            <w:noWrap/>
          </w:tcPr>
          <w:p w14:paraId="1C2BF912" w14:textId="77777777" w:rsidR="00A90382" w:rsidRPr="00E02B5D" w:rsidRDefault="00A90382">
            <w:pPr>
              <w:spacing w:after="0" w:line="240" w:lineRule="auto"/>
              <w:rPr>
                <w:rFonts w:eastAsia="Times New Roman" w:cs="Calibri"/>
                <w:noProof/>
                <w:color w:val="006100"/>
                <w:sz w:val="18"/>
                <w:szCs w:val="18"/>
              </w:rPr>
            </w:pPr>
            <w:r>
              <w:rPr>
                <w:noProof/>
                <w:color w:val="006100"/>
                <w:sz w:val="18"/>
              </w:rPr>
              <w:t>2025</w:t>
            </w:r>
          </w:p>
        </w:tc>
        <w:tc>
          <w:tcPr>
            <w:tcW w:w="2684" w:type="dxa"/>
            <w:tcBorders>
              <w:top w:val="nil"/>
              <w:left w:val="nil"/>
              <w:bottom w:val="single" w:sz="4" w:space="0" w:color="auto"/>
              <w:right w:val="single" w:sz="4" w:space="0" w:color="auto"/>
            </w:tcBorders>
            <w:shd w:val="clear" w:color="auto" w:fill="C6EFCE"/>
            <w:noWrap/>
          </w:tcPr>
          <w:p w14:paraId="5DFEFBC2" w14:textId="77777777" w:rsidR="00A90382" w:rsidRPr="00E02B5D" w:rsidRDefault="00A90382">
            <w:pPr>
              <w:pStyle w:val="Default"/>
              <w:rPr>
                <w:noProof/>
                <w:color w:val="006000"/>
                <w:sz w:val="18"/>
                <w:szCs w:val="18"/>
              </w:rPr>
            </w:pPr>
            <w:r>
              <w:rPr>
                <w:noProof/>
                <w:color w:val="006000"/>
                <w:sz w:val="18"/>
              </w:rPr>
              <w:t>CO</w:t>
            </w:r>
            <w:r>
              <w:rPr>
                <w:noProof/>
                <w:color w:val="006000"/>
                <w:sz w:val="18"/>
                <w:vertAlign w:val="subscript"/>
              </w:rPr>
              <w:t>2</w:t>
            </w:r>
            <w:r>
              <w:rPr>
                <w:noProof/>
                <w:color w:val="006000"/>
                <w:sz w:val="18"/>
              </w:rPr>
              <w:t xml:space="preserve"> transpordi komponendiga seotud tööde lõpuleviimine vastavalt FEEDi uuringule ja asjakohastele tehnilistele kirjeldustele. </w:t>
            </w:r>
          </w:p>
          <w:p w14:paraId="1A0D219D" w14:textId="77777777" w:rsidR="00A90382" w:rsidRPr="00AD4052" w:rsidRDefault="00A90382">
            <w:pPr>
              <w:pStyle w:val="Default"/>
              <w:rPr>
                <w:noProof/>
                <w:color w:val="006000"/>
                <w:sz w:val="18"/>
                <w:szCs w:val="18"/>
              </w:rPr>
            </w:pPr>
          </w:p>
          <w:p w14:paraId="04CF393D" w14:textId="77777777" w:rsidR="00A90382" w:rsidRPr="00E02B5D" w:rsidRDefault="00A90382" w:rsidP="00D16F13">
            <w:pPr>
              <w:pStyle w:val="Default"/>
              <w:rPr>
                <w:noProof/>
                <w:sz w:val="18"/>
                <w:szCs w:val="18"/>
              </w:rPr>
            </w:pPr>
            <w:r>
              <w:rPr>
                <w:noProof/>
                <w:color w:val="006000"/>
                <w:sz w:val="18"/>
              </w:rPr>
              <w:t xml:space="preserve">Süsinikdioksiidi transportimise tööde lõpuleviimisega kaasneb tööde heakskiitmine ja tegevuse edukas testimine, mida kontrollib sõltumatu audiitor. </w:t>
            </w:r>
          </w:p>
        </w:tc>
      </w:tr>
    </w:tbl>
    <w:p w14:paraId="5DDF82F0" w14:textId="77777777" w:rsidR="00A7409F" w:rsidRPr="00AD4052" w:rsidRDefault="00A7409F" w:rsidP="00D16F13">
      <w:pPr>
        <w:keepNext/>
        <w:keepLines/>
        <w:spacing w:before="40" w:after="240" w:line="240" w:lineRule="auto"/>
        <w:jc w:val="both"/>
        <w:outlineLvl w:val="4"/>
        <w:rPr>
          <w:rFonts w:ascii="Times New Roman" w:hAnsi="Times New Roman" w:cs="Times New Roman"/>
          <w:noProof/>
          <w:sz w:val="24"/>
          <w:szCs w:val="24"/>
        </w:rPr>
        <w:sectPr w:rsidR="00A7409F" w:rsidRPr="00AD4052" w:rsidSect="00271D33">
          <w:headerReference w:type="even" r:id="rId434"/>
          <w:headerReference w:type="default" r:id="rId435"/>
          <w:footerReference w:type="even" r:id="rId436"/>
          <w:footerReference w:type="default" r:id="rId437"/>
          <w:headerReference w:type="first" r:id="rId438"/>
          <w:footerReference w:type="first" r:id="rId439"/>
          <w:pgSz w:w="16839" w:h="11907" w:orient="landscape"/>
          <w:pgMar w:top="1417" w:right="1134" w:bottom="1417" w:left="1134" w:header="709" w:footer="359" w:gutter="0"/>
          <w:cols w:space="720"/>
          <w:docGrid w:linePitch="360"/>
        </w:sectPr>
      </w:pPr>
    </w:p>
    <w:p w14:paraId="62AF2C25" w14:textId="77777777" w:rsidR="00B430F0" w:rsidRPr="00E02B5D" w:rsidRDefault="00B430F0" w:rsidP="00645BC7">
      <w:pPr>
        <w:keepNext/>
        <w:spacing w:before="40" w:after="0" w:line="259" w:lineRule="auto"/>
        <w:ind w:left="130" w:firstLine="720"/>
        <w:jc w:val="both"/>
        <w:outlineLvl w:val="1"/>
        <w:rPr>
          <w:rFonts w:ascii="Times New Roman" w:eastAsia="Times New Roman" w:hAnsi="Times New Roman" w:cs="Times New Roman"/>
          <w:b/>
          <w:noProof/>
          <w:sz w:val="24"/>
          <w:u w:val="single"/>
        </w:rPr>
      </w:pPr>
      <w:r>
        <w:rPr>
          <w:rFonts w:ascii="Times New Roman" w:hAnsi="Times New Roman"/>
          <w:b/>
          <w:noProof/>
          <w:sz w:val="24"/>
          <w:u w:val="single"/>
        </w:rPr>
        <w:t>2. Taaste- ja vastupidavuskava hinnanguline kogukulu</w:t>
      </w:r>
    </w:p>
    <w:p w14:paraId="753D640D" w14:textId="3C4B1B11" w:rsidR="00B430F0" w:rsidRPr="00E02B5D" w:rsidRDefault="00B430F0" w:rsidP="00645BC7">
      <w:pPr>
        <w:keepNext/>
        <w:spacing w:before="40" w:after="0" w:line="259" w:lineRule="auto"/>
        <w:jc w:val="both"/>
        <w:rPr>
          <w:rFonts w:ascii="Times New Roman" w:eastAsia="Times New Roman" w:hAnsi="Times New Roman" w:cs="Times New Roman"/>
          <w:noProof/>
          <w:sz w:val="24"/>
        </w:rPr>
      </w:pPr>
      <w:r>
        <w:rPr>
          <w:rFonts w:ascii="Times New Roman" w:hAnsi="Times New Roman"/>
          <w:noProof/>
          <w:sz w:val="24"/>
        </w:rPr>
        <w:t>Kreeka taaste- ja vastupidavuskava hinnanguline kogukulu on 36 612 904 139 eurot.</w:t>
      </w:r>
    </w:p>
    <w:p w14:paraId="4F34340B" w14:textId="77777777" w:rsidR="00B430F0" w:rsidRPr="00E02B5D" w:rsidRDefault="00B430F0" w:rsidP="00645BC7">
      <w:pPr>
        <w:keepNext/>
        <w:tabs>
          <w:tab w:val="num" w:pos="850"/>
        </w:tabs>
        <w:spacing w:before="360" w:after="0" w:line="259" w:lineRule="auto"/>
        <w:ind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3. JAGU: RAHALINE TOETUS </w:t>
      </w:r>
    </w:p>
    <w:p w14:paraId="20BD6470" w14:textId="77777777" w:rsidR="00B430F0" w:rsidRPr="00E02B5D" w:rsidRDefault="00B430F0" w:rsidP="00DE1EE5">
      <w:pPr>
        <w:keepNext/>
        <w:numPr>
          <w:ilvl w:val="1"/>
          <w:numId w:val="64"/>
        </w:numPr>
        <w:spacing w:before="40" w:after="0" w:line="259" w:lineRule="auto"/>
        <w:ind w:left="0"/>
        <w:jc w:val="both"/>
        <w:outlineLvl w:val="1"/>
        <w:rPr>
          <w:rFonts w:ascii="Times New Roman" w:eastAsia="Times New Roman" w:hAnsi="Times New Roman" w:cs="Times New Roman"/>
          <w:b/>
          <w:noProof/>
          <w:sz w:val="24"/>
          <w:u w:val="single"/>
        </w:rPr>
      </w:pPr>
      <w:r>
        <w:rPr>
          <w:rFonts w:ascii="Times New Roman" w:hAnsi="Times New Roman"/>
          <w:b/>
          <w:noProof/>
          <w:sz w:val="24"/>
          <w:u w:val="single"/>
        </w:rPr>
        <w:t xml:space="preserve">Rahaline toetus </w:t>
      </w:r>
    </w:p>
    <w:p w14:paraId="1CC2D962" w14:textId="77777777" w:rsidR="00B430F0" w:rsidRPr="00E02B5D" w:rsidRDefault="00B430F0" w:rsidP="00645BC7">
      <w:pPr>
        <w:keepNext/>
        <w:spacing w:before="40" w:after="0" w:line="259" w:lineRule="auto"/>
        <w:jc w:val="both"/>
        <w:rPr>
          <w:rFonts w:ascii="Times New Roman" w:eastAsia="Times New Roman" w:hAnsi="Times New Roman" w:cs="Times New Roman"/>
          <w:noProof/>
          <w:sz w:val="24"/>
        </w:rPr>
      </w:pPr>
      <w:r>
        <w:rPr>
          <w:rFonts w:ascii="Times New Roman" w:hAnsi="Times New Roman"/>
          <w:noProof/>
          <w:sz w:val="24"/>
        </w:rPr>
        <w:t>Artikli 2 lõikes 2 osutatud osamaksed korraldatakse järgmiselt.</w:t>
      </w:r>
    </w:p>
    <w:p w14:paraId="7A1A3D05" w14:textId="77777777" w:rsidR="00B430F0" w:rsidRPr="009D3F55" w:rsidRDefault="00C43058"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Esimene osamakse (tagastamatu toetus):</w:t>
      </w:r>
    </w:p>
    <w:tbl>
      <w:tblPr>
        <w:tblpPr w:leftFromText="180" w:rightFromText="180" w:vertAnchor="text" w:horzAnchor="margin" w:tblpXSpec="center" w:tblpY="560"/>
        <w:tblW w:w="9519" w:type="dxa"/>
        <w:tblLook w:val="04A0" w:firstRow="1" w:lastRow="0" w:firstColumn="1" w:lastColumn="0" w:noHBand="0" w:noVBand="1"/>
      </w:tblPr>
      <w:tblGrid>
        <w:gridCol w:w="1804"/>
        <w:gridCol w:w="4283"/>
        <w:gridCol w:w="1701"/>
        <w:gridCol w:w="2153"/>
      </w:tblGrid>
      <w:tr w:rsidR="00C43058" w:rsidRPr="00E02B5D" w14:paraId="04C5CF59" w14:textId="77777777" w:rsidTr="00C43058">
        <w:trPr>
          <w:trHeight w:val="509"/>
          <w:tblHeader/>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BA3E067" w14:textId="77777777" w:rsidR="00C43058" w:rsidRPr="003D2BB6" w:rsidRDefault="00C43058" w:rsidP="00C43058">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8E4A55D" w14:textId="77777777" w:rsidR="00C43058" w:rsidRPr="003D2BB6" w:rsidRDefault="00C43058" w:rsidP="00C43058">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6A8A160" w14:textId="77777777" w:rsidR="00C43058" w:rsidRPr="003D2BB6" w:rsidRDefault="00C43058" w:rsidP="00C43058">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2153" w:type="dxa"/>
            <w:vMerge w:val="restart"/>
            <w:tcBorders>
              <w:top w:val="single" w:sz="4" w:space="0" w:color="auto"/>
              <w:left w:val="nil"/>
              <w:bottom w:val="single" w:sz="4" w:space="0" w:color="000000"/>
              <w:right w:val="single" w:sz="4" w:space="0" w:color="auto"/>
            </w:tcBorders>
            <w:shd w:val="clear" w:color="auto" w:fill="BDD7EE"/>
            <w:vAlign w:val="center"/>
            <w:hideMark/>
          </w:tcPr>
          <w:p w14:paraId="7E43A960" w14:textId="77777777" w:rsidR="00C43058" w:rsidRPr="003D2BB6" w:rsidRDefault="00C43058" w:rsidP="00C43058">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C43058" w:rsidRPr="00E02B5D" w14:paraId="07BC3973" w14:textId="77777777" w:rsidTr="00C43058">
        <w:trPr>
          <w:trHeight w:val="509"/>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33B04C65" w14:textId="77777777" w:rsidR="00C43058" w:rsidRPr="00E02B5D" w:rsidRDefault="00C43058" w:rsidP="00C43058">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0D6F87FA" w14:textId="77777777" w:rsidR="00C43058" w:rsidRPr="00E02B5D" w:rsidRDefault="00C43058" w:rsidP="00C43058">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AC027AA" w14:textId="77777777" w:rsidR="00C43058" w:rsidRPr="00E02B5D" w:rsidRDefault="00C43058" w:rsidP="00C43058">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2153" w:type="dxa"/>
            <w:vMerge/>
            <w:tcBorders>
              <w:top w:val="single" w:sz="4" w:space="0" w:color="auto"/>
              <w:left w:val="nil"/>
              <w:bottom w:val="single" w:sz="4" w:space="0" w:color="000000"/>
              <w:right w:val="single" w:sz="4" w:space="0" w:color="auto"/>
            </w:tcBorders>
            <w:vAlign w:val="center"/>
            <w:hideMark/>
          </w:tcPr>
          <w:p w14:paraId="08BE4DD2" w14:textId="77777777" w:rsidR="00C43058" w:rsidRPr="00E02B5D" w:rsidRDefault="00C43058" w:rsidP="00C43058">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C43058" w:rsidRPr="003B132A" w14:paraId="010210A4" w14:textId="77777777" w:rsidTr="00C4305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5AF4A12E"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20</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5D84896"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2-1.2. Renoveerimine – 16872_Elamuhoonete renoveerimine</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05658B65"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single" w:sz="4" w:space="0" w:color="auto"/>
              <w:left w:val="nil"/>
              <w:bottom w:val="single" w:sz="4" w:space="0" w:color="auto"/>
              <w:right w:val="single" w:sz="4" w:space="0" w:color="auto"/>
            </w:tcBorders>
            <w:shd w:val="clear" w:color="000000" w:fill="C6EFCE"/>
            <w:noWrap/>
            <w:vAlign w:val="center"/>
          </w:tcPr>
          <w:p w14:paraId="23A1608F"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Elamute renoveerimine – 1. etapi käivitamine</w:t>
            </w:r>
          </w:p>
        </w:tc>
      </w:tr>
      <w:tr w:rsidR="00C43058" w:rsidRPr="003B132A" w14:paraId="3B85AA32"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14:paraId="47450A04"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32</w:t>
            </w:r>
          </w:p>
        </w:tc>
        <w:tc>
          <w:tcPr>
            <w:tcW w:w="4283" w:type="dxa"/>
            <w:tcBorders>
              <w:top w:val="nil"/>
              <w:left w:val="nil"/>
              <w:bottom w:val="single" w:sz="4" w:space="0" w:color="auto"/>
              <w:right w:val="single" w:sz="4" w:space="0" w:color="auto"/>
            </w:tcBorders>
            <w:shd w:val="clear" w:color="000000" w:fill="C6EFCE"/>
            <w:noWrap/>
            <w:vAlign w:val="center"/>
          </w:tcPr>
          <w:p w14:paraId="3E9E1C43"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2-1.2. Renoveerimine – 16920_Energiaostuvõimetuse tegevuskava</w:t>
            </w:r>
          </w:p>
        </w:tc>
        <w:tc>
          <w:tcPr>
            <w:tcW w:w="1701" w:type="dxa"/>
            <w:tcBorders>
              <w:top w:val="nil"/>
              <w:left w:val="nil"/>
              <w:bottom w:val="single" w:sz="4" w:space="0" w:color="auto"/>
              <w:right w:val="single" w:sz="4" w:space="0" w:color="auto"/>
            </w:tcBorders>
            <w:shd w:val="clear" w:color="000000" w:fill="C6EFCE"/>
            <w:noWrap/>
            <w:vAlign w:val="center"/>
          </w:tcPr>
          <w:p w14:paraId="52AF0F5B"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20ECE7CF"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Kütteostuvõimetus – tegevuskava vastuvõtmine</w:t>
            </w:r>
          </w:p>
        </w:tc>
      </w:tr>
      <w:tr w:rsidR="00C43058" w:rsidRPr="003B132A" w14:paraId="639E4506"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14:paraId="11DF0A45"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42</w:t>
            </w:r>
          </w:p>
        </w:tc>
        <w:tc>
          <w:tcPr>
            <w:tcW w:w="4283" w:type="dxa"/>
            <w:tcBorders>
              <w:top w:val="nil"/>
              <w:left w:val="nil"/>
              <w:bottom w:val="single" w:sz="4" w:space="0" w:color="auto"/>
              <w:right w:val="single" w:sz="4" w:space="0" w:color="auto"/>
            </w:tcBorders>
            <w:shd w:val="clear" w:color="000000" w:fill="C6EFCE"/>
            <w:noWrap/>
            <w:vAlign w:val="center"/>
          </w:tcPr>
          <w:p w14:paraId="3499C532"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3-1.3. Laadimine ja tankimine – 16281_EV laadimistaristu paigaldamise ja käitamise raamistik</w:t>
            </w:r>
          </w:p>
        </w:tc>
        <w:tc>
          <w:tcPr>
            <w:tcW w:w="1701" w:type="dxa"/>
            <w:tcBorders>
              <w:top w:val="nil"/>
              <w:left w:val="nil"/>
              <w:bottom w:val="single" w:sz="4" w:space="0" w:color="auto"/>
              <w:right w:val="single" w:sz="4" w:space="0" w:color="auto"/>
            </w:tcBorders>
            <w:shd w:val="clear" w:color="000000" w:fill="C6EFCE"/>
            <w:noWrap/>
            <w:vAlign w:val="center"/>
          </w:tcPr>
          <w:p w14:paraId="0A2ED7A0"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4212BB0A"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Elektrisõidukite laadimispunktid – õigusraamistiku jõustumine</w:t>
            </w:r>
          </w:p>
        </w:tc>
      </w:tr>
      <w:tr w:rsidR="00C43058" w:rsidRPr="003B132A" w14:paraId="4CFBE354"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9CAE194"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56</w:t>
            </w:r>
          </w:p>
        </w:tc>
        <w:tc>
          <w:tcPr>
            <w:tcW w:w="4283" w:type="dxa"/>
            <w:tcBorders>
              <w:top w:val="nil"/>
              <w:left w:val="nil"/>
              <w:bottom w:val="single" w:sz="4" w:space="0" w:color="auto"/>
              <w:right w:val="single" w:sz="4" w:space="0" w:color="auto"/>
            </w:tcBorders>
            <w:shd w:val="clear" w:color="000000" w:fill="C6EFCE"/>
            <w:noWrap/>
            <w:vAlign w:val="center"/>
          </w:tcPr>
          <w:p w14:paraId="073CC1E9"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16772_Jäätmekäitlusseadus säästva prügilasse ladestamise ja ringlussevõtu rakendamiseks</w:t>
            </w:r>
          </w:p>
        </w:tc>
        <w:tc>
          <w:tcPr>
            <w:tcW w:w="1701" w:type="dxa"/>
            <w:tcBorders>
              <w:top w:val="nil"/>
              <w:left w:val="nil"/>
              <w:bottom w:val="single" w:sz="4" w:space="0" w:color="auto"/>
              <w:right w:val="single" w:sz="4" w:space="0" w:color="auto"/>
            </w:tcBorders>
            <w:shd w:val="clear" w:color="000000" w:fill="C6EFCE"/>
            <w:noWrap/>
            <w:vAlign w:val="center"/>
          </w:tcPr>
          <w:p w14:paraId="40E7C4A3"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166F7583"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Jäätmekäitlusseaduse jõustumine</w:t>
            </w:r>
          </w:p>
        </w:tc>
      </w:tr>
      <w:tr w:rsidR="00C43058" w:rsidRPr="00E02B5D" w14:paraId="4F8794D6"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64CE4F4"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77</w:t>
            </w:r>
          </w:p>
        </w:tc>
        <w:tc>
          <w:tcPr>
            <w:tcW w:w="4283" w:type="dxa"/>
            <w:tcBorders>
              <w:top w:val="nil"/>
              <w:left w:val="nil"/>
              <w:bottom w:val="single" w:sz="4" w:space="0" w:color="auto"/>
              <w:right w:val="single" w:sz="4" w:space="0" w:color="auto"/>
            </w:tcBorders>
            <w:shd w:val="clear" w:color="000000" w:fill="C6EFCE"/>
            <w:noWrap/>
            <w:vAlign w:val="center"/>
          </w:tcPr>
          <w:p w14:paraId="7EF863DE"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16283_Piirkondlike kodanikukaitsekeskuste (PEKEPP) rakendamine avaliku ja erasektori partnerluse kavade kaudu</w:t>
            </w:r>
          </w:p>
        </w:tc>
        <w:tc>
          <w:tcPr>
            <w:tcW w:w="1701" w:type="dxa"/>
            <w:tcBorders>
              <w:top w:val="nil"/>
              <w:left w:val="nil"/>
              <w:bottom w:val="single" w:sz="4" w:space="0" w:color="auto"/>
              <w:right w:val="single" w:sz="4" w:space="0" w:color="auto"/>
            </w:tcBorders>
            <w:shd w:val="clear" w:color="000000" w:fill="C6EFCE"/>
            <w:noWrap/>
            <w:vAlign w:val="center"/>
          </w:tcPr>
          <w:p w14:paraId="1A1C25F9"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44E991B5"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13 piirkondlikku keskust käsitlev pakkumus</w:t>
            </w:r>
          </w:p>
        </w:tc>
      </w:tr>
      <w:tr w:rsidR="00C43058" w:rsidRPr="003B132A" w14:paraId="68ECDEE5"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F65A58B"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133</w:t>
            </w:r>
          </w:p>
        </w:tc>
        <w:tc>
          <w:tcPr>
            <w:tcW w:w="4283" w:type="dxa"/>
            <w:tcBorders>
              <w:top w:val="nil"/>
              <w:left w:val="nil"/>
              <w:bottom w:val="single" w:sz="4" w:space="0" w:color="auto"/>
              <w:right w:val="single" w:sz="4" w:space="0" w:color="auto"/>
            </w:tcBorders>
            <w:shd w:val="clear" w:color="000000" w:fill="C6EFCE"/>
            <w:noWrap/>
            <w:vAlign w:val="center"/>
          </w:tcPr>
          <w:p w14:paraId="198C8A22"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8-3.1. Edendada töökohtade loomist ja tööturul osalemist – 16744_Tööõiguse ajakohastamine ja lihtsustamine</w:t>
            </w:r>
          </w:p>
        </w:tc>
        <w:tc>
          <w:tcPr>
            <w:tcW w:w="1701" w:type="dxa"/>
            <w:tcBorders>
              <w:top w:val="nil"/>
              <w:left w:val="nil"/>
              <w:bottom w:val="single" w:sz="4" w:space="0" w:color="auto"/>
              <w:right w:val="single" w:sz="4" w:space="0" w:color="auto"/>
            </w:tcBorders>
            <w:shd w:val="clear" w:color="000000" w:fill="C6EFCE"/>
            <w:noWrap/>
            <w:vAlign w:val="center"/>
          </w:tcPr>
          <w:p w14:paraId="3F9BFC83"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5E331657"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Tööseaduse jõustumine</w:t>
            </w:r>
          </w:p>
        </w:tc>
      </w:tr>
      <w:tr w:rsidR="00C43058" w:rsidRPr="003B132A" w14:paraId="061F80BB"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22FE87B"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141</w:t>
            </w:r>
          </w:p>
        </w:tc>
        <w:tc>
          <w:tcPr>
            <w:tcW w:w="4283" w:type="dxa"/>
            <w:tcBorders>
              <w:top w:val="nil"/>
              <w:left w:val="nil"/>
              <w:bottom w:val="single" w:sz="4" w:space="0" w:color="auto"/>
              <w:right w:val="single" w:sz="4" w:space="0" w:color="auto"/>
            </w:tcBorders>
            <w:shd w:val="clear" w:color="000000" w:fill="C6EFCE"/>
            <w:noWrap/>
            <w:vAlign w:val="center"/>
          </w:tcPr>
          <w:p w14:paraId="62F6A919"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8-3.1. Edendada töökohtade loomist ja tööturul osalemist – 16941_Avalike tööturuasutuste ümberkujundamine ja nende kaubamärgi muutmine (KPA2)</w:t>
            </w:r>
          </w:p>
        </w:tc>
        <w:tc>
          <w:tcPr>
            <w:tcW w:w="1701" w:type="dxa"/>
            <w:tcBorders>
              <w:top w:val="nil"/>
              <w:left w:val="nil"/>
              <w:bottom w:val="single" w:sz="4" w:space="0" w:color="auto"/>
              <w:right w:val="single" w:sz="4" w:space="0" w:color="auto"/>
            </w:tcBorders>
            <w:shd w:val="clear" w:color="000000" w:fill="C6EFCE"/>
            <w:noWrap/>
            <w:vAlign w:val="center"/>
          </w:tcPr>
          <w:p w14:paraId="2BC20BEF"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4E50A039"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 xml:space="preserve">DYPA – organisatsioonireform – õigusaktide jõustumine </w:t>
            </w:r>
          </w:p>
        </w:tc>
      </w:tr>
      <w:tr w:rsidR="00C43058" w:rsidRPr="003B132A" w14:paraId="6662627F"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19A2722"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153</w:t>
            </w:r>
          </w:p>
        </w:tc>
        <w:tc>
          <w:tcPr>
            <w:tcW w:w="4283" w:type="dxa"/>
            <w:tcBorders>
              <w:top w:val="nil"/>
              <w:left w:val="nil"/>
              <w:bottom w:val="single" w:sz="4" w:space="0" w:color="auto"/>
              <w:right w:val="single" w:sz="4" w:space="0" w:color="auto"/>
            </w:tcBorders>
            <w:shd w:val="clear" w:color="000000" w:fill="C6EFCE"/>
            <w:noWrap/>
            <w:vAlign w:val="center"/>
          </w:tcPr>
          <w:p w14:paraId="11DBE260"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10-3.3. Tervishoiusüsteemi vastupanuvõime, juurdepääsetavuse ja jätkusuutlikkuse parandamine – 16816_Reformid ja investeeringute kiirendamine tervishoiusektoris – tagasinõude vähendamine ja tervishoiukulude ratsionaliseerimine</w:t>
            </w:r>
          </w:p>
        </w:tc>
        <w:tc>
          <w:tcPr>
            <w:tcW w:w="1701" w:type="dxa"/>
            <w:tcBorders>
              <w:top w:val="nil"/>
              <w:left w:val="nil"/>
              <w:bottom w:val="single" w:sz="4" w:space="0" w:color="auto"/>
              <w:right w:val="single" w:sz="4" w:space="0" w:color="auto"/>
            </w:tcBorders>
            <w:shd w:val="clear" w:color="000000" w:fill="C6EFCE"/>
            <w:noWrap/>
            <w:vAlign w:val="center"/>
          </w:tcPr>
          <w:p w14:paraId="3B8837FF"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73D8FCAD"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Tagasinõudmine – õigusaktide jõustumine</w:t>
            </w:r>
          </w:p>
        </w:tc>
      </w:tr>
      <w:tr w:rsidR="00C43058" w:rsidRPr="00E02B5D" w14:paraId="784695F0"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7698078"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199</w:t>
            </w:r>
          </w:p>
        </w:tc>
        <w:tc>
          <w:tcPr>
            <w:tcW w:w="4283" w:type="dxa"/>
            <w:tcBorders>
              <w:top w:val="nil"/>
              <w:left w:val="nil"/>
              <w:bottom w:val="single" w:sz="4" w:space="0" w:color="auto"/>
              <w:right w:val="single" w:sz="4" w:space="0" w:color="auto"/>
            </w:tcBorders>
            <w:shd w:val="clear" w:color="000000" w:fill="C6EFCE"/>
            <w:noWrap/>
            <w:vAlign w:val="center"/>
          </w:tcPr>
          <w:p w14:paraId="55726FBB"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16643_Kodifikatsioon ja maksualaste õigusaktide lihtsustamine</w:t>
            </w:r>
          </w:p>
        </w:tc>
        <w:tc>
          <w:tcPr>
            <w:tcW w:w="1701" w:type="dxa"/>
            <w:tcBorders>
              <w:top w:val="nil"/>
              <w:left w:val="nil"/>
              <w:bottom w:val="single" w:sz="4" w:space="0" w:color="auto"/>
              <w:right w:val="single" w:sz="4" w:space="0" w:color="auto"/>
            </w:tcBorders>
            <w:shd w:val="clear" w:color="000000" w:fill="C6EFCE"/>
            <w:noWrap/>
            <w:vAlign w:val="center"/>
          </w:tcPr>
          <w:p w14:paraId="2235479B"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7108C3A5"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Maksude kodifitseerimise ajakava</w:t>
            </w:r>
          </w:p>
        </w:tc>
      </w:tr>
      <w:tr w:rsidR="00C43058" w:rsidRPr="003B132A" w14:paraId="38F121A9"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6F301E9"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200</w:t>
            </w:r>
          </w:p>
        </w:tc>
        <w:tc>
          <w:tcPr>
            <w:tcW w:w="4283" w:type="dxa"/>
            <w:tcBorders>
              <w:top w:val="nil"/>
              <w:left w:val="nil"/>
              <w:bottom w:val="single" w:sz="4" w:space="0" w:color="auto"/>
              <w:right w:val="single" w:sz="4" w:space="0" w:color="auto"/>
            </w:tcBorders>
            <w:shd w:val="clear" w:color="000000" w:fill="C6EFCE"/>
            <w:noWrap/>
            <w:vAlign w:val="center"/>
          </w:tcPr>
          <w:p w14:paraId="739D2CDF"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18-4.7. Parandada konkurentsivõimet ning edendada erainvesteeringuid ja kaubandust – 16598_Tootlikkuse stimuleerimise kord ja ettevõtete väljatõrjumine (ettevõtete suuruse suurendamine)</w:t>
            </w:r>
          </w:p>
        </w:tc>
        <w:tc>
          <w:tcPr>
            <w:tcW w:w="1701" w:type="dxa"/>
            <w:tcBorders>
              <w:top w:val="nil"/>
              <w:left w:val="nil"/>
              <w:bottom w:val="single" w:sz="4" w:space="0" w:color="auto"/>
              <w:right w:val="single" w:sz="4" w:space="0" w:color="auto"/>
            </w:tcBorders>
            <w:shd w:val="clear" w:color="000000" w:fill="C6EFCE"/>
            <w:noWrap/>
            <w:vAlign w:val="center"/>
          </w:tcPr>
          <w:p w14:paraId="6FCF500F"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7F3F42C3"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Õigusaktide eelnõud, millega soodustatakse ettevõtete avatust</w:t>
            </w:r>
          </w:p>
        </w:tc>
      </w:tr>
      <w:tr w:rsidR="00C43058" w:rsidRPr="00E02B5D" w14:paraId="1C955F23"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5A51CC0"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222</w:t>
            </w:r>
          </w:p>
        </w:tc>
        <w:tc>
          <w:tcPr>
            <w:tcW w:w="4283" w:type="dxa"/>
            <w:tcBorders>
              <w:top w:val="nil"/>
              <w:left w:val="nil"/>
              <w:bottom w:val="single" w:sz="4" w:space="0" w:color="auto"/>
              <w:right w:val="single" w:sz="4" w:space="0" w:color="auto"/>
            </w:tcBorders>
            <w:shd w:val="clear" w:color="000000" w:fill="C6EFCE"/>
            <w:noWrap/>
            <w:vAlign w:val="center"/>
          </w:tcPr>
          <w:p w14:paraId="7A4CA8BE"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16292_Uued kohtuhooned</w:t>
            </w:r>
          </w:p>
        </w:tc>
        <w:tc>
          <w:tcPr>
            <w:tcW w:w="1701" w:type="dxa"/>
            <w:tcBorders>
              <w:top w:val="nil"/>
              <w:left w:val="nil"/>
              <w:bottom w:val="single" w:sz="4" w:space="0" w:color="auto"/>
              <w:right w:val="single" w:sz="4" w:space="0" w:color="auto"/>
            </w:tcBorders>
            <w:shd w:val="clear" w:color="000000" w:fill="C6EFCE"/>
            <w:noWrap/>
            <w:vAlign w:val="center"/>
          </w:tcPr>
          <w:p w14:paraId="69F28DA9"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19318A5A"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Identifitseerimine – abikõlblikud hooned</w:t>
            </w:r>
          </w:p>
        </w:tc>
      </w:tr>
      <w:tr w:rsidR="00C43058" w:rsidRPr="00E02B5D" w14:paraId="6EF48E8D"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96F7D49"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263</w:t>
            </w:r>
          </w:p>
        </w:tc>
        <w:tc>
          <w:tcPr>
            <w:tcW w:w="4283" w:type="dxa"/>
            <w:tcBorders>
              <w:top w:val="nil"/>
              <w:left w:val="nil"/>
              <w:bottom w:val="single" w:sz="4" w:space="0" w:color="auto"/>
              <w:right w:val="single" w:sz="4" w:space="0" w:color="auto"/>
            </w:tcBorders>
            <w:shd w:val="clear" w:color="000000" w:fill="C6EFCE"/>
            <w:noWrap/>
            <w:vAlign w:val="center"/>
          </w:tcPr>
          <w:p w14:paraId="35261C82"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16982_Raudteesektori organisatsioonireform</w:t>
            </w:r>
          </w:p>
        </w:tc>
        <w:tc>
          <w:tcPr>
            <w:tcW w:w="1701" w:type="dxa"/>
            <w:tcBorders>
              <w:top w:val="nil"/>
              <w:left w:val="nil"/>
              <w:bottom w:val="single" w:sz="4" w:space="0" w:color="auto"/>
              <w:right w:val="single" w:sz="4" w:space="0" w:color="auto"/>
            </w:tcBorders>
            <w:shd w:val="clear" w:color="000000" w:fill="C6EFCE"/>
            <w:noWrap/>
            <w:vAlign w:val="center"/>
          </w:tcPr>
          <w:p w14:paraId="1220698B"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007DA376"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Raudteereformi tegevuskava</w:t>
            </w:r>
          </w:p>
        </w:tc>
      </w:tr>
      <w:tr w:rsidR="00C43058" w:rsidRPr="003B132A" w14:paraId="0A9D282D" w14:textId="77777777" w:rsidTr="00C4305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370DA944" w14:textId="77777777" w:rsidR="00C43058" w:rsidRPr="00E02B5D" w:rsidRDefault="00C43058" w:rsidP="00C43058">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331</w:t>
            </w:r>
          </w:p>
        </w:tc>
        <w:tc>
          <w:tcPr>
            <w:tcW w:w="4283" w:type="dxa"/>
            <w:tcBorders>
              <w:top w:val="nil"/>
              <w:left w:val="nil"/>
              <w:bottom w:val="single" w:sz="4" w:space="0" w:color="auto"/>
              <w:right w:val="single" w:sz="4" w:space="0" w:color="auto"/>
            </w:tcBorders>
            <w:shd w:val="clear" w:color="000000" w:fill="C6EFCE"/>
            <w:noWrap/>
            <w:vAlign w:val="center"/>
          </w:tcPr>
          <w:p w14:paraId="22236641"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19-16968_ Tehniline abi</w:t>
            </w:r>
          </w:p>
        </w:tc>
        <w:tc>
          <w:tcPr>
            <w:tcW w:w="1701" w:type="dxa"/>
            <w:tcBorders>
              <w:top w:val="nil"/>
              <w:left w:val="nil"/>
              <w:bottom w:val="single" w:sz="4" w:space="0" w:color="auto"/>
              <w:right w:val="single" w:sz="4" w:space="0" w:color="auto"/>
            </w:tcBorders>
            <w:shd w:val="clear" w:color="000000" w:fill="C6EFCE"/>
            <w:noWrap/>
            <w:vAlign w:val="center"/>
          </w:tcPr>
          <w:p w14:paraId="43168934"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Eesmärk</w:t>
            </w:r>
          </w:p>
        </w:tc>
        <w:tc>
          <w:tcPr>
            <w:tcW w:w="2153" w:type="dxa"/>
            <w:tcBorders>
              <w:top w:val="nil"/>
              <w:left w:val="nil"/>
              <w:bottom w:val="single" w:sz="4" w:space="0" w:color="auto"/>
              <w:right w:val="single" w:sz="4" w:space="0" w:color="auto"/>
            </w:tcBorders>
            <w:shd w:val="clear" w:color="000000" w:fill="C6EFCE"/>
            <w:noWrap/>
            <w:vAlign w:val="center"/>
          </w:tcPr>
          <w:p w14:paraId="529A7591" w14:textId="77777777" w:rsidR="00C43058" w:rsidRPr="00E02B5D" w:rsidRDefault="00C43058" w:rsidP="00C43058">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rPr>
              <w:t xml:space="preserve">EDELi õiguslik mandaat ning juhtimis-, kontrolli- ja auditisüsteemide loomine </w:t>
            </w:r>
          </w:p>
        </w:tc>
      </w:tr>
      <w:tr w:rsidR="00C43058" w:rsidRPr="00E02B5D" w14:paraId="1BC4E3EA" w14:textId="77777777" w:rsidTr="00C4305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4A1AFA6C" w14:textId="77777777" w:rsidR="00C43058" w:rsidRPr="00E02B5D" w:rsidRDefault="00C43058" w:rsidP="00C43058">
            <w:pPr>
              <w:keepNext/>
              <w:spacing w:before="40" w:after="0" w:line="259" w:lineRule="auto"/>
              <w:jc w:val="both"/>
              <w:rPr>
                <w:rFonts w:ascii="Times New Roman" w:eastAsia="Times New Roman" w:hAnsi="Times New Roman" w:cs="Times New Roman"/>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0805E44B" w14:textId="77777777" w:rsidR="00C43058" w:rsidRPr="00E02B5D" w:rsidRDefault="00C43058" w:rsidP="00C43058">
            <w:pPr>
              <w:keepNext/>
              <w:spacing w:before="40" w:after="0" w:line="259" w:lineRule="auto"/>
              <w:rPr>
                <w:rFonts w:ascii="Times New Roman" w:eastAsia="Times New Roman" w:hAnsi="Times New Roman" w:cs="Times New Roman"/>
                <w:bCs/>
                <w:noProof/>
                <w:sz w:val="18"/>
                <w:szCs w:val="18"/>
                <w:lang w:val="en-GB" w:eastAsia="en-GB"/>
              </w:rPr>
            </w:pPr>
          </w:p>
        </w:tc>
        <w:tc>
          <w:tcPr>
            <w:tcW w:w="1701" w:type="dxa"/>
            <w:tcBorders>
              <w:top w:val="single" w:sz="4" w:space="0" w:color="auto"/>
              <w:left w:val="nil"/>
              <w:bottom w:val="single" w:sz="4" w:space="0" w:color="auto"/>
              <w:right w:val="single" w:sz="4" w:space="0" w:color="auto"/>
            </w:tcBorders>
            <w:shd w:val="clear" w:color="auto" w:fill="C6EFCE"/>
            <w:noWrap/>
            <w:vAlign w:val="bottom"/>
          </w:tcPr>
          <w:p w14:paraId="6513C9AA" w14:textId="77777777" w:rsidR="00C43058" w:rsidRPr="00E02B5D" w:rsidRDefault="00C43058" w:rsidP="00C43058">
            <w:pPr>
              <w:keepNext/>
              <w:spacing w:before="40" w:after="0" w:line="259" w:lineRule="auto"/>
              <w:rPr>
                <w:rFonts w:ascii="Times New Roman" w:eastAsia="Times New Roman" w:hAnsi="Times New Roman" w:cs="Times New Roman"/>
                <w:bCs/>
                <w:noProof/>
                <w:sz w:val="18"/>
                <w:szCs w:val="18"/>
              </w:rPr>
            </w:pPr>
            <w:r>
              <w:rPr>
                <w:rFonts w:ascii="Times New Roman" w:hAnsi="Times New Roman"/>
                <w:noProof/>
                <w:sz w:val="18"/>
              </w:rPr>
              <w:t>Osamakse summa</w:t>
            </w:r>
          </w:p>
        </w:tc>
        <w:tc>
          <w:tcPr>
            <w:tcW w:w="2153" w:type="dxa"/>
            <w:tcBorders>
              <w:top w:val="single" w:sz="4" w:space="0" w:color="auto"/>
              <w:left w:val="nil"/>
              <w:bottom w:val="single" w:sz="4" w:space="0" w:color="auto"/>
              <w:right w:val="single" w:sz="4" w:space="0" w:color="auto"/>
            </w:tcBorders>
            <w:shd w:val="clear" w:color="auto" w:fill="C6EFCE"/>
            <w:noWrap/>
            <w:vAlign w:val="bottom"/>
          </w:tcPr>
          <w:p w14:paraId="432C7658" w14:textId="77777777" w:rsidR="00C43058" w:rsidRPr="00E02B5D" w:rsidRDefault="00C43058" w:rsidP="00C43058">
            <w:pPr>
              <w:keepNext/>
              <w:spacing w:before="40" w:after="0" w:line="259" w:lineRule="auto"/>
              <w:rPr>
                <w:rFonts w:ascii="Times New Roman" w:eastAsia="Times New Roman" w:hAnsi="Times New Roman" w:cs="Times New Roman"/>
                <w:bCs/>
                <w:noProof/>
                <w:sz w:val="18"/>
                <w:szCs w:val="18"/>
              </w:rPr>
            </w:pPr>
            <w:r>
              <w:rPr>
                <w:rFonts w:ascii="Times New Roman" w:hAnsi="Times New Roman"/>
                <w:noProof/>
                <w:sz w:val="18"/>
              </w:rPr>
              <w:t>1 974 438 067 eurot</w:t>
            </w:r>
          </w:p>
        </w:tc>
      </w:tr>
    </w:tbl>
    <w:p w14:paraId="2B43B8C3" w14:textId="05ABCEEF" w:rsidR="00D20B54" w:rsidRPr="00D20B54" w:rsidRDefault="00B430F0" w:rsidP="00D20B54">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Teine osamakse (tagastamatu toetus):</w:t>
      </w:r>
    </w:p>
    <w:tbl>
      <w:tblPr>
        <w:tblW w:w="9519" w:type="dxa"/>
        <w:jc w:val="center"/>
        <w:tblLook w:val="04A0" w:firstRow="1" w:lastRow="0" w:firstColumn="1" w:lastColumn="0" w:noHBand="0" w:noVBand="1"/>
      </w:tblPr>
      <w:tblGrid>
        <w:gridCol w:w="1804"/>
        <w:gridCol w:w="4283"/>
        <w:gridCol w:w="1692"/>
        <w:gridCol w:w="1806"/>
      </w:tblGrid>
      <w:tr w:rsidR="00B430F0" w:rsidRPr="005622B6" w14:paraId="440623B5" w14:textId="77777777" w:rsidTr="00281FA5">
        <w:trPr>
          <w:trHeight w:val="509"/>
          <w:tblHeader/>
          <w:jc w:val="center"/>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AB5DF17" w14:textId="2B2E6252" w:rsidR="00B430F0" w:rsidRPr="005622B6" w:rsidRDefault="00D20B54"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E3C302C"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610F860"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14:paraId="04156667"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7D576579" w14:textId="77777777" w:rsidTr="00C35E51">
        <w:trPr>
          <w:trHeight w:val="990"/>
          <w:jc w:val="center"/>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3A94A9A0"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743C34EA"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44C6F463"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40" w:type="dxa"/>
            <w:vMerge/>
            <w:tcBorders>
              <w:top w:val="single" w:sz="4" w:space="0" w:color="auto"/>
              <w:left w:val="nil"/>
              <w:bottom w:val="single" w:sz="4" w:space="0" w:color="000000"/>
              <w:right w:val="single" w:sz="4" w:space="0" w:color="auto"/>
            </w:tcBorders>
            <w:vAlign w:val="center"/>
            <w:hideMark/>
          </w:tcPr>
          <w:p w14:paraId="1F9A4BB7"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B430F0" w:rsidRPr="003B132A" w14:paraId="6E8DD6E2" w14:textId="77777777" w:rsidTr="00C35E51">
        <w:trPr>
          <w:trHeight w:val="302"/>
          <w:jc w:val="center"/>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CDCC36D"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44</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5C41F8C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3-1.3. Laadimine ja tankimine – 16924_ Elektromobiilsus</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69F29FE5"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1BED02B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Ühistransport – avaliku teenindamise kohustuse turu reguleerimise jõustumine (bussid)</w:t>
            </w:r>
          </w:p>
        </w:tc>
      </w:tr>
      <w:tr w:rsidR="00B430F0" w:rsidRPr="003B132A" w14:paraId="273041F0"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27982FA"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197</w:t>
            </w:r>
          </w:p>
        </w:tc>
        <w:tc>
          <w:tcPr>
            <w:tcW w:w="4283" w:type="dxa"/>
            <w:tcBorders>
              <w:top w:val="nil"/>
              <w:left w:val="nil"/>
              <w:bottom w:val="single" w:sz="4" w:space="0" w:color="auto"/>
              <w:right w:val="single" w:sz="4" w:space="0" w:color="auto"/>
            </w:tcBorders>
            <w:shd w:val="clear" w:color="000000" w:fill="C6EFCE"/>
            <w:noWrap/>
            <w:vAlign w:val="center"/>
          </w:tcPr>
          <w:p w14:paraId="1AA299C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16863_Super – rohelise majanduse, energeetika ja digiüleminekuga seotud kulude mahaarvamine</w:t>
            </w:r>
          </w:p>
        </w:tc>
        <w:tc>
          <w:tcPr>
            <w:tcW w:w="1692" w:type="dxa"/>
            <w:tcBorders>
              <w:top w:val="nil"/>
              <w:left w:val="nil"/>
              <w:bottom w:val="single" w:sz="4" w:space="0" w:color="auto"/>
              <w:right w:val="single" w:sz="4" w:space="0" w:color="auto"/>
            </w:tcBorders>
            <w:shd w:val="clear" w:color="000000" w:fill="C6EFCE"/>
            <w:noWrap/>
            <w:vAlign w:val="center"/>
          </w:tcPr>
          <w:p w14:paraId="6AF2ECF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0478BE7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Suuremahuline mahaarvamine VKEde rohe- ja digiinvesteeringute puhul</w:t>
            </w:r>
          </w:p>
        </w:tc>
      </w:tr>
      <w:tr w:rsidR="00B430F0" w:rsidRPr="003B132A" w14:paraId="027062EE"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15E5215"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198</w:t>
            </w:r>
          </w:p>
        </w:tc>
        <w:tc>
          <w:tcPr>
            <w:tcW w:w="4283" w:type="dxa"/>
            <w:tcBorders>
              <w:top w:val="nil"/>
              <w:left w:val="nil"/>
              <w:bottom w:val="single" w:sz="4" w:space="0" w:color="auto"/>
              <w:right w:val="single" w:sz="4" w:space="0" w:color="auto"/>
            </w:tcBorders>
            <w:shd w:val="clear" w:color="000000" w:fill="C6EFCE"/>
            <w:noWrap/>
            <w:vAlign w:val="center"/>
          </w:tcPr>
          <w:p w14:paraId="1A7FA475"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16616_Elektrooniliste tehingute suurendamise meetmete ja stiimulite vastuvõtmine</w:t>
            </w:r>
          </w:p>
        </w:tc>
        <w:tc>
          <w:tcPr>
            <w:tcW w:w="1692" w:type="dxa"/>
            <w:tcBorders>
              <w:top w:val="nil"/>
              <w:left w:val="nil"/>
              <w:bottom w:val="single" w:sz="4" w:space="0" w:color="auto"/>
              <w:right w:val="single" w:sz="4" w:space="0" w:color="auto"/>
            </w:tcBorders>
            <w:shd w:val="clear" w:color="000000" w:fill="C6EFCE"/>
            <w:noWrap/>
            <w:vAlign w:val="center"/>
          </w:tcPr>
          <w:p w14:paraId="2DD4D22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588F099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Õigusaktid e-tehingute soodustamiseks</w:t>
            </w:r>
          </w:p>
        </w:tc>
      </w:tr>
      <w:tr w:rsidR="00B430F0" w:rsidRPr="003B132A" w14:paraId="01EC113A"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C8FF790"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240</w:t>
            </w:r>
          </w:p>
        </w:tc>
        <w:tc>
          <w:tcPr>
            <w:tcW w:w="4283" w:type="dxa"/>
            <w:tcBorders>
              <w:top w:val="nil"/>
              <w:left w:val="nil"/>
              <w:bottom w:val="single" w:sz="4" w:space="0" w:color="auto"/>
              <w:right w:val="single" w:sz="4" w:space="0" w:color="auto"/>
            </w:tcBorders>
            <w:shd w:val="clear" w:color="000000" w:fill="C6EFCE"/>
            <w:noWrap/>
            <w:vAlign w:val="center"/>
          </w:tcPr>
          <w:p w14:paraId="2A19248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15-4.4. Finantssektori ja kapitaliturgude tugevdamine – 16581_Kapitalituru tõhustatud järelevalve ja usaldusväärsus</w:t>
            </w:r>
          </w:p>
        </w:tc>
        <w:tc>
          <w:tcPr>
            <w:tcW w:w="1692" w:type="dxa"/>
            <w:tcBorders>
              <w:top w:val="nil"/>
              <w:left w:val="nil"/>
              <w:bottom w:val="single" w:sz="4" w:space="0" w:color="auto"/>
              <w:right w:val="single" w:sz="4" w:space="0" w:color="auto"/>
            </w:tcBorders>
            <w:shd w:val="clear" w:color="000000" w:fill="C6EFCE"/>
            <w:noWrap/>
            <w:vAlign w:val="center"/>
          </w:tcPr>
          <w:p w14:paraId="219A6DD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3C757A9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Kapitaliturud, järelevalve, järelevalveprotsesside digitaliseerimine, kapitaliturgude liit</w:t>
            </w:r>
          </w:p>
        </w:tc>
      </w:tr>
      <w:tr w:rsidR="00B430F0" w:rsidRPr="00E02B5D" w14:paraId="05E34251"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85D9DE8"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299</w:t>
            </w:r>
          </w:p>
        </w:tc>
        <w:tc>
          <w:tcPr>
            <w:tcW w:w="4283" w:type="dxa"/>
            <w:tcBorders>
              <w:top w:val="nil"/>
              <w:left w:val="nil"/>
              <w:bottom w:val="single" w:sz="4" w:space="0" w:color="auto"/>
              <w:right w:val="single" w:sz="4" w:space="0" w:color="auto"/>
            </w:tcBorders>
            <w:shd w:val="clear" w:color="000000" w:fill="C6EFCE"/>
            <w:noWrap/>
            <w:vAlign w:val="center"/>
          </w:tcPr>
          <w:p w14:paraId="1A7FC43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16593_Strateegiliste investeeringute ligimeelitamise õigusraamistiku muutmine</w:t>
            </w:r>
          </w:p>
        </w:tc>
        <w:tc>
          <w:tcPr>
            <w:tcW w:w="1692" w:type="dxa"/>
            <w:tcBorders>
              <w:top w:val="nil"/>
              <w:left w:val="nil"/>
              <w:bottom w:val="single" w:sz="4" w:space="0" w:color="auto"/>
              <w:right w:val="single" w:sz="4" w:space="0" w:color="auto"/>
            </w:tcBorders>
            <w:shd w:val="clear" w:color="000000" w:fill="C6EFCE"/>
            <w:noWrap/>
            <w:vAlign w:val="center"/>
          </w:tcPr>
          <w:p w14:paraId="329686C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53BC9D1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Strateegilised investeeringud – õigusloomereform</w:t>
            </w:r>
          </w:p>
        </w:tc>
      </w:tr>
      <w:tr w:rsidR="00B430F0" w:rsidRPr="00E02B5D" w14:paraId="06FB19C4"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A73D16C"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9</w:t>
            </w:r>
          </w:p>
        </w:tc>
        <w:tc>
          <w:tcPr>
            <w:tcW w:w="4283" w:type="dxa"/>
            <w:tcBorders>
              <w:top w:val="nil"/>
              <w:left w:val="nil"/>
              <w:bottom w:val="single" w:sz="4" w:space="0" w:color="auto"/>
              <w:right w:val="single" w:sz="4" w:space="0" w:color="auto"/>
            </w:tcBorders>
            <w:shd w:val="clear" w:color="000000" w:fill="C6EFCE"/>
            <w:noWrap/>
            <w:vAlign w:val="center"/>
          </w:tcPr>
          <w:p w14:paraId="48361EA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16871_Taaselustamismeetmed kõige enam mõjutatud territooriumidel (õiglase ülemineku piirkonnad)</w:t>
            </w:r>
          </w:p>
        </w:tc>
        <w:tc>
          <w:tcPr>
            <w:tcW w:w="1692" w:type="dxa"/>
            <w:tcBorders>
              <w:top w:val="nil"/>
              <w:left w:val="nil"/>
              <w:bottom w:val="single" w:sz="4" w:space="0" w:color="auto"/>
              <w:right w:val="single" w:sz="4" w:space="0" w:color="auto"/>
            </w:tcBorders>
            <w:shd w:val="clear" w:color="000000" w:fill="C6EFCE"/>
            <w:noWrap/>
            <w:vAlign w:val="center"/>
          </w:tcPr>
          <w:p w14:paraId="5F44028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4F22D96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Maa taastamine – raamseadus</w:t>
            </w:r>
          </w:p>
        </w:tc>
      </w:tr>
      <w:tr w:rsidR="00B430F0" w:rsidRPr="003B132A" w14:paraId="18F3C1CC"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A182368"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130</w:t>
            </w:r>
          </w:p>
        </w:tc>
        <w:tc>
          <w:tcPr>
            <w:tcW w:w="4283" w:type="dxa"/>
            <w:tcBorders>
              <w:top w:val="nil"/>
              <w:left w:val="nil"/>
              <w:bottom w:val="single" w:sz="4" w:space="0" w:color="auto"/>
              <w:right w:val="single" w:sz="4" w:space="0" w:color="auto"/>
            </w:tcBorders>
            <w:shd w:val="clear" w:color="000000" w:fill="C6EFCE"/>
            <w:noWrap/>
            <w:vAlign w:val="center"/>
          </w:tcPr>
          <w:p w14:paraId="3B13374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7-2.3. Ettevõtete digitaliseerimine – 16706_VKEde digitaalne ümberkujundamine</w:t>
            </w:r>
          </w:p>
        </w:tc>
        <w:tc>
          <w:tcPr>
            <w:tcW w:w="1692" w:type="dxa"/>
            <w:tcBorders>
              <w:top w:val="nil"/>
              <w:left w:val="nil"/>
              <w:bottom w:val="single" w:sz="4" w:space="0" w:color="auto"/>
              <w:right w:val="single" w:sz="4" w:space="0" w:color="auto"/>
            </w:tcBorders>
            <w:shd w:val="clear" w:color="000000" w:fill="C6EFCE"/>
            <w:noWrap/>
            <w:vAlign w:val="center"/>
          </w:tcPr>
          <w:p w14:paraId="6B3B96B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8121670" w14:textId="1B745CA8"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VKEde digiüleminek – konkursikutsed</w:t>
            </w:r>
          </w:p>
        </w:tc>
      </w:tr>
      <w:tr w:rsidR="00B430F0" w:rsidRPr="003B132A" w14:paraId="54E8C072"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A5E734B"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174</w:t>
            </w:r>
          </w:p>
        </w:tc>
        <w:tc>
          <w:tcPr>
            <w:tcW w:w="4283" w:type="dxa"/>
            <w:tcBorders>
              <w:top w:val="nil"/>
              <w:left w:val="nil"/>
              <w:bottom w:val="single" w:sz="4" w:space="0" w:color="auto"/>
              <w:right w:val="single" w:sz="4" w:space="0" w:color="auto"/>
            </w:tcBorders>
            <w:shd w:val="clear" w:color="000000" w:fill="C6EFCE"/>
            <w:noWrap/>
            <w:vAlign w:val="center"/>
          </w:tcPr>
          <w:p w14:paraId="7479E95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11-3.4. Parandada juurdepääsu tõhusale ja kaasavale sotsiaalpoliitikale – 16904_puue</w:t>
            </w:r>
          </w:p>
        </w:tc>
        <w:tc>
          <w:tcPr>
            <w:tcW w:w="1692" w:type="dxa"/>
            <w:tcBorders>
              <w:top w:val="nil"/>
              <w:left w:val="nil"/>
              <w:bottom w:val="single" w:sz="4" w:space="0" w:color="auto"/>
              <w:right w:val="single" w:sz="4" w:space="0" w:color="auto"/>
            </w:tcBorders>
            <w:shd w:val="clear" w:color="000000" w:fill="C6EFCE"/>
            <w:noWrap/>
            <w:vAlign w:val="center"/>
          </w:tcPr>
          <w:p w14:paraId="03F8F045"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002635C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Isikliku abistaja puudeid käsitlev seadus ja esimese etapi katsekava kasutuselevõtmine</w:t>
            </w:r>
          </w:p>
        </w:tc>
      </w:tr>
      <w:tr w:rsidR="00B430F0" w:rsidRPr="003B132A" w14:paraId="238AB40A"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02BAA04"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188</w:t>
            </w:r>
          </w:p>
        </w:tc>
        <w:tc>
          <w:tcPr>
            <w:tcW w:w="4283" w:type="dxa"/>
            <w:tcBorders>
              <w:top w:val="nil"/>
              <w:left w:val="nil"/>
              <w:bottom w:val="single" w:sz="4" w:space="0" w:color="auto"/>
              <w:right w:val="single" w:sz="4" w:space="0" w:color="auto"/>
            </w:tcBorders>
            <w:shd w:val="clear" w:color="000000" w:fill="C6EFCE"/>
            <w:noWrap/>
            <w:vAlign w:val="center"/>
          </w:tcPr>
          <w:p w14:paraId="2625F9B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16614_Veebipõhised kassaaparaadid ja müügikohad (reform)</w:t>
            </w:r>
          </w:p>
        </w:tc>
        <w:tc>
          <w:tcPr>
            <w:tcW w:w="1692" w:type="dxa"/>
            <w:tcBorders>
              <w:top w:val="nil"/>
              <w:left w:val="nil"/>
              <w:bottom w:val="single" w:sz="4" w:space="0" w:color="auto"/>
              <w:right w:val="single" w:sz="4" w:space="0" w:color="auto"/>
            </w:tcBorders>
            <w:shd w:val="clear" w:color="000000" w:fill="C6EFCE"/>
            <w:noWrap/>
            <w:vAlign w:val="center"/>
          </w:tcPr>
          <w:p w14:paraId="19EA16B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4476FB1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Avaliku sektori tulude sõltumatu amet (IAPR): Internetipõhised kassaaparaadid ja müügikohad (POS) – õigusraamistiku jõustumine</w:t>
            </w:r>
          </w:p>
        </w:tc>
      </w:tr>
      <w:tr w:rsidR="00B430F0" w:rsidRPr="003B132A" w14:paraId="6C2F0CF9"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B299696"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190</w:t>
            </w:r>
          </w:p>
        </w:tc>
        <w:tc>
          <w:tcPr>
            <w:tcW w:w="4283" w:type="dxa"/>
            <w:tcBorders>
              <w:top w:val="nil"/>
              <w:left w:val="nil"/>
              <w:bottom w:val="single" w:sz="4" w:space="0" w:color="auto"/>
              <w:right w:val="single" w:sz="4" w:space="0" w:color="auto"/>
            </w:tcBorders>
            <w:shd w:val="clear" w:color="000000" w:fill="C6EFCE"/>
            <w:noWrap/>
            <w:vAlign w:val="center"/>
          </w:tcPr>
          <w:p w14:paraId="2582BFC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16656_Uus raamistik võitluseks salakaubaveoga, peamiselt aktsiisiga maksustatavate toodete puhul (tubakas, alkohol ja energia)</w:t>
            </w:r>
          </w:p>
        </w:tc>
        <w:tc>
          <w:tcPr>
            <w:tcW w:w="1692" w:type="dxa"/>
            <w:tcBorders>
              <w:top w:val="nil"/>
              <w:left w:val="nil"/>
              <w:bottom w:val="single" w:sz="4" w:space="0" w:color="auto"/>
              <w:right w:val="single" w:sz="4" w:space="0" w:color="auto"/>
            </w:tcBorders>
            <w:shd w:val="clear" w:color="000000" w:fill="C6EFCE"/>
            <w:noWrap/>
            <w:vAlign w:val="center"/>
          </w:tcPr>
          <w:p w14:paraId="2402F8A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2108DDB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Võitlus inimeste ebaseadusliku üle piiri toimetamise vastu – regulatiivsete otsuste tegevuskava</w:t>
            </w:r>
          </w:p>
        </w:tc>
      </w:tr>
      <w:tr w:rsidR="00B430F0" w:rsidRPr="003B132A" w14:paraId="3AA37639"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4119594"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201</w:t>
            </w:r>
          </w:p>
        </w:tc>
        <w:tc>
          <w:tcPr>
            <w:tcW w:w="4283" w:type="dxa"/>
            <w:tcBorders>
              <w:top w:val="nil"/>
              <w:left w:val="nil"/>
              <w:bottom w:val="single" w:sz="4" w:space="0" w:color="auto"/>
              <w:right w:val="single" w:sz="4" w:space="0" w:color="auto"/>
            </w:tcBorders>
            <w:shd w:val="clear" w:color="000000" w:fill="C6EFCE"/>
            <w:noWrap/>
            <w:vAlign w:val="center"/>
          </w:tcPr>
          <w:p w14:paraId="11A448F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18-4.7. Parandada konkurentsivõimet ning edendada erainvesteeringuid ja kaubandust – 16598_Tootlikkuse stimuleerimise kord ja ettevõtete väljatõrjumine (ettevõtete suuruse suurendamine)</w:t>
            </w:r>
          </w:p>
        </w:tc>
        <w:tc>
          <w:tcPr>
            <w:tcW w:w="1692" w:type="dxa"/>
            <w:tcBorders>
              <w:top w:val="nil"/>
              <w:left w:val="nil"/>
              <w:bottom w:val="single" w:sz="4" w:space="0" w:color="auto"/>
              <w:right w:val="single" w:sz="4" w:space="0" w:color="auto"/>
            </w:tcBorders>
            <w:shd w:val="clear" w:color="000000" w:fill="C6EFCE"/>
            <w:noWrap/>
            <w:vAlign w:val="center"/>
          </w:tcPr>
          <w:p w14:paraId="66905C1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4B2A8E5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Õigusaktid, mis soodustavad ettevõtete avatumaks muutmist</w:t>
            </w:r>
          </w:p>
        </w:tc>
      </w:tr>
      <w:tr w:rsidR="00B430F0" w:rsidRPr="00E02B5D" w14:paraId="0831DE92"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BFB41A6"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224</w:t>
            </w:r>
          </w:p>
        </w:tc>
        <w:tc>
          <w:tcPr>
            <w:tcW w:w="4283" w:type="dxa"/>
            <w:tcBorders>
              <w:top w:val="nil"/>
              <w:left w:val="nil"/>
              <w:bottom w:val="single" w:sz="4" w:space="0" w:color="auto"/>
              <w:right w:val="single" w:sz="4" w:space="0" w:color="auto"/>
            </w:tcBorders>
            <w:shd w:val="clear" w:color="000000" w:fill="C6EFCE"/>
            <w:noWrap/>
            <w:vAlign w:val="center"/>
          </w:tcPr>
          <w:p w14:paraId="61124815"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16733_Kutseoskused ja digioskused kohtunike ja kohtutöötajate jaoks (kohtutöötajad)</w:t>
            </w:r>
          </w:p>
        </w:tc>
        <w:tc>
          <w:tcPr>
            <w:tcW w:w="1692" w:type="dxa"/>
            <w:tcBorders>
              <w:top w:val="nil"/>
              <w:left w:val="nil"/>
              <w:bottom w:val="single" w:sz="4" w:space="0" w:color="auto"/>
              <w:right w:val="single" w:sz="4" w:space="0" w:color="auto"/>
            </w:tcBorders>
            <w:shd w:val="clear" w:color="000000" w:fill="C6EFCE"/>
            <w:noWrap/>
            <w:vAlign w:val="center"/>
          </w:tcPr>
          <w:p w14:paraId="1564321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740" w:type="dxa"/>
            <w:tcBorders>
              <w:top w:val="nil"/>
              <w:left w:val="nil"/>
              <w:bottom w:val="single" w:sz="4" w:space="0" w:color="auto"/>
              <w:right w:val="single" w:sz="4" w:space="0" w:color="auto"/>
            </w:tcBorders>
            <w:shd w:val="clear" w:color="000000" w:fill="C6EFCE"/>
            <w:noWrap/>
            <w:vAlign w:val="center"/>
          </w:tcPr>
          <w:p w14:paraId="3FE325E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Koolitus – kohtunikud ja kantseleitöötajad</w:t>
            </w:r>
          </w:p>
        </w:tc>
      </w:tr>
      <w:tr w:rsidR="00B430F0" w:rsidRPr="003B132A" w14:paraId="0850A718"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C343DBC"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245</w:t>
            </w:r>
          </w:p>
        </w:tc>
        <w:tc>
          <w:tcPr>
            <w:tcW w:w="4283" w:type="dxa"/>
            <w:tcBorders>
              <w:top w:val="nil"/>
              <w:left w:val="nil"/>
              <w:bottom w:val="single" w:sz="4" w:space="0" w:color="auto"/>
              <w:right w:val="single" w:sz="4" w:space="0" w:color="auto"/>
            </w:tcBorders>
            <w:shd w:val="clear" w:color="000000" w:fill="C6EFCE"/>
            <w:noWrap/>
            <w:vAlign w:val="center"/>
          </w:tcPr>
          <w:p w14:paraId="7B31461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16-4.5. Teadusuuringute ja innovatsiooni edendamine – 16618_Alus- ja rakendusuuringud</w:t>
            </w:r>
          </w:p>
        </w:tc>
        <w:tc>
          <w:tcPr>
            <w:tcW w:w="1692" w:type="dxa"/>
            <w:tcBorders>
              <w:top w:val="nil"/>
              <w:left w:val="nil"/>
              <w:bottom w:val="single" w:sz="4" w:space="0" w:color="auto"/>
              <w:right w:val="single" w:sz="4" w:space="0" w:color="auto"/>
            </w:tcBorders>
            <w:shd w:val="clear" w:color="000000" w:fill="C6EFCE"/>
            <w:noWrap/>
            <w:vAlign w:val="center"/>
          </w:tcPr>
          <w:p w14:paraId="2C59BBE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0989D8D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Alus- ja rakendusuuringuid käsitlevad õigusaktid</w:t>
            </w:r>
          </w:p>
        </w:tc>
      </w:tr>
      <w:tr w:rsidR="00B430F0" w:rsidRPr="003B132A" w14:paraId="6D190CA6"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9270848"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246</w:t>
            </w:r>
          </w:p>
        </w:tc>
        <w:tc>
          <w:tcPr>
            <w:tcW w:w="4283" w:type="dxa"/>
            <w:tcBorders>
              <w:top w:val="nil"/>
              <w:left w:val="nil"/>
              <w:bottom w:val="single" w:sz="4" w:space="0" w:color="auto"/>
              <w:right w:val="single" w:sz="4" w:space="0" w:color="auto"/>
            </w:tcBorders>
            <w:shd w:val="clear" w:color="000000" w:fill="C6EFCE"/>
            <w:noWrap/>
            <w:vAlign w:val="center"/>
          </w:tcPr>
          <w:p w14:paraId="09756D5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16-4.5. Teadusuuringute ja innovatsiooni edendamine – 16624_Creation – Laiendamine – Teadusuuringute ja innovatsiooni peasekretariaadi (GSRI) järelevalve all olevate uurimiskeskuste infrastruktuuride ajakohastamine</w:t>
            </w:r>
          </w:p>
        </w:tc>
        <w:tc>
          <w:tcPr>
            <w:tcW w:w="1692" w:type="dxa"/>
            <w:tcBorders>
              <w:top w:val="nil"/>
              <w:left w:val="nil"/>
              <w:bottom w:val="single" w:sz="4" w:space="0" w:color="auto"/>
              <w:right w:val="single" w:sz="4" w:space="0" w:color="auto"/>
            </w:tcBorders>
            <w:shd w:val="clear" w:color="000000" w:fill="C6EFCE"/>
            <w:noWrap/>
            <w:vAlign w:val="center"/>
          </w:tcPr>
          <w:p w14:paraId="78F0DC3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4B3C8DC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Konkursikutse teaduskeskustele</w:t>
            </w:r>
          </w:p>
        </w:tc>
      </w:tr>
      <w:tr w:rsidR="00B430F0" w:rsidRPr="003B132A" w14:paraId="2431DEC8"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5071CF6"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292</w:t>
            </w:r>
          </w:p>
        </w:tc>
        <w:tc>
          <w:tcPr>
            <w:tcW w:w="4283" w:type="dxa"/>
            <w:tcBorders>
              <w:top w:val="nil"/>
              <w:left w:val="nil"/>
              <w:bottom w:val="single" w:sz="4" w:space="0" w:color="auto"/>
              <w:right w:val="single" w:sz="4" w:space="0" w:color="auto"/>
            </w:tcBorders>
            <w:shd w:val="clear" w:color="000000" w:fill="C6EFCE"/>
            <w:noWrap/>
            <w:vAlign w:val="center"/>
          </w:tcPr>
          <w:p w14:paraId="2CEEEF7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16931_Turismi arendamine</w:t>
            </w:r>
          </w:p>
        </w:tc>
        <w:tc>
          <w:tcPr>
            <w:tcW w:w="1692" w:type="dxa"/>
            <w:tcBorders>
              <w:top w:val="nil"/>
              <w:left w:val="nil"/>
              <w:bottom w:val="single" w:sz="4" w:space="0" w:color="auto"/>
              <w:right w:val="single" w:sz="4" w:space="0" w:color="auto"/>
            </w:tcBorders>
            <w:shd w:val="clear" w:color="000000" w:fill="C6EFCE"/>
            <w:noWrap/>
            <w:vAlign w:val="center"/>
          </w:tcPr>
          <w:p w14:paraId="6566A4C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2DCCC86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Turismi arendamine: turismisadamate reformid</w:t>
            </w:r>
          </w:p>
        </w:tc>
      </w:tr>
      <w:tr w:rsidR="00B430F0" w:rsidRPr="003B132A" w14:paraId="0EFC4487"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83C68B0"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300</w:t>
            </w:r>
          </w:p>
        </w:tc>
        <w:tc>
          <w:tcPr>
            <w:tcW w:w="4283" w:type="dxa"/>
            <w:tcBorders>
              <w:top w:val="nil"/>
              <w:left w:val="nil"/>
              <w:bottom w:val="single" w:sz="4" w:space="0" w:color="auto"/>
              <w:right w:val="single" w:sz="4" w:space="0" w:color="auto"/>
            </w:tcBorders>
            <w:shd w:val="clear" w:color="000000" w:fill="C6EFCE"/>
            <w:noWrap/>
            <w:vAlign w:val="center"/>
          </w:tcPr>
          <w:p w14:paraId="3088ED1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16721_Aruka tootmise kiirendamine</w:t>
            </w:r>
          </w:p>
        </w:tc>
        <w:tc>
          <w:tcPr>
            <w:tcW w:w="1692" w:type="dxa"/>
            <w:tcBorders>
              <w:top w:val="nil"/>
              <w:left w:val="nil"/>
              <w:bottom w:val="single" w:sz="4" w:space="0" w:color="auto"/>
              <w:right w:val="single" w:sz="4" w:space="0" w:color="auto"/>
            </w:tcBorders>
            <w:shd w:val="clear" w:color="000000" w:fill="C6EFCE"/>
            <w:noWrap/>
            <w:vAlign w:val="center"/>
          </w:tcPr>
          <w:p w14:paraId="0FFCA4A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A45B34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Tootmiskonkursside algatamine</w:t>
            </w:r>
          </w:p>
        </w:tc>
      </w:tr>
      <w:tr w:rsidR="00B430F0" w:rsidRPr="003B132A" w14:paraId="5D48DE28"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EDDA151"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301</w:t>
            </w:r>
          </w:p>
        </w:tc>
        <w:tc>
          <w:tcPr>
            <w:tcW w:w="4283" w:type="dxa"/>
            <w:tcBorders>
              <w:top w:val="nil"/>
              <w:left w:val="nil"/>
              <w:bottom w:val="single" w:sz="4" w:space="0" w:color="auto"/>
              <w:right w:val="single" w:sz="4" w:space="0" w:color="auto"/>
            </w:tcBorders>
            <w:shd w:val="clear" w:color="000000" w:fill="C6EFCE"/>
            <w:noWrap/>
            <w:vAlign w:val="center"/>
          </w:tcPr>
          <w:p w14:paraId="17829C0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16634_Uued tööstuspargid</w:t>
            </w:r>
          </w:p>
        </w:tc>
        <w:tc>
          <w:tcPr>
            <w:tcW w:w="1692" w:type="dxa"/>
            <w:tcBorders>
              <w:top w:val="nil"/>
              <w:left w:val="nil"/>
              <w:bottom w:val="single" w:sz="4" w:space="0" w:color="auto"/>
              <w:right w:val="single" w:sz="4" w:space="0" w:color="auto"/>
            </w:tcBorders>
            <w:shd w:val="clear" w:color="000000" w:fill="C6EFCE"/>
            <w:noWrap/>
            <w:vAlign w:val="center"/>
          </w:tcPr>
          <w:p w14:paraId="08A9BA3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72590CB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Tööstusparkide konkursside algatamine</w:t>
            </w:r>
          </w:p>
        </w:tc>
      </w:tr>
      <w:tr w:rsidR="00B430F0" w:rsidRPr="003B132A" w14:paraId="1450113B"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F7F881C"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310</w:t>
            </w:r>
          </w:p>
        </w:tc>
        <w:tc>
          <w:tcPr>
            <w:tcW w:w="4283" w:type="dxa"/>
            <w:tcBorders>
              <w:top w:val="nil"/>
              <w:left w:val="nil"/>
              <w:bottom w:val="single" w:sz="4" w:space="0" w:color="auto"/>
              <w:right w:val="single" w:sz="4" w:space="0" w:color="auto"/>
            </w:tcBorders>
            <w:shd w:val="clear" w:color="000000" w:fill="C6EFCE"/>
            <w:noWrap/>
            <w:vAlign w:val="center"/>
          </w:tcPr>
          <w:p w14:paraId="6A95835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16626_Põllumajandussektori majanduslik ümberkujundamine</w:t>
            </w:r>
          </w:p>
        </w:tc>
        <w:tc>
          <w:tcPr>
            <w:tcW w:w="1692" w:type="dxa"/>
            <w:tcBorders>
              <w:top w:val="nil"/>
              <w:left w:val="nil"/>
              <w:bottom w:val="single" w:sz="4" w:space="0" w:color="auto"/>
              <w:right w:val="single" w:sz="4" w:space="0" w:color="auto"/>
            </w:tcBorders>
            <w:shd w:val="clear" w:color="000000" w:fill="C6EFCE"/>
            <w:noWrap/>
            <w:vAlign w:val="center"/>
          </w:tcPr>
          <w:p w14:paraId="04DDAE4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4772A5D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Põllumajanduse majanduslik ümberkujundamine: Programmi käivitamine</w:t>
            </w:r>
          </w:p>
        </w:tc>
      </w:tr>
      <w:tr w:rsidR="00B430F0" w:rsidRPr="003B132A" w14:paraId="445A46DE"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EB1B0CA"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4</w:t>
            </w:r>
          </w:p>
        </w:tc>
        <w:tc>
          <w:tcPr>
            <w:tcW w:w="4283" w:type="dxa"/>
            <w:tcBorders>
              <w:top w:val="nil"/>
              <w:left w:val="nil"/>
              <w:bottom w:val="single" w:sz="4" w:space="0" w:color="auto"/>
              <w:right w:val="single" w:sz="4" w:space="0" w:color="auto"/>
            </w:tcBorders>
            <w:shd w:val="clear" w:color="000000" w:fill="C6EFCE"/>
            <w:noWrap/>
            <w:vAlign w:val="center"/>
          </w:tcPr>
          <w:p w14:paraId="61D8239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16865_Restruktureerimine ja taastuvate energiaallikate koostootmiskonto tulude suurendamine</w:t>
            </w:r>
          </w:p>
        </w:tc>
        <w:tc>
          <w:tcPr>
            <w:tcW w:w="1692" w:type="dxa"/>
            <w:tcBorders>
              <w:top w:val="nil"/>
              <w:left w:val="nil"/>
              <w:bottom w:val="single" w:sz="4" w:space="0" w:color="auto"/>
              <w:right w:val="single" w:sz="4" w:space="0" w:color="auto"/>
            </w:tcBorders>
            <w:shd w:val="clear" w:color="000000" w:fill="C6EFCE"/>
            <w:noWrap/>
            <w:vAlign w:val="center"/>
          </w:tcPr>
          <w:p w14:paraId="3BDAAC3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4F0D17E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Taastuvate energiaallikate konto – õigusakt L. 4001/2011 muutmiseks; ministeeriumide, riikliku reguleeriva asutuse (RAE) ning taastuvate energiaallikate ja päritolutagatiste administraatori (DAPEEP) kõigi asjakohaste otsuste, sealhulgas koodide jõustumine.</w:t>
            </w:r>
          </w:p>
        </w:tc>
      </w:tr>
      <w:tr w:rsidR="00B430F0" w:rsidRPr="003B132A" w14:paraId="58499848"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65D7F99"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5</w:t>
            </w:r>
          </w:p>
        </w:tc>
        <w:tc>
          <w:tcPr>
            <w:tcW w:w="4283" w:type="dxa"/>
            <w:tcBorders>
              <w:top w:val="nil"/>
              <w:left w:val="nil"/>
              <w:bottom w:val="single" w:sz="4" w:space="0" w:color="auto"/>
              <w:right w:val="single" w:sz="4" w:space="0" w:color="auto"/>
            </w:tcBorders>
            <w:shd w:val="clear" w:color="000000" w:fill="C6EFCE"/>
            <w:noWrap/>
            <w:vAlign w:val="center"/>
          </w:tcPr>
          <w:p w14:paraId="5BF4FF5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16860_Ühtlustada uue elektrituru mudeli tõhusat toimimist ja uute taastuvenergiajaamade arendamist, et saavutada riikliku energia- ja kliimakava eesmärgid, rakendades järelevalvemehhanismi, kasutades tarbimiskaja ja reformides põhjalikult uue taastuvenergia litsentsimismenetlust</w:t>
            </w:r>
          </w:p>
        </w:tc>
        <w:tc>
          <w:tcPr>
            <w:tcW w:w="1692" w:type="dxa"/>
            <w:tcBorders>
              <w:top w:val="nil"/>
              <w:left w:val="nil"/>
              <w:bottom w:val="single" w:sz="4" w:space="0" w:color="auto"/>
              <w:right w:val="single" w:sz="4" w:space="0" w:color="auto"/>
            </w:tcBorders>
            <w:shd w:val="clear" w:color="000000" w:fill="C6EFCE"/>
            <w:noWrap/>
            <w:vAlign w:val="center"/>
          </w:tcPr>
          <w:p w14:paraId="60F3FED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0B83BF2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Taastuvate energiaallikate konto – turureformid ja litsentsimise lihtsustamine</w:t>
            </w:r>
          </w:p>
        </w:tc>
      </w:tr>
      <w:tr w:rsidR="00B430F0" w:rsidRPr="003B132A" w14:paraId="09A7C3F2"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A63DCD2"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138</w:t>
            </w:r>
          </w:p>
        </w:tc>
        <w:tc>
          <w:tcPr>
            <w:tcW w:w="4283" w:type="dxa"/>
            <w:tcBorders>
              <w:top w:val="nil"/>
              <w:left w:val="nil"/>
              <w:bottom w:val="single" w:sz="4" w:space="0" w:color="auto"/>
              <w:right w:val="single" w:sz="4" w:space="0" w:color="auto"/>
            </w:tcBorders>
            <w:shd w:val="clear" w:color="000000" w:fill="C6EFCE"/>
            <w:noWrap/>
            <w:vAlign w:val="center"/>
          </w:tcPr>
          <w:p w14:paraId="041B35E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9-3.2. Haridus, kutseharidus ja -koolitus ning oskused – 16913_Elukestvate oskuste omandamise uus strateegia: Kreeka oskuste täiendamise ja ümberõppe süsteemi ajakohastamine ja täiendamine</w:t>
            </w:r>
          </w:p>
        </w:tc>
        <w:tc>
          <w:tcPr>
            <w:tcW w:w="1692" w:type="dxa"/>
            <w:tcBorders>
              <w:top w:val="nil"/>
              <w:left w:val="nil"/>
              <w:bottom w:val="single" w:sz="4" w:space="0" w:color="auto"/>
              <w:right w:val="single" w:sz="4" w:space="0" w:color="auto"/>
            </w:tcBorders>
            <w:shd w:val="clear" w:color="000000" w:fill="C6EFCE"/>
            <w:noWrap/>
            <w:vAlign w:val="center"/>
          </w:tcPr>
          <w:p w14:paraId="22EF17E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497431D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Elukestva õppe strateegia õigusaktide jõustumine</w:t>
            </w:r>
          </w:p>
        </w:tc>
      </w:tr>
      <w:tr w:rsidR="00B430F0" w:rsidRPr="003B132A" w14:paraId="2026F16B"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414C40E"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202</w:t>
            </w:r>
          </w:p>
        </w:tc>
        <w:tc>
          <w:tcPr>
            <w:tcW w:w="4283" w:type="dxa"/>
            <w:tcBorders>
              <w:top w:val="nil"/>
              <w:left w:val="nil"/>
              <w:bottom w:val="single" w:sz="4" w:space="0" w:color="auto"/>
              <w:right w:val="single" w:sz="4" w:space="0" w:color="auto"/>
            </w:tcBorders>
            <w:shd w:val="clear" w:color="000000" w:fill="C6EFCE"/>
            <w:noWrap/>
            <w:vAlign w:val="center"/>
          </w:tcPr>
          <w:p w14:paraId="2BB1F5D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xml:space="preserve"> 4.1. Maksude muutmine majanduskasvu soodustavamaks ning maksuhalduse ja maksude kogumise parandamine – 16643_Kodifikatsioon ja maksualaste õigusaktide lihtsustamine</w:t>
            </w:r>
          </w:p>
        </w:tc>
        <w:tc>
          <w:tcPr>
            <w:tcW w:w="1692" w:type="dxa"/>
            <w:tcBorders>
              <w:top w:val="nil"/>
              <w:left w:val="nil"/>
              <w:bottom w:val="single" w:sz="4" w:space="0" w:color="auto"/>
              <w:right w:val="single" w:sz="4" w:space="0" w:color="auto"/>
            </w:tcBorders>
            <w:shd w:val="clear" w:color="000000" w:fill="C6EFCE"/>
            <w:noWrap/>
            <w:vAlign w:val="center"/>
          </w:tcPr>
          <w:p w14:paraId="6531587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311C279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Maksude kodifitseerimise suutlikkuse suurendamine</w:t>
            </w:r>
          </w:p>
        </w:tc>
      </w:tr>
      <w:tr w:rsidR="00B430F0" w:rsidRPr="003B132A" w14:paraId="1FA241E6"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108667F"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205</w:t>
            </w:r>
          </w:p>
        </w:tc>
        <w:tc>
          <w:tcPr>
            <w:tcW w:w="4283" w:type="dxa"/>
            <w:tcBorders>
              <w:top w:val="nil"/>
              <w:left w:val="nil"/>
              <w:bottom w:val="single" w:sz="4" w:space="0" w:color="auto"/>
              <w:right w:val="single" w:sz="4" w:space="0" w:color="auto"/>
            </w:tcBorders>
            <w:shd w:val="clear" w:color="000000" w:fill="C6EFCE"/>
            <w:noWrap/>
            <w:vAlign w:val="center"/>
          </w:tcPr>
          <w:p w14:paraId="0A50DAB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16972_Avaliku halduse reformimine</w:t>
            </w:r>
          </w:p>
        </w:tc>
        <w:tc>
          <w:tcPr>
            <w:tcW w:w="1692" w:type="dxa"/>
            <w:tcBorders>
              <w:top w:val="nil"/>
              <w:left w:val="nil"/>
              <w:bottom w:val="single" w:sz="4" w:space="0" w:color="auto"/>
              <w:right w:val="single" w:sz="4" w:space="0" w:color="auto"/>
            </w:tcBorders>
            <w:shd w:val="clear" w:color="000000" w:fill="C6EFCE"/>
            <w:noWrap/>
            <w:vAlign w:val="center"/>
          </w:tcPr>
          <w:p w14:paraId="5AE2C03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47F5113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Avalik haldus – tulemustasu süsteemi käivitamine</w:t>
            </w:r>
          </w:p>
        </w:tc>
      </w:tr>
      <w:tr w:rsidR="00B430F0" w:rsidRPr="003B132A" w14:paraId="6247B211"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EC6E302"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254</w:t>
            </w:r>
          </w:p>
        </w:tc>
        <w:tc>
          <w:tcPr>
            <w:tcW w:w="4283" w:type="dxa"/>
            <w:tcBorders>
              <w:top w:val="nil"/>
              <w:left w:val="nil"/>
              <w:bottom w:val="single" w:sz="4" w:space="0" w:color="auto"/>
              <w:right w:val="single" w:sz="4" w:space="0" w:color="auto"/>
            </w:tcBorders>
            <w:shd w:val="clear" w:color="000000" w:fill="C6EFCE"/>
            <w:noWrap/>
            <w:vAlign w:val="center"/>
          </w:tcPr>
          <w:p w14:paraId="1EFF7E0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16628_Kesk-Kreeka kiirtee E-65: Trikala – Egnatia</w:t>
            </w:r>
          </w:p>
        </w:tc>
        <w:tc>
          <w:tcPr>
            <w:tcW w:w="1692" w:type="dxa"/>
            <w:tcBorders>
              <w:top w:val="nil"/>
              <w:left w:val="nil"/>
              <w:bottom w:val="single" w:sz="4" w:space="0" w:color="auto"/>
              <w:right w:val="single" w:sz="4" w:space="0" w:color="auto"/>
            </w:tcBorders>
            <w:shd w:val="clear" w:color="000000" w:fill="C6EFCE"/>
            <w:noWrap/>
            <w:vAlign w:val="center"/>
          </w:tcPr>
          <w:p w14:paraId="4A926BC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E3E2CC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Ehitustööde alustamine (E-65)</w:t>
            </w:r>
          </w:p>
        </w:tc>
      </w:tr>
      <w:tr w:rsidR="00B430F0" w:rsidRPr="00E02B5D" w14:paraId="428FF6E1" w14:textId="77777777" w:rsidTr="00C35E51">
        <w:trPr>
          <w:trHeight w:val="302"/>
          <w:jc w:val="center"/>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3871ACD"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264</w:t>
            </w:r>
          </w:p>
        </w:tc>
        <w:tc>
          <w:tcPr>
            <w:tcW w:w="4283" w:type="dxa"/>
            <w:tcBorders>
              <w:top w:val="nil"/>
              <w:left w:val="nil"/>
              <w:bottom w:val="single" w:sz="4" w:space="0" w:color="auto"/>
              <w:right w:val="single" w:sz="4" w:space="0" w:color="auto"/>
            </w:tcBorders>
            <w:shd w:val="clear" w:color="000000" w:fill="C6EFCE"/>
            <w:noWrap/>
            <w:vAlign w:val="center"/>
          </w:tcPr>
          <w:p w14:paraId="211C288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16982_Raudteesektori organisatsioonireform</w:t>
            </w:r>
          </w:p>
        </w:tc>
        <w:tc>
          <w:tcPr>
            <w:tcW w:w="1692" w:type="dxa"/>
            <w:tcBorders>
              <w:top w:val="nil"/>
              <w:left w:val="nil"/>
              <w:bottom w:val="single" w:sz="4" w:space="0" w:color="auto"/>
              <w:right w:val="single" w:sz="4" w:space="0" w:color="auto"/>
            </w:tcBorders>
            <w:shd w:val="clear" w:color="000000" w:fill="C6EFCE"/>
            <w:noWrap/>
            <w:vAlign w:val="center"/>
          </w:tcPr>
          <w:p w14:paraId="504AA46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5A92889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Raudteereformi seadus</w:t>
            </w:r>
          </w:p>
        </w:tc>
      </w:tr>
      <w:tr w:rsidR="00B430F0" w:rsidRPr="00E02B5D" w14:paraId="2187A4C1" w14:textId="77777777" w:rsidTr="00C35E51">
        <w:trPr>
          <w:trHeight w:val="302"/>
          <w:jc w:val="center"/>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7FEFBA4"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7C089D9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lang w:val="en-GB"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7193847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14:paraId="434DFA4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1 974 438 067 eurot</w:t>
            </w:r>
          </w:p>
        </w:tc>
      </w:tr>
    </w:tbl>
    <w:p w14:paraId="0E332CD4" w14:textId="77777777" w:rsidR="00B430F0" w:rsidRPr="00E02B5D" w:rsidRDefault="00B430F0" w:rsidP="00645BC7">
      <w:pPr>
        <w:keepNext/>
        <w:spacing w:before="40" w:after="0" w:line="259" w:lineRule="auto"/>
        <w:jc w:val="both"/>
        <w:rPr>
          <w:rFonts w:ascii="Times New Roman" w:eastAsia="Times New Roman" w:hAnsi="Times New Roman" w:cs="Times New Roman"/>
          <w:bCs/>
          <w:noProof/>
          <w:sz w:val="24"/>
          <w:szCs w:val="26"/>
          <w:lang w:val="en-GB"/>
        </w:rPr>
        <w:sectPr w:rsidR="00B430F0" w:rsidRPr="00E02B5D" w:rsidSect="00271D33">
          <w:headerReference w:type="even" r:id="rId440"/>
          <w:headerReference w:type="default" r:id="rId441"/>
          <w:footerReference w:type="even" r:id="rId442"/>
          <w:footerReference w:type="default" r:id="rId443"/>
          <w:headerReference w:type="first" r:id="rId444"/>
          <w:footerReference w:type="first" r:id="rId445"/>
          <w:pgSz w:w="11907" w:h="16839"/>
          <w:pgMar w:top="1134" w:right="1417" w:bottom="1134" w:left="1417" w:header="709" w:footer="327" w:gutter="0"/>
          <w:cols w:space="720"/>
          <w:docGrid w:linePitch="360"/>
        </w:sectPr>
      </w:pPr>
    </w:p>
    <w:p w14:paraId="5C4B8C18" w14:textId="77777777" w:rsidR="00B430F0" w:rsidRPr="00E02B5D" w:rsidRDefault="00B430F0" w:rsidP="00645BC7">
      <w:pPr>
        <w:keepNext/>
        <w:spacing w:before="40" w:after="0" w:line="259" w:lineRule="auto"/>
        <w:jc w:val="both"/>
        <w:rPr>
          <w:rFonts w:ascii="Times New Roman" w:eastAsia="Times New Roman" w:hAnsi="Times New Roman" w:cs="Times New Roman"/>
          <w:bCs/>
          <w:noProof/>
          <w:sz w:val="24"/>
          <w:szCs w:val="26"/>
          <w:lang w:val="en-GB"/>
        </w:rPr>
      </w:pPr>
    </w:p>
    <w:p w14:paraId="594A4EB5"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Kolmas osamakse (tagastamatu toetus):</w:t>
      </w:r>
    </w:p>
    <w:tbl>
      <w:tblPr>
        <w:tblW w:w="9519" w:type="dxa"/>
        <w:tblInd w:w="113" w:type="dxa"/>
        <w:tblLook w:val="04A0" w:firstRow="1" w:lastRow="0" w:firstColumn="1" w:lastColumn="0" w:noHBand="0" w:noVBand="1"/>
      </w:tblPr>
      <w:tblGrid>
        <w:gridCol w:w="1804"/>
        <w:gridCol w:w="4283"/>
        <w:gridCol w:w="1692"/>
        <w:gridCol w:w="1740"/>
      </w:tblGrid>
      <w:tr w:rsidR="00B430F0" w:rsidRPr="005622B6" w14:paraId="5DD63934" w14:textId="77777777" w:rsidTr="00C35E51">
        <w:trPr>
          <w:trHeight w:val="906"/>
          <w:tblHeader/>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2BA555E"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169A1F0"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C761CCD"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14:paraId="7A3BA92E"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0D8AC649" w14:textId="77777777" w:rsidTr="00D16F13">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7E5D6484"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5FE619FB"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197FA01B"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40" w:type="dxa"/>
            <w:vMerge/>
            <w:tcBorders>
              <w:top w:val="single" w:sz="4" w:space="0" w:color="auto"/>
              <w:left w:val="nil"/>
              <w:bottom w:val="single" w:sz="4" w:space="0" w:color="000000"/>
              <w:right w:val="single" w:sz="4" w:space="0" w:color="auto"/>
            </w:tcBorders>
            <w:vAlign w:val="center"/>
            <w:hideMark/>
          </w:tcPr>
          <w:p w14:paraId="502DF131"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B430F0" w:rsidRPr="003B132A" w14:paraId="5B058B4A"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FE59E1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21</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46ED807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16872_Elamuhoonete renoveerimine</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2067097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2BE3BE3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Elamute renoveerimine – 2. etapi käivitamine, sh kütteostuvõimetud kodumajapidamised</w:t>
            </w:r>
          </w:p>
        </w:tc>
      </w:tr>
      <w:tr w:rsidR="00B430F0" w:rsidRPr="003B132A" w14:paraId="05E37284"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EBD760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45</w:t>
            </w:r>
          </w:p>
        </w:tc>
        <w:tc>
          <w:tcPr>
            <w:tcW w:w="4283" w:type="dxa"/>
            <w:tcBorders>
              <w:top w:val="nil"/>
              <w:left w:val="nil"/>
              <w:bottom w:val="single" w:sz="4" w:space="0" w:color="auto"/>
              <w:right w:val="single" w:sz="4" w:space="0" w:color="auto"/>
            </w:tcBorders>
            <w:shd w:val="clear" w:color="000000" w:fill="C6EFCE"/>
            <w:noWrap/>
            <w:vAlign w:val="center"/>
          </w:tcPr>
          <w:p w14:paraId="4565530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3-1.3. Laadimine ja tankimine – 16924_ Elektromobiilsus</w:t>
            </w:r>
          </w:p>
        </w:tc>
        <w:tc>
          <w:tcPr>
            <w:tcW w:w="1692" w:type="dxa"/>
            <w:tcBorders>
              <w:top w:val="nil"/>
              <w:left w:val="nil"/>
              <w:bottom w:val="single" w:sz="4" w:space="0" w:color="auto"/>
              <w:right w:val="single" w:sz="4" w:space="0" w:color="auto"/>
            </w:tcBorders>
            <w:shd w:val="clear" w:color="000000" w:fill="C6EFCE"/>
            <w:noWrap/>
            <w:vAlign w:val="center"/>
          </w:tcPr>
          <w:p w14:paraId="5B2E991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25B402F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Ühistransport – avaliku teenindamise kohustuse uue tururegulatsiooni rakendamine (bussid)</w:t>
            </w:r>
          </w:p>
        </w:tc>
      </w:tr>
      <w:tr w:rsidR="00B430F0" w:rsidRPr="003B132A" w14:paraId="3157A416"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1ACD3D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57</w:t>
            </w:r>
          </w:p>
        </w:tc>
        <w:tc>
          <w:tcPr>
            <w:tcW w:w="4283" w:type="dxa"/>
            <w:tcBorders>
              <w:top w:val="nil"/>
              <w:left w:val="nil"/>
              <w:bottom w:val="single" w:sz="4" w:space="0" w:color="auto"/>
              <w:right w:val="single" w:sz="4" w:space="0" w:color="auto"/>
            </w:tcBorders>
            <w:shd w:val="clear" w:color="000000" w:fill="C6EFCE"/>
            <w:noWrap/>
            <w:vAlign w:val="center"/>
          </w:tcPr>
          <w:p w14:paraId="5E46FD0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16772_Jäätmekäitlusseadus säästva prügilasse ladestamise ja ringlussevõtu rakendamiseks</w:t>
            </w:r>
          </w:p>
        </w:tc>
        <w:tc>
          <w:tcPr>
            <w:tcW w:w="1692" w:type="dxa"/>
            <w:tcBorders>
              <w:top w:val="nil"/>
              <w:left w:val="nil"/>
              <w:bottom w:val="single" w:sz="4" w:space="0" w:color="auto"/>
              <w:right w:val="single" w:sz="4" w:space="0" w:color="auto"/>
            </w:tcBorders>
            <w:shd w:val="clear" w:color="000000" w:fill="C6EFCE"/>
            <w:noWrap/>
            <w:vAlign w:val="center"/>
          </w:tcPr>
          <w:p w14:paraId="6465B1F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2C681E1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Jäätmekäitlust reguleeriva õigusakti jõustumine</w:t>
            </w:r>
          </w:p>
        </w:tc>
      </w:tr>
      <w:tr w:rsidR="00B430F0" w:rsidRPr="003B132A" w14:paraId="431B6715"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A3EB54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85</w:t>
            </w:r>
          </w:p>
        </w:tc>
        <w:tc>
          <w:tcPr>
            <w:tcW w:w="4283" w:type="dxa"/>
            <w:tcBorders>
              <w:top w:val="nil"/>
              <w:left w:val="nil"/>
              <w:bottom w:val="single" w:sz="4" w:space="0" w:color="auto"/>
              <w:right w:val="single" w:sz="4" w:space="0" w:color="auto"/>
            </w:tcBorders>
            <w:shd w:val="clear" w:color="000000" w:fill="C6EFCE"/>
            <w:noWrap/>
            <w:vAlign w:val="center"/>
          </w:tcPr>
          <w:p w14:paraId="22BC99F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5-2.1. Ühendamine – 16818_Kiudoptiliste kaablite infrastruktuur ehitistes</w:t>
            </w:r>
          </w:p>
        </w:tc>
        <w:tc>
          <w:tcPr>
            <w:tcW w:w="1692" w:type="dxa"/>
            <w:tcBorders>
              <w:top w:val="nil"/>
              <w:left w:val="nil"/>
              <w:bottom w:val="single" w:sz="4" w:space="0" w:color="auto"/>
              <w:right w:val="single" w:sz="4" w:space="0" w:color="auto"/>
            </w:tcBorders>
            <w:shd w:val="clear" w:color="000000" w:fill="C6EFCE"/>
            <w:noWrap/>
            <w:vAlign w:val="center"/>
          </w:tcPr>
          <w:p w14:paraId="386A7AC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7F5286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Projekti „hoonete kiudoptiline infrastruktuur“ lepingu(te) sõlmimine</w:t>
            </w:r>
          </w:p>
        </w:tc>
      </w:tr>
      <w:tr w:rsidR="00B430F0" w:rsidRPr="003B132A" w14:paraId="2A9CD0AE"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D4E79E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96</w:t>
            </w:r>
          </w:p>
        </w:tc>
        <w:tc>
          <w:tcPr>
            <w:tcW w:w="4283" w:type="dxa"/>
            <w:tcBorders>
              <w:top w:val="nil"/>
              <w:left w:val="nil"/>
              <w:bottom w:val="single" w:sz="4" w:space="0" w:color="auto"/>
              <w:right w:val="single" w:sz="4" w:space="0" w:color="auto"/>
            </w:tcBorders>
            <w:shd w:val="clear" w:color="000000" w:fill="C6EFCE"/>
            <w:noWrap/>
            <w:vAlign w:val="center"/>
          </w:tcPr>
          <w:p w14:paraId="16A774A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16929_Avaliku halduse kliendikesksete teenuste suunas protsesside lihtsustamise ja parandamise, süsteemide täiustamise ning Euroopa strateegiate ja poliitika järgimise kaudu</w:t>
            </w:r>
          </w:p>
        </w:tc>
        <w:tc>
          <w:tcPr>
            <w:tcW w:w="1692" w:type="dxa"/>
            <w:tcBorders>
              <w:top w:val="nil"/>
              <w:left w:val="nil"/>
              <w:bottom w:val="single" w:sz="4" w:space="0" w:color="auto"/>
              <w:right w:val="single" w:sz="4" w:space="0" w:color="auto"/>
            </w:tcBorders>
            <w:shd w:val="clear" w:color="000000" w:fill="C6EFCE"/>
            <w:noWrap/>
            <w:vAlign w:val="center"/>
          </w:tcPr>
          <w:p w14:paraId="3131F29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43399B6"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Menetluste riikliku registri loomine ja protsesside lihtsustamise riikliku kava rakendamine (esimene etapp)</w:t>
            </w:r>
          </w:p>
        </w:tc>
      </w:tr>
      <w:tr w:rsidR="00B430F0" w:rsidRPr="003B132A" w14:paraId="3CA61B48"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CFE7CD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142</w:t>
            </w:r>
          </w:p>
        </w:tc>
        <w:tc>
          <w:tcPr>
            <w:tcW w:w="4283" w:type="dxa"/>
            <w:tcBorders>
              <w:top w:val="nil"/>
              <w:left w:val="nil"/>
              <w:bottom w:val="single" w:sz="4" w:space="0" w:color="auto"/>
              <w:right w:val="single" w:sz="4" w:space="0" w:color="auto"/>
            </w:tcBorders>
            <w:shd w:val="clear" w:color="000000" w:fill="C6EFCE"/>
            <w:noWrap/>
            <w:vAlign w:val="center"/>
          </w:tcPr>
          <w:p w14:paraId="2A078DC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8-3.1. Edendada töökohtade loomist ja tööturul osalemist – 16746_Reform, mis käsitleb passiivset tööturupoliitikat, et toetada üleminekut tööhõivele</w:t>
            </w:r>
          </w:p>
        </w:tc>
        <w:tc>
          <w:tcPr>
            <w:tcW w:w="1692" w:type="dxa"/>
            <w:tcBorders>
              <w:top w:val="nil"/>
              <w:left w:val="nil"/>
              <w:bottom w:val="single" w:sz="4" w:space="0" w:color="auto"/>
              <w:right w:val="single" w:sz="4" w:space="0" w:color="auto"/>
            </w:tcBorders>
            <w:shd w:val="clear" w:color="000000" w:fill="C6EFCE"/>
            <w:noWrap/>
            <w:vAlign w:val="center"/>
          </w:tcPr>
          <w:p w14:paraId="7ED7176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1CA9E44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Vastastikuse kohustuse raamistiku reformi jõustumine </w:t>
            </w:r>
          </w:p>
        </w:tc>
      </w:tr>
      <w:tr w:rsidR="00B430F0" w:rsidRPr="003B132A" w14:paraId="1BC2F982"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B715D3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191</w:t>
            </w:r>
          </w:p>
        </w:tc>
        <w:tc>
          <w:tcPr>
            <w:tcW w:w="4283" w:type="dxa"/>
            <w:tcBorders>
              <w:top w:val="nil"/>
              <w:left w:val="nil"/>
              <w:bottom w:val="single" w:sz="4" w:space="0" w:color="auto"/>
              <w:right w:val="single" w:sz="4" w:space="0" w:color="auto"/>
            </w:tcBorders>
            <w:shd w:val="clear" w:color="000000" w:fill="C6EFCE"/>
            <w:noWrap/>
            <w:vAlign w:val="center"/>
          </w:tcPr>
          <w:p w14:paraId="5710F7F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16656_Uus raamistik võitluseks salakaubaveoga, peamiselt aktsiisiga maksustatavate toodete puhul (tubakas, alkohol ja energia)</w:t>
            </w:r>
          </w:p>
        </w:tc>
        <w:tc>
          <w:tcPr>
            <w:tcW w:w="1692" w:type="dxa"/>
            <w:tcBorders>
              <w:top w:val="nil"/>
              <w:left w:val="nil"/>
              <w:bottom w:val="single" w:sz="4" w:space="0" w:color="auto"/>
              <w:right w:val="single" w:sz="4" w:space="0" w:color="auto"/>
            </w:tcBorders>
            <w:shd w:val="clear" w:color="000000" w:fill="C6EFCE"/>
            <w:noWrap/>
            <w:vAlign w:val="center"/>
          </w:tcPr>
          <w:p w14:paraId="4104BBE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DA9879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Võitlus salakaubaveo vastu – regulatiivsete otsuste vastuvõtmine</w:t>
            </w:r>
          </w:p>
        </w:tc>
      </w:tr>
      <w:tr w:rsidR="00B430F0" w:rsidRPr="003B132A" w14:paraId="152674D9"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1EAA14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206</w:t>
            </w:r>
          </w:p>
        </w:tc>
        <w:tc>
          <w:tcPr>
            <w:tcW w:w="4283" w:type="dxa"/>
            <w:tcBorders>
              <w:top w:val="nil"/>
              <w:left w:val="nil"/>
              <w:bottom w:val="single" w:sz="4" w:space="0" w:color="auto"/>
              <w:right w:val="single" w:sz="4" w:space="0" w:color="auto"/>
            </w:tcBorders>
            <w:shd w:val="clear" w:color="000000" w:fill="C6EFCE"/>
            <w:noWrap/>
            <w:vAlign w:val="center"/>
          </w:tcPr>
          <w:p w14:paraId="413B063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16972_Avaliku halduse reformimine</w:t>
            </w:r>
          </w:p>
        </w:tc>
        <w:tc>
          <w:tcPr>
            <w:tcW w:w="1692" w:type="dxa"/>
            <w:tcBorders>
              <w:top w:val="nil"/>
              <w:left w:val="nil"/>
              <w:bottom w:val="single" w:sz="4" w:space="0" w:color="auto"/>
              <w:right w:val="single" w:sz="4" w:space="0" w:color="auto"/>
            </w:tcBorders>
            <w:shd w:val="clear" w:color="000000" w:fill="C6EFCE"/>
            <w:noWrap/>
            <w:vAlign w:val="center"/>
          </w:tcPr>
          <w:p w14:paraId="1069BCB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437907A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Avalik haldus – õigusraamistik volituste selgitamiseks</w:t>
            </w:r>
          </w:p>
        </w:tc>
      </w:tr>
      <w:tr w:rsidR="00B430F0" w:rsidRPr="00CF6CA1" w14:paraId="656BFE3E"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F5D55A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209</w:t>
            </w:r>
          </w:p>
        </w:tc>
        <w:tc>
          <w:tcPr>
            <w:tcW w:w="4283" w:type="dxa"/>
            <w:tcBorders>
              <w:top w:val="nil"/>
              <w:left w:val="nil"/>
              <w:bottom w:val="single" w:sz="4" w:space="0" w:color="auto"/>
              <w:right w:val="single" w:sz="4" w:space="0" w:color="auto"/>
            </w:tcBorders>
            <w:shd w:val="clear" w:color="000000" w:fill="C6EFCE"/>
            <w:noWrap/>
            <w:vAlign w:val="center"/>
          </w:tcPr>
          <w:p w14:paraId="3AAB3FE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16978_Tõhus korruptsioonivastane võitlus</w:t>
            </w:r>
          </w:p>
        </w:tc>
        <w:tc>
          <w:tcPr>
            <w:tcW w:w="1692" w:type="dxa"/>
            <w:tcBorders>
              <w:top w:val="nil"/>
              <w:left w:val="nil"/>
              <w:bottom w:val="single" w:sz="4" w:space="0" w:color="auto"/>
              <w:right w:val="single" w:sz="4" w:space="0" w:color="auto"/>
            </w:tcBorders>
            <w:shd w:val="clear" w:color="000000" w:fill="C6EFCE"/>
            <w:noWrap/>
            <w:vAlign w:val="center"/>
          </w:tcPr>
          <w:p w14:paraId="56BE89B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6B5BEF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Varade deklareerimine ja erakonnad</w:t>
            </w:r>
          </w:p>
        </w:tc>
      </w:tr>
      <w:tr w:rsidR="00B430F0" w:rsidRPr="00CF6CA1" w14:paraId="59144FC0"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B057BA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210</w:t>
            </w:r>
          </w:p>
        </w:tc>
        <w:tc>
          <w:tcPr>
            <w:tcW w:w="4283" w:type="dxa"/>
            <w:tcBorders>
              <w:top w:val="nil"/>
              <w:left w:val="nil"/>
              <w:bottom w:val="single" w:sz="4" w:space="0" w:color="auto"/>
              <w:right w:val="single" w:sz="4" w:space="0" w:color="auto"/>
            </w:tcBorders>
            <w:shd w:val="clear" w:color="000000" w:fill="C6EFCE"/>
            <w:noWrap/>
            <w:vAlign w:val="center"/>
          </w:tcPr>
          <w:p w14:paraId="1C66459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16952_Riikliku korruptsioonivastase raamistiku tugevdamine sihipäraste meetmete abil avastamise, ennetamise ja teadlikkuse suurendamise valdkonnas</w:t>
            </w:r>
          </w:p>
        </w:tc>
        <w:tc>
          <w:tcPr>
            <w:tcW w:w="1692" w:type="dxa"/>
            <w:tcBorders>
              <w:top w:val="nil"/>
              <w:left w:val="nil"/>
              <w:bottom w:val="single" w:sz="4" w:space="0" w:color="auto"/>
              <w:right w:val="single" w:sz="4" w:space="0" w:color="auto"/>
            </w:tcBorders>
            <w:shd w:val="clear" w:color="000000" w:fill="C6EFCE"/>
            <w:noWrap/>
            <w:vAlign w:val="center"/>
          </w:tcPr>
          <w:p w14:paraId="1A8845B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78E7362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Riiklik korruptsioonivastane tegevuskava</w:t>
            </w:r>
          </w:p>
        </w:tc>
      </w:tr>
      <w:tr w:rsidR="00B430F0" w:rsidRPr="00CF6CA1" w14:paraId="0D3C55FC"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B4468C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223</w:t>
            </w:r>
          </w:p>
        </w:tc>
        <w:tc>
          <w:tcPr>
            <w:tcW w:w="4283" w:type="dxa"/>
            <w:tcBorders>
              <w:top w:val="nil"/>
              <w:left w:val="nil"/>
              <w:bottom w:val="single" w:sz="4" w:space="0" w:color="auto"/>
              <w:right w:val="single" w:sz="4" w:space="0" w:color="auto"/>
            </w:tcBorders>
            <w:shd w:val="clear" w:color="000000" w:fill="C6EFCE"/>
            <w:noWrap/>
            <w:vAlign w:val="center"/>
          </w:tcPr>
          <w:p w14:paraId="0A74164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16575 Õigusmõistmise kiirendamine</w:t>
            </w:r>
          </w:p>
        </w:tc>
        <w:tc>
          <w:tcPr>
            <w:tcW w:w="1692" w:type="dxa"/>
            <w:tcBorders>
              <w:top w:val="nil"/>
              <w:left w:val="nil"/>
              <w:bottom w:val="single" w:sz="4" w:space="0" w:color="auto"/>
              <w:right w:val="single" w:sz="4" w:space="0" w:color="auto"/>
            </w:tcBorders>
            <w:shd w:val="clear" w:color="000000" w:fill="C6EFCE"/>
            <w:noWrap/>
            <w:vAlign w:val="center"/>
          </w:tcPr>
          <w:p w14:paraId="2286503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15C04C5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Tehniline tugi – Õigusalase tulemuslikkuse vahend</w:t>
            </w:r>
          </w:p>
        </w:tc>
      </w:tr>
      <w:tr w:rsidR="00B430F0" w:rsidRPr="00E02B5D" w14:paraId="188516FA"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EBB4B8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225</w:t>
            </w:r>
          </w:p>
        </w:tc>
        <w:tc>
          <w:tcPr>
            <w:tcW w:w="4283" w:type="dxa"/>
            <w:tcBorders>
              <w:top w:val="nil"/>
              <w:left w:val="nil"/>
              <w:bottom w:val="single" w:sz="4" w:space="0" w:color="auto"/>
              <w:right w:val="single" w:sz="4" w:space="0" w:color="auto"/>
            </w:tcBorders>
            <w:shd w:val="clear" w:color="000000" w:fill="C6EFCE"/>
            <w:noWrap/>
            <w:vAlign w:val="center"/>
          </w:tcPr>
          <w:p w14:paraId="524CA57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16575 Õigusmõistmise kiirendamine</w:t>
            </w:r>
          </w:p>
        </w:tc>
        <w:tc>
          <w:tcPr>
            <w:tcW w:w="1692" w:type="dxa"/>
            <w:tcBorders>
              <w:top w:val="nil"/>
              <w:left w:val="nil"/>
              <w:bottom w:val="single" w:sz="4" w:space="0" w:color="auto"/>
              <w:right w:val="single" w:sz="4" w:space="0" w:color="auto"/>
            </w:tcBorders>
            <w:shd w:val="clear" w:color="000000" w:fill="C6EFCE"/>
            <w:noWrap/>
            <w:vAlign w:val="center"/>
          </w:tcPr>
          <w:p w14:paraId="617403D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3AC451D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Õiguspolitsei – teisesed õigusaktid </w:t>
            </w:r>
          </w:p>
        </w:tc>
      </w:tr>
      <w:tr w:rsidR="00B430F0" w:rsidRPr="003B132A" w14:paraId="6A3B7C36"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4CF352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278</w:t>
            </w:r>
          </w:p>
        </w:tc>
        <w:tc>
          <w:tcPr>
            <w:tcW w:w="4283" w:type="dxa"/>
            <w:tcBorders>
              <w:top w:val="nil"/>
              <w:left w:val="nil"/>
              <w:bottom w:val="single" w:sz="4" w:space="0" w:color="auto"/>
              <w:right w:val="single" w:sz="4" w:space="0" w:color="auto"/>
            </w:tcBorders>
            <w:shd w:val="clear" w:color="000000" w:fill="C6EFCE"/>
            <w:noWrap/>
            <w:vAlign w:val="center"/>
          </w:tcPr>
          <w:p w14:paraId="5C38270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16715_Tööreform kultuurisektoris</w:t>
            </w:r>
          </w:p>
        </w:tc>
        <w:tc>
          <w:tcPr>
            <w:tcW w:w="1692" w:type="dxa"/>
            <w:tcBorders>
              <w:top w:val="nil"/>
              <w:left w:val="nil"/>
              <w:bottom w:val="single" w:sz="4" w:space="0" w:color="auto"/>
              <w:right w:val="single" w:sz="4" w:space="0" w:color="auto"/>
            </w:tcBorders>
            <w:shd w:val="clear" w:color="000000" w:fill="C6EFCE"/>
            <w:noWrap/>
            <w:vAlign w:val="center"/>
          </w:tcPr>
          <w:p w14:paraId="713E71BD"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039E47F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Kultuurisektori tööjõureformi käsitlevad õigusaktid</w:t>
            </w:r>
          </w:p>
        </w:tc>
      </w:tr>
      <w:tr w:rsidR="00B430F0" w:rsidRPr="003B132A" w14:paraId="3F23838E"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719074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302</w:t>
            </w:r>
          </w:p>
        </w:tc>
        <w:tc>
          <w:tcPr>
            <w:tcW w:w="4283" w:type="dxa"/>
            <w:tcBorders>
              <w:top w:val="nil"/>
              <w:left w:val="nil"/>
              <w:bottom w:val="single" w:sz="4" w:space="0" w:color="auto"/>
              <w:right w:val="single" w:sz="4" w:space="0" w:color="auto"/>
            </w:tcBorders>
            <w:shd w:val="clear" w:color="000000" w:fill="C6EFCE"/>
            <w:noWrap/>
            <w:vAlign w:val="center"/>
          </w:tcPr>
          <w:p w14:paraId="6638D23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16634_Uued tööstuspargid</w:t>
            </w:r>
          </w:p>
        </w:tc>
        <w:tc>
          <w:tcPr>
            <w:tcW w:w="1692" w:type="dxa"/>
            <w:tcBorders>
              <w:top w:val="nil"/>
              <w:left w:val="nil"/>
              <w:bottom w:val="single" w:sz="4" w:space="0" w:color="auto"/>
              <w:right w:val="single" w:sz="4" w:space="0" w:color="auto"/>
            </w:tcBorders>
            <w:shd w:val="clear" w:color="000000" w:fill="C6EFCE"/>
            <w:noWrap/>
            <w:vAlign w:val="center"/>
          </w:tcPr>
          <w:p w14:paraId="2CE61E6A"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1329A17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Tööstuspargid – seadusandlik reform (esmane õigus)</w:t>
            </w:r>
          </w:p>
        </w:tc>
      </w:tr>
      <w:tr w:rsidR="00B430F0" w:rsidRPr="003B132A" w14:paraId="5E103115"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07AC31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311</w:t>
            </w:r>
          </w:p>
        </w:tc>
        <w:tc>
          <w:tcPr>
            <w:tcW w:w="4283" w:type="dxa"/>
            <w:tcBorders>
              <w:top w:val="nil"/>
              <w:left w:val="nil"/>
              <w:bottom w:val="single" w:sz="4" w:space="0" w:color="auto"/>
              <w:right w:val="single" w:sz="4" w:space="0" w:color="auto"/>
            </w:tcBorders>
            <w:shd w:val="clear" w:color="000000" w:fill="C6EFCE"/>
            <w:noWrap/>
            <w:vAlign w:val="center"/>
          </w:tcPr>
          <w:p w14:paraId="109A2CE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xml:space="preserve"> 17-4.6. Peamiste majandussektorite ajakohastamine ja vastupanuvõime parandamine – 16653_Digitaalne ümberkujundamine põllumajandus- ja toiduainesektoris </w:t>
            </w:r>
          </w:p>
        </w:tc>
        <w:tc>
          <w:tcPr>
            <w:tcW w:w="1692" w:type="dxa"/>
            <w:tcBorders>
              <w:top w:val="nil"/>
              <w:left w:val="nil"/>
              <w:bottom w:val="single" w:sz="4" w:space="0" w:color="auto"/>
              <w:right w:val="single" w:sz="4" w:space="0" w:color="auto"/>
            </w:tcBorders>
            <w:shd w:val="clear" w:color="000000" w:fill="C6EFCE"/>
            <w:noWrap/>
            <w:vAlign w:val="center"/>
          </w:tcPr>
          <w:p w14:paraId="05B98FE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Eesmärk</w:t>
            </w:r>
          </w:p>
        </w:tc>
        <w:tc>
          <w:tcPr>
            <w:tcW w:w="1740" w:type="dxa"/>
            <w:tcBorders>
              <w:top w:val="nil"/>
              <w:left w:val="nil"/>
              <w:bottom w:val="single" w:sz="4" w:space="0" w:color="auto"/>
              <w:right w:val="single" w:sz="4" w:space="0" w:color="auto"/>
            </w:tcBorders>
            <w:shd w:val="clear" w:color="000000" w:fill="C6EFCE"/>
            <w:noWrap/>
            <w:vAlign w:val="center"/>
          </w:tcPr>
          <w:p w14:paraId="3AD37A86"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Üleskutse põllumajandusliku toidutööstuse digitehnoloogiale üleminekuks </w:t>
            </w:r>
          </w:p>
        </w:tc>
      </w:tr>
      <w:tr w:rsidR="00B430F0" w:rsidRPr="003B132A" w14:paraId="3EE58568"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E37DAA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22</w:t>
            </w:r>
          </w:p>
        </w:tc>
        <w:tc>
          <w:tcPr>
            <w:tcW w:w="4283" w:type="dxa"/>
            <w:tcBorders>
              <w:top w:val="nil"/>
              <w:left w:val="nil"/>
              <w:bottom w:val="single" w:sz="4" w:space="0" w:color="auto"/>
              <w:right w:val="single" w:sz="4" w:space="0" w:color="auto"/>
            </w:tcBorders>
            <w:shd w:val="clear" w:color="000000" w:fill="C6EFCE"/>
            <w:noWrap/>
            <w:vAlign w:val="center"/>
          </w:tcPr>
          <w:p w14:paraId="2FCB30D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16872_Elamuhoonete renoveerimine</w:t>
            </w:r>
          </w:p>
        </w:tc>
        <w:tc>
          <w:tcPr>
            <w:tcW w:w="1692" w:type="dxa"/>
            <w:tcBorders>
              <w:top w:val="nil"/>
              <w:left w:val="nil"/>
              <w:bottom w:val="single" w:sz="4" w:space="0" w:color="auto"/>
              <w:right w:val="single" w:sz="4" w:space="0" w:color="auto"/>
            </w:tcBorders>
            <w:shd w:val="clear" w:color="000000" w:fill="C6EFCE"/>
            <w:noWrap/>
            <w:vAlign w:val="center"/>
          </w:tcPr>
          <w:p w14:paraId="211CDC6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B41304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Elamute renoveerimine – 3. etapi käivitamine, sh kütteostuvõimetud kodumajapidamised</w:t>
            </w:r>
          </w:p>
        </w:tc>
      </w:tr>
      <w:tr w:rsidR="00B430F0" w:rsidRPr="00E02B5D" w14:paraId="35326120"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63BC56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27</w:t>
            </w:r>
          </w:p>
        </w:tc>
        <w:tc>
          <w:tcPr>
            <w:tcW w:w="4283" w:type="dxa"/>
            <w:tcBorders>
              <w:top w:val="nil"/>
              <w:left w:val="nil"/>
              <w:bottom w:val="single" w:sz="4" w:space="0" w:color="auto"/>
              <w:right w:val="single" w:sz="4" w:space="0" w:color="auto"/>
            </w:tcBorders>
            <w:shd w:val="clear" w:color="000000" w:fill="C6EFCE"/>
            <w:noWrap/>
            <w:vAlign w:val="center"/>
          </w:tcPr>
          <w:p w14:paraId="3E115D2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16879_Linnaarengu kavade ettevalmistamine linnapoliitika reformi elluviimiseks</w:t>
            </w:r>
          </w:p>
        </w:tc>
        <w:tc>
          <w:tcPr>
            <w:tcW w:w="1692" w:type="dxa"/>
            <w:tcBorders>
              <w:top w:val="nil"/>
              <w:left w:val="nil"/>
              <w:bottom w:val="single" w:sz="4" w:space="0" w:color="auto"/>
              <w:right w:val="single" w:sz="4" w:space="0" w:color="auto"/>
            </w:tcBorders>
            <w:shd w:val="clear" w:color="000000" w:fill="C6EFCE"/>
            <w:noWrap/>
            <w:vAlign w:val="center"/>
          </w:tcPr>
          <w:p w14:paraId="3B2FA5B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2DF543A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Linnaplaneerimise auhind</w:t>
            </w:r>
          </w:p>
        </w:tc>
      </w:tr>
      <w:tr w:rsidR="00B430F0" w:rsidRPr="003B132A" w14:paraId="4FB1E8BD"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8C4C63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43</w:t>
            </w:r>
          </w:p>
        </w:tc>
        <w:tc>
          <w:tcPr>
            <w:tcW w:w="4283" w:type="dxa"/>
            <w:tcBorders>
              <w:top w:val="nil"/>
              <w:left w:val="nil"/>
              <w:bottom w:val="single" w:sz="4" w:space="0" w:color="auto"/>
              <w:right w:val="single" w:sz="4" w:space="0" w:color="auto"/>
            </w:tcBorders>
            <w:shd w:val="clear" w:color="000000" w:fill="C6EFCE"/>
            <w:noWrap/>
            <w:vAlign w:val="center"/>
          </w:tcPr>
          <w:p w14:paraId="5FF511A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3-1.3. Laadimine ja tankimine – 16281_EV laadimistaristu paigaldamise ja käitamise raamistik</w:t>
            </w:r>
          </w:p>
        </w:tc>
        <w:tc>
          <w:tcPr>
            <w:tcW w:w="1692" w:type="dxa"/>
            <w:tcBorders>
              <w:top w:val="nil"/>
              <w:left w:val="nil"/>
              <w:bottom w:val="single" w:sz="4" w:space="0" w:color="auto"/>
              <w:right w:val="single" w:sz="4" w:space="0" w:color="auto"/>
            </w:tcBorders>
            <w:shd w:val="clear" w:color="000000" w:fill="C6EFCE"/>
            <w:noWrap/>
            <w:vAlign w:val="center"/>
          </w:tcPr>
          <w:p w14:paraId="57B3468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740" w:type="dxa"/>
            <w:tcBorders>
              <w:top w:val="nil"/>
              <w:left w:val="nil"/>
              <w:bottom w:val="single" w:sz="4" w:space="0" w:color="auto"/>
              <w:right w:val="single" w:sz="4" w:space="0" w:color="auto"/>
            </w:tcBorders>
            <w:shd w:val="clear" w:color="000000" w:fill="C6EFCE"/>
            <w:noWrap/>
            <w:vAlign w:val="center"/>
          </w:tcPr>
          <w:p w14:paraId="13A5837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Elektrisõidukite laadimispunktid – kinnitatud kohalikud kavad</w:t>
            </w:r>
          </w:p>
        </w:tc>
      </w:tr>
      <w:tr w:rsidR="00B430F0" w:rsidRPr="003B132A" w14:paraId="016471B5"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73A797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46</w:t>
            </w:r>
          </w:p>
        </w:tc>
        <w:tc>
          <w:tcPr>
            <w:tcW w:w="4283" w:type="dxa"/>
            <w:tcBorders>
              <w:top w:val="nil"/>
              <w:left w:val="nil"/>
              <w:bottom w:val="single" w:sz="4" w:space="0" w:color="auto"/>
              <w:right w:val="single" w:sz="4" w:space="0" w:color="auto"/>
            </w:tcBorders>
            <w:shd w:val="clear" w:color="000000" w:fill="C6EFCE"/>
            <w:noWrap/>
            <w:vAlign w:val="center"/>
          </w:tcPr>
          <w:p w14:paraId="1951DBA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xml:space="preserve">3-1.3. Laadimine ja tankimine – 16831_Produc-E Green </w:t>
            </w:r>
          </w:p>
        </w:tc>
        <w:tc>
          <w:tcPr>
            <w:tcW w:w="1692" w:type="dxa"/>
            <w:tcBorders>
              <w:top w:val="nil"/>
              <w:left w:val="nil"/>
              <w:bottom w:val="single" w:sz="4" w:space="0" w:color="auto"/>
              <w:right w:val="single" w:sz="4" w:space="0" w:color="auto"/>
            </w:tcBorders>
            <w:shd w:val="clear" w:color="000000" w:fill="C6EFCE"/>
            <w:noWrap/>
            <w:vAlign w:val="center"/>
          </w:tcPr>
          <w:p w14:paraId="7463D22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34822F7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Tööstusüksused – programmi käivitamine</w:t>
            </w:r>
          </w:p>
        </w:tc>
      </w:tr>
      <w:tr w:rsidR="00B430F0" w:rsidRPr="003B132A" w14:paraId="642171EC"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56ACF1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47</w:t>
            </w:r>
          </w:p>
        </w:tc>
        <w:tc>
          <w:tcPr>
            <w:tcW w:w="4283" w:type="dxa"/>
            <w:tcBorders>
              <w:top w:val="nil"/>
              <w:left w:val="nil"/>
              <w:bottom w:val="single" w:sz="4" w:space="0" w:color="auto"/>
              <w:right w:val="single" w:sz="4" w:space="0" w:color="auto"/>
            </w:tcBorders>
            <w:shd w:val="clear" w:color="000000" w:fill="C6EFCE"/>
            <w:noWrap/>
            <w:vAlign w:val="center"/>
          </w:tcPr>
          <w:p w14:paraId="6D96C6B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3-1.3. Laadimine ja tankimine – 16924_ Elektromobiilsus</w:t>
            </w:r>
          </w:p>
        </w:tc>
        <w:tc>
          <w:tcPr>
            <w:tcW w:w="1692" w:type="dxa"/>
            <w:tcBorders>
              <w:top w:val="nil"/>
              <w:left w:val="nil"/>
              <w:bottom w:val="single" w:sz="4" w:space="0" w:color="auto"/>
              <w:right w:val="single" w:sz="4" w:space="0" w:color="auto"/>
            </w:tcBorders>
            <w:shd w:val="clear" w:color="000000" w:fill="C6EFCE"/>
            <w:noWrap/>
            <w:vAlign w:val="center"/>
          </w:tcPr>
          <w:p w14:paraId="4C527CB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1388048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 Elektrisõidukite laadimispunktid – programmide käivitamine</w:t>
            </w:r>
          </w:p>
        </w:tc>
      </w:tr>
      <w:tr w:rsidR="00B430F0" w:rsidRPr="00E02B5D" w14:paraId="4ED47555"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21C594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48</w:t>
            </w:r>
          </w:p>
        </w:tc>
        <w:tc>
          <w:tcPr>
            <w:tcW w:w="4283" w:type="dxa"/>
            <w:tcBorders>
              <w:top w:val="nil"/>
              <w:left w:val="nil"/>
              <w:bottom w:val="single" w:sz="4" w:space="0" w:color="auto"/>
              <w:right w:val="single" w:sz="4" w:space="0" w:color="auto"/>
            </w:tcBorders>
            <w:shd w:val="clear" w:color="000000" w:fill="C6EFCE"/>
            <w:noWrap/>
            <w:vAlign w:val="center"/>
          </w:tcPr>
          <w:p w14:paraId="4498E96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3-1.3. Laadimine ja tankimine – 16924_ Elektromobiilsus</w:t>
            </w:r>
          </w:p>
        </w:tc>
        <w:tc>
          <w:tcPr>
            <w:tcW w:w="1692" w:type="dxa"/>
            <w:tcBorders>
              <w:top w:val="nil"/>
              <w:left w:val="nil"/>
              <w:bottom w:val="single" w:sz="4" w:space="0" w:color="auto"/>
              <w:right w:val="single" w:sz="4" w:space="0" w:color="auto"/>
            </w:tcBorders>
            <w:shd w:val="clear" w:color="000000" w:fill="C6EFCE"/>
            <w:noWrap/>
            <w:vAlign w:val="center"/>
          </w:tcPr>
          <w:p w14:paraId="393E154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1DC2A22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Säästev transport – teostatavusuuring</w:t>
            </w:r>
          </w:p>
        </w:tc>
      </w:tr>
      <w:tr w:rsidR="00B430F0" w:rsidRPr="003B132A" w14:paraId="094BE584"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7A627A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58</w:t>
            </w:r>
          </w:p>
        </w:tc>
        <w:tc>
          <w:tcPr>
            <w:tcW w:w="4283" w:type="dxa"/>
            <w:tcBorders>
              <w:top w:val="nil"/>
              <w:left w:val="nil"/>
              <w:bottom w:val="single" w:sz="4" w:space="0" w:color="auto"/>
              <w:right w:val="single" w:sz="4" w:space="0" w:color="auto"/>
            </w:tcBorders>
            <w:shd w:val="clear" w:color="000000" w:fill="C6EFCE"/>
            <w:noWrap/>
            <w:vAlign w:val="center"/>
          </w:tcPr>
          <w:p w14:paraId="4C4D03F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16979_Uue vee- ja reoveevaldkonda reguleeriva asutuse loomine</w:t>
            </w:r>
          </w:p>
        </w:tc>
        <w:tc>
          <w:tcPr>
            <w:tcW w:w="1692" w:type="dxa"/>
            <w:tcBorders>
              <w:top w:val="nil"/>
              <w:left w:val="nil"/>
              <w:bottom w:val="single" w:sz="4" w:space="0" w:color="auto"/>
              <w:right w:val="single" w:sz="4" w:space="0" w:color="auto"/>
            </w:tcBorders>
            <w:shd w:val="clear" w:color="000000" w:fill="C6EFCE"/>
            <w:noWrap/>
            <w:vAlign w:val="center"/>
          </w:tcPr>
          <w:p w14:paraId="419E1F0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A1A2D6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Veevaldkonda reguleeriva õigusakti jõustumine</w:t>
            </w:r>
          </w:p>
        </w:tc>
      </w:tr>
      <w:tr w:rsidR="00B430F0" w:rsidRPr="00E02B5D" w14:paraId="65192AA7"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3FB0B56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78</w:t>
            </w:r>
          </w:p>
        </w:tc>
        <w:tc>
          <w:tcPr>
            <w:tcW w:w="4283" w:type="dxa"/>
            <w:tcBorders>
              <w:top w:val="nil"/>
              <w:left w:val="nil"/>
              <w:bottom w:val="single" w:sz="4" w:space="0" w:color="auto"/>
              <w:right w:val="single" w:sz="4" w:space="0" w:color="auto"/>
            </w:tcBorders>
            <w:shd w:val="clear" w:color="000000" w:fill="C6EFCE"/>
            <w:noWrap/>
            <w:vAlign w:val="center"/>
          </w:tcPr>
          <w:p w14:paraId="792CBA1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16910_Seire- ja juhtimissüsteem</w:t>
            </w:r>
          </w:p>
        </w:tc>
        <w:tc>
          <w:tcPr>
            <w:tcW w:w="1692" w:type="dxa"/>
            <w:tcBorders>
              <w:top w:val="nil"/>
              <w:left w:val="nil"/>
              <w:bottom w:val="single" w:sz="4" w:space="0" w:color="auto"/>
              <w:right w:val="single" w:sz="4" w:space="0" w:color="auto"/>
            </w:tcBorders>
            <w:shd w:val="clear" w:color="000000" w:fill="C6EFCE"/>
            <w:noWrap/>
            <w:vAlign w:val="center"/>
          </w:tcPr>
          <w:p w14:paraId="43ECC81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DC6222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GPSi leping</w:t>
            </w:r>
          </w:p>
        </w:tc>
      </w:tr>
      <w:tr w:rsidR="00B430F0" w:rsidRPr="003B132A" w14:paraId="311A6F97"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186258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93</w:t>
            </w:r>
          </w:p>
        </w:tc>
        <w:tc>
          <w:tcPr>
            <w:tcW w:w="4283" w:type="dxa"/>
            <w:tcBorders>
              <w:top w:val="nil"/>
              <w:left w:val="nil"/>
              <w:bottom w:val="single" w:sz="4" w:space="0" w:color="auto"/>
              <w:right w:val="single" w:sz="4" w:space="0" w:color="auto"/>
            </w:tcBorders>
            <w:shd w:val="clear" w:color="000000" w:fill="C6EFCE"/>
            <w:noWrap/>
            <w:vAlign w:val="center"/>
          </w:tcPr>
          <w:p w14:paraId="6259A1B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16778_Arhiivide ja nendega seotud teenuste digiteerimine</w:t>
            </w:r>
          </w:p>
        </w:tc>
        <w:tc>
          <w:tcPr>
            <w:tcW w:w="1692" w:type="dxa"/>
            <w:tcBorders>
              <w:top w:val="nil"/>
              <w:left w:val="nil"/>
              <w:bottom w:val="single" w:sz="4" w:space="0" w:color="auto"/>
              <w:right w:val="single" w:sz="4" w:space="0" w:color="auto"/>
            </w:tcBorders>
            <w:shd w:val="clear" w:color="000000" w:fill="C6EFCE"/>
            <w:noWrap/>
            <w:vAlign w:val="center"/>
          </w:tcPr>
          <w:p w14:paraId="239E2A9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05D4004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Arhivaalide digiteerimise leping(ud)</w:t>
            </w:r>
          </w:p>
        </w:tc>
      </w:tr>
      <w:tr w:rsidR="00B430F0" w:rsidRPr="003B132A" w14:paraId="4A88513E"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E37D39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100</w:t>
            </w:r>
          </w:p>
        </w:tc>
        <w:tc>
          <w:tcPr>
            <w:tcW w:w="4283" w:type="dxa"/>
            <w:tcBorders>
              <w:top w:val="nil"/>
              <w:left w:val="nil"/>
              <w:bottom w:val="single" w:sz="4" w:space="0" w:color="auto"/>
              <w:right w:val="single" w:sz="4" w:space="0" w:color="auto"/>
            </w:tcBorders>
            <w:shd w:val="clear" w:color="000000" w:fill="C6EFCE"/>
            <w:noWrap/>
            <w:vAlign w:val="center"/>
          </w:tcPr>
          <w:p w14:paraId="1EBE0D1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16779_Koostalitlusvõime ja veebiteenuste arendamine</w:t>
            </w:r>
          </w:p>
        </w:tc>
        <w:tc>
          <w:tcPr>
            <w:tcW w:w="1692" w:type="dxa"/>
            <w:tcBorders>
              <w:top w:val="nil"/>
              <w:left w:val="nil"/>
              <w:bottom w:val="single" w:sz="4" w:space="0" w:color="auto"/>
              <w:right w:val="single" w:sz="4" w:space="0" w:color="auto"/>
            </w:tcBorders>
            <w:shd w:val="clear" w:color="000000" w:fill="C6EFCE"/>
            <w:noWrap/>
            <w:vAlign w:val="center"/>
          </w:tcPr>
          <w:p w14:paraId="7C0A24F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2C3A101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Koostalitlusvõime ja veebiteenuste arendamise projekti lepingu sõlmimine</w:t>
            </w:r>
          </w:p>
        </w:tc>
      </w:tr>
      <w:tr w:rsidR="00B430F0" w:rsidRPr="003B132A" w14:paraId="68DFD10D"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AA1A045"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101</w:t>
            </w:r>
          </w:p>
        </w:tc>
        <w:tc>
          <w:tcPr>
            <w:tcW w:w="4283" w:type="dxa"/>
            <w:tcBorders>
              <w:top w:val="nil"/>
              <w:left w:val="nil"/>
              <w:bottom w:val="single" w:sz="4" w:space="0" w:color="auto"/>
              <w:right w:val="single" w:sz="4" w:space="0" w:color="auto"/>
            </w:tcBorders>
            <w:shd w:val="clear" w:color="000000" w:fill="C6EFCE"/>
            <w:noWrap/>
            <w:vAlign w:val="center"/>
          </w:tcPr>
          <w:p w14:paraId="558E74B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16810_kliendisuhete haldus valitsemissektori jaoks</w:t>
            </w:r>
          </w:p>
        </w:tc>
        <w:tc>
          <w:tcPr>
            <w:tcW w:w="1692" w:type="dxa"/>
            <w:tcBorders>
              <w:top w:val="nil"/>
              <w:left w:val="nil"/>
              <w:bottom w:val="single" w:sz="4" w:space="0" w:color="auto"/>
              <w:right w:val="single" w:sz="4" w:space="0" w:color="auto"/>
            </w:tcBorders>
            <w:shd w:val="clear" w:color="000000" w:fill="C6EFCE"/>
            <w:noWrap/>
            <w:vAlign w:val="center"/>
          </w:tcPr>
          <w:p w14:paraId="5520A82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0DF12C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Valitsemissektori kliendisuhete halduse lepingu sõlmimine </w:t>
            </w:r>
          </w:p>
        </w:tc>
      </w:tr>
      <w:tr w:rsidR="00B430F0" w:rsidRPr="003B132A" w14:paraId="06EC79B2"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D63D67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102</w:t>
            </w:r>
          </w:p>
        </w:tc>
        <w:tc>
          <w:tcPr>
            <w:tcW w:w="4283" w:type="dxa"/>
            <w:tcBorders>
              <w:top w:val="nil"/>
              <w:left w:val="nil"/>
              <w:bottom w:val="single" w:sz="4" w:space="0" w:color="auto"/>
              <w:right w:val="single" w:sz="4" w:space="0" w:color="auto"/>
            </w:tcBorders>
            <w:shd w:val="clear" w:color="000000" w:fill="C6EFCE"/>
            <w:noWrap/>
            <w:vAlign w:val="center"/>
          </w:tcPr>
          <w:p w14:paraId="2A28291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16780_Avaliku halduse ühe akna süsteemide täiendav ajakohastamine</w:t>
            </w:r>
          </w:p>
        </w:tc>
        <w:tc>
          <w:tcPr>
            <w:tcW w:w="1692" w:type="dxa"/>
            <w:tcBorders>
              <w:top w:val="nil"/>
              <w:left w:val="nil"/>
              <w:bottom w:val="single" w:sz="4" w:space="0" w:color="auto"/>
              <w:right w:val="single" w:sz="4" w:space="0" w:color="auto"/>
            </w:tcBorders>
            <w:shd w:val="clear" w:color="000000" w:fill="C6EFCE"/>
            <w:noWrap/>
            <w:vAlign w:val="center"/>
          </w:tcPr>
          <w:p w14:paraId="61BC38B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0CD949A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Riigihankeleping avaliku halduse ühe akna süsteemi edasiseks ajakohastamiseks</w:t>
            </w:r>
          </w:p>
        </w:tc>
      </w:tr>
      <w:tr w:rsidR="00B430F0" w:rsidRPr="003B132A" w14:paraId="1497BF80"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3905613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w:t>
            </w:r>
          </w:p>
        </w:tc>
        <w:tc>
          <w:tcPr>
            <w:tcW w:w="4283" w:type="dxa"/>
            <w:tcBorders>
              <w:top w:val="nil"/>
              <w:left w:val="nil"/>
              <w:bottom w:val="single" w:sz="4" w:space="0" w:color="auto"/>
              <w:right w:val="single" w:sz="4" w:space="0" w:color="auto"/>
            </w:tcBorders>
            <w:shd w:val="clear" w:color="000000" w:fill="C6EFCE"/>
            <w:noWrap/>
            <w:vAlign w:val="center"/>
          </w:tcPr>
          <w:p w14:paraId="1E6EE2E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16736_ Uus riigihangete süsteem</w:t>
            </w:r>
          </w:p>
        </w:tc>
        <w:tc>
          <w:tcPr>
            <w:tcW w:w="1692" w:type="dxa"/>
            <w:tcBorders>
              <w:top w:val="nil"/>
              <w:left w:val="nil"/>
              <w:bottom w:val="single" w:sz="4" w:space="0" w:color="auto"/>
              <w:right w:val="single" w:sz="4" w:space="0" w:color="auto"/>
            </w:tcBorders>
            <w:shd w:val="clear" w:color="000000" w:fill="C6EFCE"/>
            <w:noWrap/>
            <w:vAlign w:val="center"/>
          </w:tcPr>
          <w:p w14:paraId="1F04928A"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0D7675F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Uue riigihangete süsteemi lepingu sõlmimine</w:t>
            </w:r>
          </w:p>
        </w:tc>
      </w:tr>
      <w:tr w:rsidR="00B430F0" w:rsidRPr="003B132A" w14:paraId="450DDFCC"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C9A4B4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104</w:t>
            </w:r>
          </w:p>
        </w:tc>
        <w:tc>
          <w:tcPr>
            <w:tcW w:w="4283" w:type="dxa"/>
            <w:tcBorders>
              <w:top w:val="nil"/>
              <w:left w:val="nil"/>
              <w:bottom w:val="single" w:sz="4" w:space="0" w:color="auto"/>
              <w:right w:val="single" w:sz="4" w:space="0" w:color="auto"/>
            </w:tcBorders>
            <w:shd w:val="clear" w:color="000000" w:fill="C6EFCE"/>
            <w:noWrap/>
            <w:vAlign w:val="center"/>
          </w:tcPr>
          <w:p w14:paraId="664671A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16823_Küberturvalisuse strateegia ja avaliku sektori poliitika; kõrgetasemelised turvateenused riiklikele elutähtsatele taristutele</w:t>
            </w:r>
          </w:p>
        </w:tc>
        <w:tc>
          <w:tcPr>
            <w:tcW w:w="1692" w:type="dxa"/>
            <w:tcBorders>
              <w:top w:val="nil"/>
              <w:left w:val="nil"/>
              <w:bottom w:val="single" w:sz="4" w:space="0" w:color="auto"/>
              <w:right w:val="single" w:sz="4" w:space="0" w:color="auto"/>
            </w:tcBorders>
            <w:shd w:val="clear" w:color="000000" w:fill="C6EFCE"/>
            <w:noWrap/>
            <w:vAlign w:val="center"/>
          </w:tcPr>
          <w:p w14:paraId="378205F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122C358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Küberturvalisuse strateegia hankeleping</w:t>
            </w:r>
          </w:p>
        </w:tc>
      </w:tr>
      <w:tr w:rsidR="00B430F0" w:rsidRPr="003B132A" w14:paraId="5EC38AC1"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04F5C9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105</w:t>
            </w:r>
          </w:p>
        </w:tc>
        <w:tc>
          <w:tcPr>
            <w:tcW w:w="4283" w:type="dxa"/>
            <w:tcBorders>
              <w:top w:val="nil"/>
              <w:left w:val="nil"/>
              <w:bottom w:val="single" w:sz="4" w:space="0" w:color="auto"/>
              <w:right w:val="single" w:sz="4" w:space="0" w:color="auto"/>
            </w:tcBorders>
            <w:shd w:val="clear" w:color="000000" w:fill="C6EFCE"/>
            <w:noWrap/>
            <w:vAlign w:val="center"/>
          </w:tcPr>
          <w:p w14:paraId="3F9FF1A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16826_Digioskuste täiendamise programmid ajateenijatele</w:t>
            </w:r>
          </w:p>
        </w:tc>
        <w:tc>
          <w:tcPr>
            <w:tcW w:w="1692" w:type="dxa"/>
            <w:tcBorders>
              <w:top w:val="nil"/>
              <w:left w:val="nil"/>
              <w:bottom w:val="single" w:sz="4" w:space="0" w:color="auto"/>
              <w:right w:val="single" w:sz="4" w:space="0" w:color="auto"/>
            </w:tcBorders>
            <w:shd w:val="clear" w:color="000000" w:fill="C6EFCE"/>
            <w:noWrap/>
            <w:vAlign w:val="center"/>
          </w:tcPr>
          <w:p w14:paraId="7605B97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54A87CA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Ajateenijate digioskuste täiendamise programmide hankeleping</w:t>
            </w:r>
          </w:p>
        </w:tc>
      </w:tr>
      <w:tr w:rsidR="00B430F0" w:rsidRPr="003B132A" w14:paraId="4B845BC2"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EAEF7C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106</w:t>
            </w:r>
          </w:p>
        </w:tc>
        <w:tc>
          <w:tcPr>
            <w:tcW w:w="4283" w:type="dxa"/>
            <w:tcBorders>
              <w:top w:val="nil"/>
              <w:left w:val="nil"/>
              <w:bottom w:val="single" w:sz="4" w:space="0" w:color="auto"/>
              <w:right w:val="single" w:sz="4" w:space="0" w:color="auto"/>
            </w:tcBorders>
            <w:shd w:val="clear" w:color="000000" w:fill="C6EFCE"/>
            <w:noWrap/>
            <w:vAlign w:val="center"/>
          </w:tcPr>
          <w:p w14:paraId="6963D20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16742_välisministeeriumi digitaalne ümberkujundamine</w:t>
            </w:r>
          </w:p>
        </w:tc>
        <w:tc>
          <w:tcPr>
            <w:tcW w:w="1692" w:type="dxa"/>
            <w:tcBorders>
              <w:top w:val="nil"/>
              <w:left w:val="nil"/>
              <w:bottom w:val="single" w:sz="4" w:space="0" w:color="auto"/>
              <w:right w:val="single" w:sz="4" w:space="0" w:color="auto"/>
            </w:tcBorders>
            <w:shd w:val="clear" w:color="000000" w:fill="C6EFCE"/>
            <w:noWrap/>
            <w:vAlign w:val="center"/>
          </w:tcPr>
          <w:p w14:paraId="357D166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1AD07E2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Välisministeeriumi digiülemineku hankeleping</w:t>
            </w:r>
          </w:p>
        </w:tc>
      </w:tr>
      <w:tr w:rsidR="00B430F0" w:rsidRPr="003B132A" w14:paraId="03E3FF48"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FC1072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107</w:t>
            </w:r>
          </w:p>
        </w:tc>
        <w:tc>
          <w:tcPr>
            <w:tcW w:w="4283" w:type="dxa"/>
            <w:tcBorders>
              <w:top w:val="nil"/>
              <w:left w:val="nil"/>
              <w:bottom w:val="single" w:sz="4" w:space="0" w:color="auto"/>
              <w:right w:val="single" w:sz="4" w:space="0" w:color="auto"/>
            </w:tcBorders>
            <w:shd w:val="clear" w:color="000000" w:fill="C6EFCE"/>
            <w:noWrap/>
            <w:vAlign w:val="center"/>
          </w:tcPr>
          <w:p w14:paraId="1B3C4FA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16824_Ettekanded</w:t>
            </w:r>
          </w:p>
        </w:tc>
        <w:tc>
          <w:tcPr>
            <w:tcW w:w="1692" w:type="dxa"/>
            <w:tcBorders>
              <w:top w:val="nil"/>
              <w:left w:val="nil"/>
              <w:bottom w:val="single" w:sz="4" w:space="0" w:color="auto"/>
              <w:right w:val="single" w:sz="4" w:space="0" w:color="auto"/>
            </w:tcBorders>
            <w:shd w:val="clear" w:color="000000" w:fill="C6EFCE"/>
            <w:noWrap/>
            <w:vAlign w:val="center"/>
          </w:tcPr>
          <w:p w14:paraId="73C9073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0225EC3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E-registrite hankelepingu sõlmimine</w:t>
            </w:r>
          </w:p>
        </w:tc>
      </w:tr>
      <w:tr w:rsidR="00B430F0" w:rsidRPr="003B132A" w14:paraId="140118AC"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CC525F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121</w:t>
            </w:r>
          </w:p>
        </w:tc>
        <w:tc>
          <w:tcPr>
            <w:tcW w:w="4283" w:type="dxa"/>
            <w:tcBorders>
              <w:top w:val="nil"/>
              <w:left w:val="nil"/>
              <w:bottom w:val="single" w:sz="4" w:space="0" w:color="auto"/>
              <w:right w:val="single" w:sz="4" w:space="0" w:color="auto"/>
            </w:tcBorders>
            <w:shd w:val="clear" w:color="000000" w:fill="C6EFCE"/>
            <w:noWrap/>
            <w:vAlign w:val="center"/>
          </w:tcPr>
          <w:p w14:paraId="124DE65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16842_Central BI – Data Analytics</w:t>
            </w:r>
          </w:p>
        </w:tc>
        <w:tc>
          <w:tcPr>
            <w:tcW w:w="1692" w:type="dxa"/>
            <w:tcBorders>
              <w:top w:val="nil"/>
              <w:left w:val="nil"/>
              <w:bottom w:val="single" w:sz="4" w:space="0" w:color="auto"/>
              <w:right w:val="single" w:sz="4" w:space="0" w:color="auto"/>
            </w:tcBorders>
            <w:shd w:val="clear" w:color="000000" w:fill="C6EFCE"/>
            <w:noWrap/>
            <w:vAlign w:val="center"/>
          </w:tcPr>
          <w:p w14:paraId="518A409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3FDCC86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Keskse äriteabe (BIS) lepingu sõlmimine </w:t>
            </w:r>
          </w:p>
        </w:tc>
      </w:tr>
      <w:tr w:rsidR="00B430F0" w:rsidRPr="003B132A" w14:paraId="12613FE6"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91C3EA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w:t>
            </w:r>
          </w:p>
        </w:tc>
        <w:tc>
          <w:tcPr>
            <w:tcW w:w="4283" w:type="dxa"/>
            <w:tcBorders>
              <w:top w:val="nil"/>
              <w:left w:val="nil"/>
              <w:bottom w:val="single" w:sz="4" w:space="0" w:color="auto"/>
              <w:right w:val="single" w:sz="4" w:space="0" w:color="auto"/>
            </w:tcBorders>
            <w:shd w:val="clear" w:color="000000" w:fill="C6EFCE"/>
            <w:noWrap/>
            <w:vAlign w:val="center"/>
          </w:tcPr>
          <w:p w14:paraId="1B9B462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8-3.1. Edendada töökohtade loomist ja tööturul osalemist – 16750_Töösüsteemide digitaalne ümberkujundamine</w:t>
            </w:r>
          </w:p>
        </w:tc>
        <w:tc>
          <w:tcPr>
            <w:tcW w:w="1692" w:type="dxa"/>
            <w:tcBorders>
              <w:top w:val="nil"/>
              <w:left w:val="nil"/>
              <w:bottom w:val="single" w:sz="4" w:space="0" w:color="auto"/>
              <w:right w:val="single" w:sz="4" w:space="0" w:color="auto"/>
            </w:tcBorders>
            <w:shd w:val="clear" w:color="000000" w:fill="C6EFCE"/>
            <w:noWrap/>
            <w:vAlign w:val="center"/>
          </w:tcPr>
          <w:p w14:paraId="2EE04C8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6DE557A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Töö IT-süsteemidega seotud lepingute sõlmimine</w:t>
            </w:r>
          </w:p>
        </w:tc>
      </w:tr>
      <w:tr w:rsidR="00B430F0" w:rsidRPr="003B132A" w14:paraId="6EB8C623"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37DD08F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139</w:t>
            </w:r>
          </w:p>
        </w:tc>
        <w:tc>
          <w:tcPr>
            <w:tcW w:w="4283" w:type="dxa"/>
            <w:tcBorders>
              <w:top w:val="nil"/>
              <w:left w:val="nil"/>
              <w:bottom w:val="single" w:sz="4" w:space="0" w:color="auto"/>
              <w:right w:val="single" w:sz="4" w:space="0" w:color="auto"/>
            </w:tcBorders>
            <w:shd w:val="clear" w:color="000000" w:fill="C6EFCE"/>
            <w:noWrap/>
            <w:vAlign w:val="center"/>
          </w:tcPr>
          <w:p w14:paraId="35ACA36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9-3.2. Haridus, kutseharidus ja -koolitus ning oskused – 16913_Elukestvate oskuste omandamise uus strateegia: Kreeka oskuste täiendamise ja ümberõppe süsteemi ajakohastamine ja täiendamine</w:t>
            </w:r>
          </w:p>
        </w:tc>
        <w:tc>
          <w:tcPr>
            <w:tcW w:w="1692" w:type="dxa"/>
            <w:tcBorders>
              <w:top w:val="nil"/>
              <w:left w:val="nil"/>
              <w:bottom w:val="single" w:sz="4" w:space="0" w:color="auto"/>
              <w:right w:val="single" w:sz="4" w:space="0" w:color="auto"/>
            </w:tcBorders>
            <w:shd w:val="clear" w:color="000000" w:fill="C6EFCE"/>
            <w:noWrap/>
            <w:vAlign w:val="center"/>
          </w:tcPr>
          <w:p w14:paraId="3B04589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740" w:type="dxa"/>
            <w:tcBorders>
              <w:top w:val="nil"/>
              <w:left w:val="nil"/>
              <w:bottom w:val="single" w:sz="4" w:space="0" w:color="auto"/>
              <w:right w:val="single" w:sz="4" w:space="0" w:color="auto"/>
            </w:tcBorders>
            <w:shd w:val="clear" w:color="000000" w:fill="C6EFCE"/>
            <w:noWrap/>
            <w:vAlign w:val="center"/>
          </w:tcPr>
          <w:p w14:paraId="30C773F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Koolitusprogrammid „Elukestev õpe“ – strateegia lõpuleviimine – valideerimine</w:t>
            </w:r>
          </w:p>
        </w:tc>
      </w:tr>
      <w:tr w:rsidR="00B430F0" w:rsidRPr="003B132A" w14:paraId="1DF13EAA"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1960CC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159</w:t>
            </w:r>
          </w:p>
        </w:tc>
        <w:tc>
          <w:tcPr>
            <w:tcW w:w="4283" w:type="dxa"/>
            <w:tcBorders>
              <w:top w:val="nil"/>
              <w:left w:val="nil"/>
              <w:bottom w:val="single" w:sz="4" w:space="0" w:color="auto"/>
              <w:right w:val="single" w:sz="4" w:space="0" w:color="auto"/>
            </w:tcBorders>
            <w:shd w:val="clear" w:color="000000" w:fill="C6EFCE"/>
            <w:noWrap/>
            <w:vAlign w:val="center"/>
          </w:tcPr>
          <w:p w14:paraId="3474DCA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Tervishoiusüsteemi vastupanuvõime, juurdepääsetavuse ja jätkusuutlikkuse parandamine – 16755_Esmase tervishoiusüsteemi reform</w:t>
            </w:r>
          </w:p>
        </w:tc>
        <w:tc>
          <w:tcPr>
            <w:tcW w:w="1692" w:type="dxa"/>
            <w:tcBorders>
              <w:top w:val="nil"/>
              <w:left w:val="nil"/>
              <w:bottom w:val="single" w:sz="4" w:space="0" w:color="auto"/>
              <w:right w:val="single" w:sz="4" w:space="0" w:color="auto"/>
            </w:tcBorders>
            <w:shd w:val="clear" w:color="000000" w:fill="C6EFCE"/>
            <w:noWrap/>
            <w:vAlign w:val="center"/>
          </w:tcPr>
          <w:p w14:paraId="02429D0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508F20F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Esmatasandi tervishoiuperearstide õppekavade aktiveerimine </w:t>
            </w:r>
          </w:p>
        </w:tc>
      </w:tr>
      <w:tr w:rsidR="00B430F0" w:rsidRPr="003B132A" w14:paraId="5CBD3559"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AFDC57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160</w:t>
            </w:r>
          </w:p>
        </w:tc>
        <w:tc>
          <w:tcPr>
            <w:tcW w:w="4283" w:type="dxa"/>
            <w:tcBorders>
              <w:top w:val="nil"/>
              <w:left w:val="nil"/>
              <w:bottom w:val="single" w:sz="4" w:space="0" w:color="auto"/>
              <w:right w:val="single" w:sz="4" w:space="0" w:color="auto"/>
            </w:tcBorders>
            <w:shd w:val="clear" w:color="000000" w:fill="C6EFCE"/>
            <w:noWrap/>
            <w:vAlign w:val="center"/>
          </w:tcPr>
          <w:p w14:paraId="048C570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Tervishoiusüsteemi vastupanuvõime, juurdepääsetavuse ja jätkusuutlikkuse parandamine – 16820_Reform vaimse tervise ja sõltuvuse valdkonnas</w:t>
            </w:r>
          </w:p>
        </w:tc>
        <w:tc>
          <w:tcPr>
            <w:tcW w:w="1692" w:type="dxa"/>
            <w:tcBorders>
              <w:top w:val="nil"/>
              <w:left w:val="nil"/>
              <w:bottom w:val="single" w:sz="4" w:space="0" w:color="auto"/>
              <w:right w:val="single" w:sz="4" w:space="0" w:color="auto"/>
            </w:tcBorders>
            <w:shd w:val="clear" w:color="000000" w:fill="C6EFCE"/>
            <w:noWrap/>
            <w:vAlign w:val="center"/>
          </w:tcPr>
          <w:p w14:paraId="16F4166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740" w:type="dxa"/>
            <w:tcBorders>
              <w:top w:val="nil"/>
              <w:left w:val="nil"/>
              <w:bottom w:val="single" w:sz="4" w:space="0" w:color="auto"/>
              <w:right w:val="single" w:sz="4" w:space="0" w:color="auto"/>
            </w:tcBorders>
            <w:shd w:val="clear" w:color="000000" w:fill="C6EFCE"/>
            <w:noWrap/>
            <w:vAlign w:val="center"/>
          </w:tcPr>
          <w:p w14:paraId="2D0CBD0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Vaimne tervis – avatud 50 ühikut – etapi 1 teine etapp</w:t>
            </w:r>
          </w:p>
        </w:tc>
      </w:tr>
      <w:tr w:rsidR="00B430F0" w:rsidRPr="00E02B5D" w14:paraId="74A1907F"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1B475D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211</w:t>
            </w:r>
          </w:p>
        </w:tc>
        <w:tc>
          <w:tcPr>
            <w:tcW w:w="4283" w:type="dxa"/>
            <w:tcBorders>
              <w:top w:val="nil"/>
              <w:left w:val="nil"/>
              <w:bottom w:val="single" w:sz="4" w:space="0" w:color="auto"/>
              <w:right w:val="single" w:sz="4" w:space="0" w:color="auto"/>
            </w:tcBorders>
            <w:shd w:val="clear" w:color="000000" w:fill="C6EFCE"/>
            <w:noWrap/>
            <w:vAlign w:val="center"/>
          </w:tcPr>
          <w:p w14:paraId="6318AEA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16952_Riikliku korruptsioonivastase raamistiku tugevdamine sihipäraste meetmete abil avastamise, ennetamise ja teadlikkuse suurendamise valdkonnas</w:t>
            </w:r>
          </w:p>
        </w:tc>
        <w:tc>
          <w:tcPr>
            <w:tcW w:w="1692" w:type="dxa"/>
            <w:tcBorders>
              <w:top w:val="nil"/>
              <w:left w:val="nil"/>
              <w:bottom w:val="single" w:sz="4" w:space="0" w:color="auto"/>
              <w:right w:val="single" w:sz="4" w:space="0" w:color="auto"/>
            </w:tcBorders>
            <w:shd w:val="clear" w:color="000000" w:fill="C6EFCE"/>
            <w:noWrap/>
            <w:vAlign w:val="center"/>
          </w:tcPr>
          <w:p w14:paraId="44F089A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5ADD3E0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Sisekontrolliseaduse rakendamine</w:t>
            </w:r>
          </w:p>
        </w:tc>
      </w:tr>
      <w:tr w:rsidR="00B430F0" w:rsidRPr="00E02B5D" w14:paraId="2DD48666"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5313EE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214</w:t>
            </w:r>
          </w:p>
        </w:tc>
        <w:tc>
          <w:tcPr>
            <w:tcW w:w="4283" w:type="dxa"/>
            <w:tcBorders>
              <w:top w:val="nil"/>
              <w:left w:val="nil"/>
              <w:bottom w:val="single" w:sz="4" w:space="0" w:color="auto"/>
              <w:right w:val="single" w:sz="4" w:space="0" w:color="auto"/>
            </w:tcBorders>
            <w:shd w:val="clear" w:color="000000" w:fill="C6EFCE"/>
            <w:noWrap/>
            <w:vAlign w:val="center"/>
          </w:tcPr>
          <w:p w14:paraId="7D485F1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16701_Tõhustatud riigiabi võrgustik</w:t>
            </w:r>
          </w:p>
        </w:tc>
        <w:tc>
          <w:tcPr>
            <w:tcW w:w="1692" w:type="dxa"/>
            <w:tcBorders>
              <w:top w:val="nil"/>
              <w:left w:val="nil"/>
              <w:bottom w:val="single" w:sz="4" w:space="0" w:color="auto"/>
              <w:right w:val="single" w:sz="4" w:space="0" w:color="auto"/>
            </w:tcBorders>
            <w:shd w:val="clear" w:color="000000" w:fill="C6EFCE"/>
            <w:noWrap/>
            <w:vAlign w:val="center"/>
          </w:tcPr>
          <w:p w14:paraId="5C75EB5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32D1988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Tõhustatud riigiabi võrgustik</w:t>
            </w:r>
          </w:p>
        </w:tc>
      </w:tr>
      <w:tr w:rsidR="00B430F0" w:rsidRPr="003B132A" w14:paraId="69BEA6F0"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D34C25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215</w:t>
            </w:r>
          </w:p>
        </w:tc>
        <w:tc>
          <w:tcPr>
            <w:tcW w:w="4283" w:type="dxa"/>
            <w:tcBorders>
              <w:top w:val="nil"/>
              <w:left w:val="nil"/>
              <w:bottom w:val="single" w:sz="4" w:space="0" w:color="auto"/>
              <w:right w:val="single" w:sz="4" w:space="0" w:color="auto"/>
            </w:tcBorders>
            <w:shd w:val="clear" w:color="000000" w:fill="C6EFCE"/>
            <w:noWrap/>
            <w:vAlign w:val="center"/>
          </w:tcPr>
          <w:p w14:paraId="7C110BF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16981_Poliitika kavandamise ja kooskõlastamise tõhustamine</w:t>
            </w:r>
          </w:p>
        </w:tc>
        <w:tc>
          <w:tcPr>
            <w:tcW w:w="1692" w:type="dxa"/>
            <w:tcBorders>
              <w:top w:val="nil"/>
              <w:left w:val="nil"/>
              <w:bottom w:val="single" w:sz="4" w:space="0" w:color="auto"/>
              <w:right w:val="single" w:sz="4" w:space="0" w:color="auto"/>
            </w:tcBorders>
            <w:shd w:val="clear" w:color="000000" w:fill="C6EFCE"/>
            <w:noWrap/>
            <w:vAlign w:val="center"/>
          </w:tcPr>
          <w:p w14:paraId="350462E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045270D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Poliitika kavandamine ja koordineerimine – mõjuhinnang</w:t>
            </w:r>
          </w:p>
        </w:tc>
      </w:tr>
      <w:tr w:rsidR="00B430F0" w:rsidRPr="003B132A" w14:paraId="2E0B186B"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2173B0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226</w:t>
            </w:r>
          </w:p>
        </w:tc>
        <w:tc>
          <w:tcPr>
            <w:tcW w:w="4283" w:type="dxa"/>
            <w:tcBorders>
              <w:top w:val="nil"/>
              <w:left w:val="nil"/>
              <w:bottom w:val="single" w:sz="4" w:space="0" w:color="auto"/>
              <w:right w:val="single" w:sz="4" w:space="0" w:color="auto"/>
            </w:tcBorders>
            <w:shd w:val="clear" w:color="000000" w:fill="C6EFCE"/>
            <w:noWrap/>
            <w:vAlign w:val="center"/>
          </w:tcPr>
          <w:p w14:paraId="604130D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16575 Õigusmõistmise kiirendamine</w:t>
            </w:r>
          </w:p>
        </w:tc>
        <w:tc>
          <w:tcPr>
            <w:tcW w:w="1692" w:type="dxa"/>
            <w:tcBorders>
              <w:top w:val="nil"/>
              <w:left w:val="nil"/>
              <w:bottom w:val="single" w:sz="4" w:space="0" w:color="auto"/>
              <w:right w:val="single" w:sz="4" w:space="0" w:color="auto"/>
            </w:tcBorders>
            <w:shd w:val="clear" w:color="000000" w:fill="C6EFCE"/>
            <w:noWrap/>
            <w:vAlign w:val="center"/>
          </w:tcPr>
          <w:p w14:paraId="3FFBC77A"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39207A9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Kohtute kaart – esmased õigusaktid – haldusküsimused</w:t>
            </w:r>
          </w:p>
        </w:tc>
      </w:tr>
      <w:tr w:rsidR="00B430F0" w:rsidRPr="003B132A" w14:paraId="78C7A6A8"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AB4917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227</w:t>
            </w:r>
          </w:p>
        </w:tc>
        <w:tc>
          <w:tcPr>
            <w:tcW w:w="4283" w:type="dxa"/>
            <w:tcBorders>
              <w:top w:val="nil"/>
              <w:left w:val="nil"/>
              <w:bottom w:val="single" w:sz="4" w:space="0" w:color="auto"/>
              <w:right w:val="single" w:sz="4" w:space="0" w:color="auto"/>
            </w:tcBorders>
            <w:shd w:val="clear" w:color="000000" w:fill="C6EFCE"/>
            <w:noWrap/>
            <w:vAlign w:val="center"/>
          </w:tcPr>
          <w:p w14:paraId="7C3E79B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16292_Uued kohtuhooned</w:t>
            </w:r>
          </w:p>
        </w:tc>
        <w:tc>
          <w:tcPr>
            <w:tcW w:w="1692" w:type="dxa"/>
            <w:tcBorders>
              <w:top w:val="nil"/>
              <w:left w:val="nil"/>
              <w:bottom w:val="single" w:sz="4" w:space="0" w:color="auto"/>
              <w:right w:val="single" w:sz="4" w:space="0" w:color="auto"/>
            </w:tcBorders>
            <w:shd w:val="clear" w:color="000000" w:fill="C6EFCE"/>
            <w:noWrap/>
            <w:vAlign w:val="center"/>
          </w:tcPr>
          <w:p w14:paraId="03CF834D"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000000" w:fill="C6EFCE"/>
            <w:noWrap/>
            <w:vAlign w:val="center"/>
          </w:tcPr>
          <w:p w14:paraId="4AECC82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Kohtuhoonete ehitamine ja renoveerimine – loetelu kohandamine – pakkumuste esitamine</w:t>
            </w:r>
          </w:p>
        </w:tc>
      </w:tr>
      <w:tr w:rsidR="00B430F0" w:rsidRPr="00E02B5D" w14:paraId="17516E5A"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E516C1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34ACD8A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lang w:val="en-GB"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6600ECF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14:paraId="4C8EA4B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1 974 438 067 eurot</w:t>
            </w:r>
          </w:p>
        </w:tc>
      </w:tr>
    </w:tbl>
    <w:p w14:paraId="69558669" w14:textId="77777777" w:rsidR="00B430F0" w:rsidRPr="00E02B5D" w:rsidRDefault="00B430F0" w:rsidP="00645BC7">
      <w:pPr>
        <w:keepNext/>
        <w:spacing w:before="40" w:after="0" w:line="259" w:lineRule="auto"/>
        <w:jc w:val="both"/>
        <w:rPr>
          <w:rFonts w:ascii="Times New Roman" w:eastAsia="Times New Roman" w:hAnsi="Times New Roman" w:cs="Times New Roman"/>
          <w:bCs/>
          <w:noProof/>
          <w:sz w:val="24"/>
          <w:szCs w:val="26"/>
          <w:lang w:val="en-GB"/>
        </w:rPr>
        <w:sectPr w:rsidR="00B430F0" w:rsidRPr="00E02B5D" w:rsidSect="00271D33">
          <w:headerReference w:type="even" r:id="rId446"/>
          <w:headerReference w:type="default" r:id="rId447"/>
          <w:footerReference w:type="even" r:id="rId448"/>
          <w:footerReference w:type="default" r:id="rId449"/>
          <w:headerReference w:type="first" r:id="rId450"/>
          <w:footerReference w:type="first" r:id="rId451"/>
          <w:pgSz w:w="11907" w:h="16839"/>
          <w:pgMar w:top="1134" w:right="1417" w:bottom="1134" w:left="1417" w:header="709" w:footer="327" w:gutter="0"/>
          <w:cols w:space="720"/>
          <w:docGrid w:linePitch="360"/>
        </w:sectPr>
      </w:pPr>
    </w:p>
    <w:p w14:paraId="074ACF41" w14:textId="77777777" w:rsidR="00B430F0" w:rsidRPr="00E02B5D" w:rsidRDefault="00B430F0" w:rsidP="00DE1EE5">
      <w:pPr>
        <w:keepNext/>
        <w:numPr>
          <w:ilvl w:val="1"/>
          <w:numId w:val="22"/>
        </w:numPr>
        <w:spacing w:before="40" w:after="0" w:line="259" w:lineRule="auto"/>
        <w:ind w:left="0"/>
        <w:contextualSpacing/>
        <w:jc w:val="both"/>
        <w:rPr>
          <w:rFonts w:ascii="Times New Roman" w:eastAsia="Times New Roman" w:hAnsi="Times New Roman" w:cs="Times New Roman"/>
          <w:i/>
          <w:noProof/>
          <w:color w:val="4F81BD"/>
          <w:sz w:val="24"/>
        </w:rPr>
      </w:pPr>
      <w:r>
        <w:rPr>
          <w:rFonts w:ascii="Times New Roman" w:hAnsi="Times New Roman"/>
          <w:noProof/>
          <w:sz w:val="24"/>
        </w:rPr>
        <w:t xml:space="preserve">Neljas osamakse (tagastamatu toetus): </w:t>
      </w:r>
    </w:p>
    <w:tbl>
      <w:tblPr>
        <w:tblW w:w="9519" w:type="dxa"/>
        <w:tblInd w:w="113" w:type="dxa"/>
        <w:tblLayout w:type="fixed"/>
        <w:tblLook w:val="04A0" w:firstRow="1" w:lastRow="0" w:firstColumn="1" w:lastColumn="0" w:noHBand="0" w:noVBand="1"/>
      </w:tblPr>
      <w:tblGrid>
        <w:gridCol w:w="1804"/>
        <w:gridCol w:w="4283"/>
        <w:gridCol w:w="1692"/>
        <w:gridCol w:w="1740"/>
      </w:tblGrid>
      <w:tr w:rsidR="007B4D63" w:rsidRPr="00E02B5D" w14:paraId="6B21D3DA" w14:textId="77777777" w:rsidTr="00C35E51">
        <w:trPr>
          <w:trHeight w:val="906"/>
          <w:tblHeader/>
        </w:trPr>
        <w:tc>
          <w:tcPr>
            <w:tcW w:w="18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1F9CF1" w14:textId="77777777" w:rsidR="00B430F0" w:rsidRPr="005622B6" w:rsidRDefault="00B430F0" w:rsidP="00D16F13">
            <w:pPr>
              <w:keepNext/>
              <w:spacing w:before="40" w:after="0" w:line="259" w:lineRule="auto"/>
              <w:jc w:val="both"/>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D4A616" w14:textId="77777777" w:rsidR="00B430F0" w:rsidRPr="005622B6" w:rsidRDefault="00B430F0" w:rsidP="00D16F13">
            <w:pPr>
              <w:keepNext/>
              <w:spacing w:before="40" w:after="0" w:line="259" w:lineRule="auto"/>
              <w:jc w:val="both"/>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F48059" w14:textId="77777777" w:rsidR="00B430F0" w:rsidRPr="005622B6" w:rsidRDefault="00B430F0" w:rsidP="00D16F13">
            <w:pPr>
              <w:keepNext/>
              <w:spacing w:before="40" w:after="0" w:line="259" w:lineRule="auto"/>
              <w:jc w:val="both"/>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EC8E75" w14:textId="77777777" w:rsidR="00B430F0" w:rsidRPr="005622B6" w:rsidRDefault="00B430F0" w:rsidP="00D16F13">
            <w:pPr>
              <w:keepNext/>
              <w:spacing w:before="40" w:after="0" w:line="259" w:lineRule="auto"/>
              <w:jc w:val="both"/>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5BFA6549" w14:textId="77777777" w:rsidTr="005622B6">
        <w:trPr>
          <w:trHeight w:val="509"/>
        </w:trPr>
        <w:tc>
          <w:tcPr>
            <w:tcW w:w="1804" w:type="dxa"/>
            <w:vMerge/>
            <w:tcBorders>
              <w:top w:val="single" w:sz="4" w:space="0" w:color="auto"/>
              <w:left w:val="single" w:sz="4" w:space="0" w:color="auto"/>
              <w:bottom w:val="single" w:sz="4" w:space="0" w:color="auto"/>
              <w:right w:val="single" w:sz="4" w:space="0" w:color="auto"/>
            </w:tcBorders>
            <w:vAlign w:val="center"/>
            <w:hideMark/>
          </w:tcPr>
          <w:p w14:paraId="0BC938A1"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left w:val="single" w:sz="4" w:space="0" w:color="auto"/>
              <w:right w:val="single" w:sz="4" w:space="0" w:color="auto"/>
            </w:tcBorders>
            <w:vAlign w:val="center"/>
            <w:hideMark/>
          </w:tcPr>
          <w:p w14:paraId="418E2838"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14:paraId="05A9BADF"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5B72BE46"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491C1A" w:rsidRPr="003B132A" w14:paraId="0D49D0BF" w14:textId="77777777" w:rsidTr="00A33C10">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0C83E7" w14:textId="77777777" w:rsidR="00491C1A" w:rsidRPr="00E02B5D" w:rsidRDefault="00491C1A" w:rsidP="00491C1A">
            <w:pPr>
              <w:keepNext/>
              <w:spacing w:before="40" w:after="0" w:line="240" w:lineRule="auto"/>
              <w:jc w:val="both"/>
              <w:rPr>
                <w:rFonts w:ascii="Times New Roman" w:hAnsi="Times New Roman"/>
                <w:noProof/>
                <w:sz w:val="18"/>
              </w:rPr>
            </w:pPr>
            <w:r>
              <w:rPr>
                <w:rFonts w:ascii="Times New Roman" w:hAnsi="Times New Roman"/>
                <w:noProof/>
                <w:sz w:val="18"/>
              </w:rPr>
              <w:t>7</w:t>
            </w:r>
          </w:p>
        </w:tc>
        <w:tc>
          <w:tcPr>
            <w:tcW w:w="4283" w:type="dxa"/>
            <w:tcBorders>
              <w:top w:val="single" w:sz="4" w:space="0" w:color="auto"/>
              <w:left w:val="nil"/>
              <w:bottom w:val="single" w:sz="4" w:space="0" w:color="auto"/>
              <w:right w:val="single" w:sz="4" w:space="0" w:color="auto"/>
            </w:tcBorders>
            <w:shd w:val="clear" w:color="auto" w:fill="C6EFCE"/>
            <w:noWrap/>
            <w:vAlign w:val="center"/>
          </w:tcPr>
          <w:p w14:paraId="6B2CFB59" w14:textId="77777777" w:rsidR="00491C1A" w:rsidRPr="00E02B5D" w:rsidRDefault="00491C1A" w:rsidP="00491C1A">
            <w:pPr>
              <w:keepNext/>
              <w:spacing w:before="40" w:after="0" w:line="240" w:lineRule="auto"/>
              <w:jc w:val="both"/>
              <w:rPr>
                <w:rFonts w:ascii="Times New Roman" w:hAnsi="Times New Roman"/>
                <w:noProof/>
                <w:sz w:val="18"/>
              </w:rPr>
            </w:pPr>
            <w:r>
              <w:rPr>
                <w:rFonts w:ascii="Times New Roman" w:hAnsi="Times New Roman"/>
                <w:noProof/>
                <w:sz w:val="18"/>
              </w:rPr>
              <w:t>1-1.1. Energeetika – 16865_Restruktureerimine ja taastuvate energiaallikate koostootmiskonto tulude suurendamine</w:t>
            </w:r>
          </w:p>
        </w:tc>
        <w:tc>
          <w:tcPr>
            <w:tcW w:w="1692" w:type="dxa"/>
            <w:tcBorders>
              <w:top w:val="single" w:sz="4" w:space="0" w:color="auto"/>
              <w:left w:val="nil"/>
              <w:bottom w:val="single" w:sz="4" w:space="0" w:color="auto"/>
              <w:right w:val="single" w:sz="4" w:space="0" w:color="auto"/>
            </w:tcBorders>
            <w:shd w:val="clear" w:color="auto" w:fill="C6EFCE"/>
            <w:noWrap/>
            <w:vAlign w:val="center"/>
          </w:tcPr>
          <w:p w14:paraId="37B37BA5" w14:textId="77777777" w:rsidR="00491C1A" w:rsidRPr="00E02B5D" w:rsidRDefault="00491C1A" w:rsidP="00491C1A">
            <w:pPr>
              <w:keepNext/>
              <w:spacing w:before="40" w:after="0" w:line="240" w:lineRule="auto"/>
              <w:jc w:val="both"/>
              <w:rPr>
                <w:rFonts w:ascii="Times New Roman" w:hAnsi="Times New Roman"/>
                <w:noProof/>
                <w:sz w:val="18"/>
              </w:rPr>
            </w:pPr>
            <w:r>
              <w:rPr>
                <w:rFonts w:ascii="Times New Roman" w:hAnsi="Times New Roman"/>
                <w:noProof/>
                <w:sz w:val="18"/>
              </w:rPr>
              <w:t>Siht</w:t>
            </w:r>
          </w:p>
        </w:tc>
        <w:tc>
          <w:tcPr>
            <w:tcW w:w="1740" w:type="dxa"/>
            <w:tcBorders>
              <w:top w:val="single" w:sz="4" w:space="0" w:color="auto"/>
              <w:left w:val="nil"/>
              <w:bottom w:val="single" w:sz="4" w:space="0" w:color="auto"/>
              <w:right w:val="single" w:sz="4" w:space="0" w:color="auto"/>
            </w:tcBorders>
            <w:shd w:val="clear" w:color="auto" w:fill="C6EFCE"/>
            <w:noWrap/>
            <w:vAlign w:val="center"/>
          </w:tcPr>
          <w:p w14:paraId="7B9B3B96" w14:textId="77777777" w:rsidR="00491C1A" w:rsidRPr="00E02B5D" w:rsidRDefault="00491C1A" w:rsidP="00491C1A">
            <w:pPr>
              <w:keepNext/>
              <w:spacing w:before="40" w:after="0" w:line="240" w:lineRule="auto"/>
              <w:jc w:val="both"/>
              <w:rPr>
                <w:rFonts w:ascii="Times New Roman" w:hAnsi="Times New Roman"/>
                <w:noProof/>
                <w:sz w:val="18"/>
              </w:rPr>
            </w:pPr>
            <w:r>
              <w:rPr>
                <w:rFonts w:ascii="Times New Roman" w:hAnsi="Times New Roman"/>
                <w:noProof/>
                <w:sz w:val="18"/>
              </w:rPr>
              <w:t>Taastuvate energiaallikate konto – võimsuse suurendamise eesmärk 2</w:t>
            </w:r>
          </w:p>
        </w:tc>
      </w:tr>
      <w:tr w:rsidR="00B430F0" w:rsidRPr="00E02B5D" w14:paraId="5BA0ADB0" w14:textId="77777777" w:rsidTr="359FB1C3">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3D9EE8D"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37</w:t>
            </w:r>
          </w:p>
        </w:tc>
        <w:tc>
          <w:tcPr>
            <w:tcW w:w="4283" w:type="dxa"/>
            <w:tcBorders>
              <w:top w:val="single" w:sz="4" w:space="0" w:color="auto"/>
              <w:left w:val="nil"/>
              <w:bottom w:val="single" w:sz="4" w:space="0" w:color="auto"/>
              <w:right w:val="single" w:sz="4" w:space="0" w:color="auto"/>
            </w:tcBorders>
            <w:shd w:val="clear" w:color="auto" w:fill="C6EFCE"/>
            <w:noWrap/>
            <w:vAlign w:val="center"/>
          </w:tcPr>
          <w:p w14:paraId="3AA175C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16932_Ateena olümpiaspordikeskus</w:t>
            </w:r>
          </w:p>
        </w:tc>
        <w:tc>
          <w:tcPr>
            <w:tcW w:w="1692" w:type="dxa"/>
            <w:tcBorders>
              <w:top w:val="single" w:sz="4" w:space="0" w:color="auto"/>
              <w:left w:val="nil"/>
              <w:bottom w:val="single" w:sz="4" w:space="0" w:color="auto"/>
              <w:right w:val="single" w:sz="4" w:space="0" w:color="auto"/>
            </w:tcBorders>
            <w:shd w:val="clear" w:color="auto" w:fill="C6EFCE"/>
            <w:noWrap/>
            <w:vAlign w:val="center"/>
          </w:tcPr>
          <w:p w14:paraId="5F305C5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single" w:sz="4" w:space="0" w:color="auto"/>
              <w:left w:val="nil"/>
              <w:bottom w:val="single" w:sz="4" w:space="0" w:color="auto"/>
              <w:right w:val="single" w:sz="4" w:space="0" w:color="auto"/>
            </w:tcBorders>
            <w:shd w:val="clear" w:color="auto" w:fill="C6EFCE"/>
            <w:noWrap/>
            <w:vAlign w:val="center"/>
          </w:tcPr>
          <w:p w14:paraId="5D53318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OAKA – lepingu sõlmimine</w:t>
            </w:r>
          </w:p>
        </w:tc>
      </w:tr>
      <w:tr w:rsidR="00B430F0" w:rsidRPr="00E02B5D" w14:paraId="4264ECC0"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hideMark/>
          </w:tcPr>
          <w:p w14:paraId="3E340D0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228</w:t>
            </w:r>
          </w:p>
        </w:tc>
        <w:tc>
          <w:tcPr>
            <w:tcW w:w="4283" w:type="dxa"/>
            <w:tcBorders>
              <w:top w:val="nil"/>
              <w:left w:val="nil"/>
              <w:bottom w:val="single" w:sz="4" w:space="0" w:color="auto"/>
              <w:right w:val="single" w:sz="4" w:space="0" w:color="auto"/>
            </w:tcBorders>
            <w:shd w:val="clear" w:color="auto" w:fill="C6EFCE"/>
            <w:noWrap/>
            <w:vAlign w:val="center"/>
          </w:tcPr>
          <w:p w14:paraId="6DE3D7E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16733_Kutseoskused ja digioskused kohtunike ja kohtutöötajate jaoks (kohtutöötajad)</w:t>
            </w:r>
          </w:p>
        </w:tc>
        <w:tc>
          <w:tcPr>
            <w:tcW w:w="1692" w:type="dxa"/>
            <w:tcBorders>
              <w:top w:val="nil"/>
              <w:left w:val="nil"/>
              <w:bottom w:val="single" w:sz="4" w:space="0" w:color="auto"/>
              <w:right w:val="single" w:sz="4" w:space="0" w:color="auto"/>
            </w:tcBorders>
            <w:shd w:val="clear" w:color="auto" w:fill="C6EFCE"/>
            <w:noWrap/>
            <w:vAlign w:val="center"/>
          </w:tcPr>
          <w:p w14:paraId="58DF5C8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740" w:type="dxa"/>
            <w:tcBorders>
              <w:top w:val="nil"/>
              <w:left w:val="nil"/>
              <w:bottom w:val="single" w:sz="4" w:space="0" w:color="auto"/>
              <w:right w:val="single" w:sz="4" w:space="0" w:color="auto"/>
            </w:tcBorders>
            <w:shd w:val="clear" w:color="auto" w:fill="C6EFCE"/>
            <w:noWrap/>
            <w:vAlign w:val="center"/>
          </w:tcPr>
          <w:p w14:paraId="0BEDF1E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Koolitus – kohtunikud ja kantseleitöötajad</w:t>
            </w:r>
          </w:p>
        </w:tc>
      </w:tr>
      <w:tr w:rsidR="007B4D63" w:rsidRPr="003B132A" w14:paraId="6262273C"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4DB5B7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w:t>
            </w:r>
          </w:p>
        </w:tc>
        <w:tc>
          <w:tcPr>
            <w:tcW w:w="4283" w:type="dxa"/>
            <w:tcBorders>
              <w:top w:val="nil"/>
              <w:left w:val="nil"/>
              <w:bottom w:val="single" w:sz="4" w:space="0" w:color="auto"/>
              <w:right w:val="single" w:sz="4" w:space="0" w:color="auto"/>
            </w:tcBorders>
            <w:shd w:val="clear" w:color="auto" w:fill="C6EFCE"/>
            <w:noWrap/>
            <w:vAlign w:val="center"/>
          </w:tcPr>
          <w:p w14:paraId="5E4FC1C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16870_Sekkumised saarte elektrivõrkude ühendamiseks ja elektrivõrgu ajakohastamiseks</w:t>
            </w:r>
          </w:p>
        </w:tc>
        <w:tc>
          <w:tcPr>
            <w:tcW w:w="1692" w:type="dxa"/>
            <w:tcBorders>
              <w:top w:val="nil"/>
              <w:left w:val="nil"/>
              <w:bottom w:val="single" w:sz="4" w:space="0" w:color="auto"/>
              <w:right w:val="single" w:sz="4" w:space="0" w:color="auto"/>
            </w:tcBorders>
            <w:shd w:val="clear" w:color="auto" w:fill="C6EFCE"/>
            <w:noWrap/>
            <w:vAlign w:val="center"/>
          </w:tcPr>
          <w:p w14:paraId="34CA1DA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48E05D2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Saarte ühendamine – lepingute sõlmimine</w:t>
            </w:r>
          </w:p>
        </w:tc>
      </w:tr>
      <w:tr w:rsidR="007B4D63" w:rsidRPr="003B132A" w14:paraId="33A13376"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A881DF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w:t>
            </w:r>
          </w:p>
        </w:tc>
        <w:tc>
          <w:tcPr>
            <w:tcW w:w="4283" w:type="dxa"/>
            <w:tcBorders>
              <w:top w:val="nil"/>
              <w:left w:val="nil"/>
              <w:bottom w:val="single" w:sz="4" w:space="0" w:color="auto"/>
              <w:right w:val="single" w:sz="4" w:space="0" w:color="auto"/>
            </w:tcBorders>
            <w:shd w:val="clear" w:color="auto" w:fill="C6EFCE"/>
            <w:noWrap/>
            <w:vAlign w:val="center"/>
          </w:tcPr>
          <w:p w14:paraId="02F329B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16865_Restruktureerimine ja taastuvate energiaallikate koostootmiskonto tulude suurendamine</w:t>
            </w:r>
          </w:p>
        </w:tc>
        <w:tc>
          <w:tcPr>
            <w:tcW w:w="1692" w:type="dxa"/>
            <w:tcBorders>
              <w:top w:val="nil"/>
              <w:left w:val="nil"/>
              <w:bottom w:val="single" w:sz="4" w:space="0" w:color="auto"/>
              <w:right w:val="single" w:sz="4" w:space="0" w:color="auto"/>
            </w:tcBorders>
            <w:shd w:val="clear" w:color="auto" w:fill="C6EFCE"/>
            <w:noWrap/>
            <w:vAlign w:val="center"/>
          </w:tcPr>
          <w:p w14:paraId="4592EFF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740" w:type="dxa"/>
            <w:tcBorders>
              <w:top w:val="nil"/>
              <w:left w:val="nil"/>
              <w:bottom w:val="single" w:sz="4" w:space="0" w:color="auto"/>
              <w:right w:val="single" w:sz="4" w:space="0" w:color="auto"/>
            </w:tcBorders>
            <w:shd w:val="clear" w:color="auto" w:fill="C6EFCE"/>
            <w:noWrap/>
            <w:vAlign w:val="center"/>
          </w:tcPr>
          <w:p w14:paraId="310BFAC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Taastuvate energiaallikate konto – võimsuse suurendamise eesmärk 1</w:t>
            </w:r>
          </w:p>
        </w:tc>
      </w:tr>
      <w:tr w:rsidR="007B4D63" w:rsidRPr="00E02B5D" w14:paraId="495E2C24"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4A3FF70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w:t>
            </w:r>
          </w:p>
        </w:tc>
        <w:tc>
          <w:tcPr>
            <w:tcW w:w="4283" w:type="dxa"/>
            <w:tcBorders>
              <w:top w:val="nil"/>
              <w:left w:val="nil"/>
              <w:bottom w:val="single" w:sz="4" w:space="0" w:color="auto"/>
              <w:right w:val="single" w:sz="4" w:space="0" w:color="auto"/>
            </w:tcBorders>
            <w:shd w:val="clear" w:color="auto" w:fill="C6EFCE"/>
            <w:noWrap/>
            <w:vAlign w:val="center"/>
          </w:tcPr>
          <w:p w14:paraId="12F5AEF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16926_Salvestamissüsteemide paigaldamise toetamine taastuvate energiaallikate osakaalu suurendamiseks</w:t>
            </w:r>
          </w:p>
        </w:tc>
        <w:tc>
          <w:tcPr>
            <w:tcW w:w="1692" w:type="dxa"/>
            <w:tcBorders>
              <w:top w:val="nil"/>
              <w:left w:val="nil"/>
              <w:bottom w:val="single" w:sz="4" w:space="0" w:color="auto"/>
              <w:right w:val="single" w:sz="4" w:space="0" w:color="auto"/>
            </w:tcBorders>
            <w:shd w:val="clear" w:color="auto" w:fill="C6EFCE"/>
            <w:noWrap/>
            <w:vAlign w:val="center"/>
          </w:tcPr>
          <w:p w14:paraId="76466CF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06CEDF6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Ladustamine – lepingud</w:t>
            </w:r>
          </w:p>
        </w:tc>
      </w:tr>
      <w:tr w:rsidR="007B4D63" w:rsidRPr="003B132A" w14:paraId="6D2CF28C"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CD04F3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34</w:t>
            </w:r>
          </w:p>
        </w:tc>
        <w:tc>
          <w:tcPr>
            <w:tcW w:w="4283" w:type="dxa"/>
            <w:tcBorders>
              <w:top w:val="nil"/>
              <w:left w:val="nil"/>
              <w:bottom w:val="single" w:sz="4" w:space="0" w:color="auto"/>
              <w:right w:val="single" w:sz="4" w:space="0" w:color="auto"/>
            </w:tcBorders>
            <w:shd w:val="clear" w:color="auto" w:fill="C6EFCE"/>
            <w:noWrap/>
            <w:vAlign w:val="center"/>
          </w:tcPr>
          <w:p w14:paraId="1E7C17F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xml:space="preserve">2-1.2. Renoveerimine – 16876_Avaliku sektori hoonete energiatõhususe suurendamine </w:t>
            </w:r>
          </w:p>
        </w:tc>
        <w:tc>
          <w:tcPr>
            <w:tcW w:w="1692" w:type="dxa"/>
            <w:tcBorders>
              <w:top w:val="nil"/>
              <w:left w:val="nil"/>
              <w:bottom w:val="single" w:sz="4" w:space="0" w:color="auto"/>
              <w:right w:val="single" w:sz="4" w:space="0" w:color="auto"/>
            </w:tcBorders>
            <w:shd w:val="clear" w:color="auto" w:fill="C6EFCE"/>
            <w:noWrap/>
            <w:vAlign w:val="center"/>
          </w:tcPr>
          <w:p w14:paraId="19B166C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45BFE12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Üldkasutatavate hoonete energiatõhusus – heakskiidetud taotlused</w:t>
            </w:r>
          </w:p>
        </w:tc>
      </w:tr>
      <w:tr w:rsidR="00B430F0" w:rsidRPr="003B132A" w14:paraId="7562B038"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061E835"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61</w:t>
            </w:r>
          </w:p>
        </w:tc>
        <w:tc>
          <w:tcPr>
            <w:tcW w:w="4283" w:type="dxa"/>
            <w:tcBorders>
              <w:top w:val="nil"/>
              <w:left w:val="nil"/>
              <w:bottom w:val="single" w:sz="4" w:space="0" w:color="auto"/>
              <w:right w:val="single" w:sz="4" w:space="0" w:color="auto"/>
            </w:tcBorders>
            <w:shd w:val="clear" w:color="auto" w:fill="C6EFCE"/>
            <w:noWrap/>
            <w:vAlign w:val="center"/>
          </w:tcPr>
          <w:p w14:paraId="7716232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vastupanuvõime kliimamuutustele ja keskkonnakaitse – 16849_Riiklik taasmetsastamiskava, taastamine ja ennetamine (antiNERO), erosiooni- ja üleujutuste vastased meetmed</w:t>
            </w:r>
          </w:p>
        </w:tc>
        <w:tc>
          <w:tcPr>
            <w:tcW w:w="1692" w:type="dxa"/>
            <w:tcBorders>
              <w:top w:val="nil"/>
              <w:left w:val="nil"/>
              <w:bottom w:val="single" w:sz="4" w:space="0" w:color="auto"/>
              <w:right w:val="single" w:sz="4" w:space="0" w:color="auto"/>
            </w:tcBorders>
            <w:shd w:val="clear" w:color="auto" w:fill="C6EFCE"/>
            <w:noWrap/>
            <w:vAlign w:val="center"/>
          </w:tcPr>
          <w:p w14:paraId="274E75C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0809A74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Taasmetsastamine, taastamine ja ennetamine – lepingud 1</w:t>
            </w:r>
          </w:p>
        </w:tc>
      </w:tr>
      <w:tr w:rsidR="00B430F0" w:rsidRPr="003B132A" w14:paraId="257F9C5A"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60F505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66</w:t>
            </w:r>
          </w:p>
        </w:tc>
        <w:tc>
          <w:tcPr>
            <w:tcW w:w="4283" w:type="dxa"/>
            <w:tcBorders>
              <w:top w:val="nil"/>
              <w:left w:val="nil"/>
              <w:bottom w:val="single" w:sz="4" w:space="0" w:color="auto"/>
              <w:right w:val="single" w:sz="4" w:space="0" w:color="auto"/>
            </w:tcBorders>
            <w:shd w:val="clear" w:color="auto" w:fill="C6EFCE"/>
            <w:noWrap/>
            <w:vAlign w:val="center"/>
          </w:tcPr>
          <w:p w14:paraId="748A57D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16850_Joogiveevarustuse ja -säästu taristud</w:t>
            </w:r>
          </w:p>
        </w:tc>
        <w:tc>
          <w:tcPr>
            <w:tcW w:w="1692" w:type="dxa"/>
            <w:tcBorders>
              <w:top w:val="nil"/>
              <w:left w:val="nil"/>
              <w:bottom w:val="single" w:sz="4" w:space="0" w:color="auto"/>
              <w:right w:val="single" w:sz="4" w:space="0" w:color="auto"/>
            </w:tcBorders>
            <w:shd w:val="clear" w:color="auto" w:fill="C6EFCE"/>
            <w:noWrap/>
            <w:vAlign w:val="center"/>
          </w:tcPr>
          <w:p w14:paraId="7A5900C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4380210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Veetaristu taotluste heakskiitmine</w:t>
            </w:r>
          </w:p>
        </w:tc>
      </w:tr>
      <w:tr w:rsidR="007B4D63" w:rsidRPr="003B132A" w14:paraId="53A9AB6D"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B9DF2E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87</w:t>
            </w:r>
          </w:p>
        </w:tc>
        <w:tc>
          <w:tcPr>
            <w:tcW w:w="4283" w:type="dxa"/>
            <w:tcBorders>
              <w:top w:val="nil"/>
              <w:left w:val="nil"/>
              <w:bottom w:val="single" w:sz="4" w:space="0" w:color="auto"/>
              <w:right w:val="single" w:sz="4" w:space="0" w:color="auto"/>
            </w:tcBorders>
            <w:shd w:val="clear" w:color="auto" w:fill="C6EFCE"/>
            <w:noWrap/>
            <w:vAlign w:val="center"/>
          </w:tcPr>
          <w:p w14:paraId="657B4E7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5-2.1. Ühendamine – 16855_Väikesatelliidid</w:t>
            </w:r>
          </w:p>
        </w:tc>
        <w:tc>
          <w:tcPr>
            <w:tcW w:w="1692" w:type="dxa"/>
            <w:tcBorders>
              <w:top w:val="nil"/>
              <w:left w:val="nil"/>
              <w:bottom w:val="single" w:sz="4" w:space="0" w:color="auto"/>
              <w:right w:val="single" w:sz="4" w:space="0" w:color="auto"/>
            </w:tcBorders>
            <w:shd w:val="clear" w:color="auto" w:fill="C6EFCE"/>
            <w:noWrap/>
            <w:vAlign w:val="center"/>
          </w:tcPr>
          <w:p w14:paraId="467E3C4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73DBD5E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Projekti „Väikesatelliidid“ lepingu(te) sõlmimine</w:t>
            </w:r>
          </w:p>
        </w:tc>
      </w:tr>
      <w:tr w:rsidR="00491C1A" w:rsidRPr="003B132A" w14:paraId="1639A8F3"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F224A8B" w14:textId="77777777" w:rsidR="00491C1A" w:rsidRPr="00E02B5D" w:rsidRDefault="00491C1A" w:rsidP="00491C1A">
            <w:pPr>
              <w:keepNext/>
              <w:spacing w:before="40" w:after="0" w:line="240" w:lineRule="auto"/>
              <w:jc w:val="both"/>
              <w:rPr>
                <w:rFonts w:ascii="Times New Roman" w:hAnsi="Times New Roman"/>
                <w:noProof/>
                <w:sz w:val="18"/>
              </w:rPr>
            </w:pPr>
            <w:r>
              <w:rPr>
                <w:rFonts w:ascii="Times New Roman" w:hAnsi="Times New Roman"/>
                <w:noProof/>
                <w:sz w:val="18"/>
              </w:rPr>
              <w:t>135</w:t>
            </w:r>
          </w:p>
        </w:tc>
        <w:tc>
          <w:tcPr>
            <w:tcW w:w="4283" w:type="dxa"/>
            <w:tcBorders>
              <w:top w:val="nil"/>
              <w:left w:val="nil"/>
              <w:bottom w:val="single" w:sz="4" w:space="0" w:color="auto"/>
              <w:right w:val="single" w:sz="4" w:space="0" w:color="auto"/>
            </w:tcBorders>
            <w:shd w:val="clear" w:color="auto" w:fill="C6EFCE"/>
            <w:noWrap/>
            <w:vAlign w:val="center"/>
          </w:tcPr>
          <w:p w14:paraId="51927715" w14:textId="77777777" w:rsidR="00491C1A" w:rsidRPr="00E02B5D" w:rsidRDefault="00491C1A" w:rsidP="00491C1A">
            <w:pPr>
              <w:keepNext/>
              <w:spacing w:before="40" w:after="0" w:line="240" w:lineRule="auto"/>
              <w:jc w:val="both"/>
              <w:rPr>
                <w:rFonts w:ascii="Times New Roman" w:hAnsi="Times New Roman"/>
                <w:noProof/>
                <w:sz w:val="18"/>
              </w:rPr>
            </w:pPr>
            <w:r>
              <w:rPr>
                <w:rFonts w:ascii="Times New Roman" w:hAnsi="Times New Roman"/>
                <w:noProof/>
                <w:sz w:val="18"/>
              </w:rPr>
              <w:t>8-3.1. Edendada töökohtade loomist ja tööturul osalemist – 16942_Avalike tööturuasutuste digitaalne ümberkujundamine</w:t>
            </w:r>
          </w:p>
        </w:tc>
        <w:tc>
          <w:tcPr>
            <w:tcW w:w="1692" w:type="dxa"/>
            <w:tcBorders>
              <w:top w:val="nil"/>
              <w:left w:val="nil"/>
              <w:bottom w:val="single" w:sz="4" w:space="0" w:color="auto"/>
              <w:right w:val="single" w:sz="4" w:space="0" w:color="auto"/>
            </w:tcBorders>
            <w:shd w:val="clear" w:color="auto" w:fill="C6EFCE"/>
            <w:noWrap/>
            <w:vAlign w:val="center"/>
          </w:tcPr>
          <w:p w14:paraId="7AEF507E" w14:textId="77777777" w:rsidR="00491C1A" w:rsidRPr="00E02B5D" w:rsidRDefault="65A2AB94" w:rsidP="00491C1A">
            <w:pPr>
              <w:keepNext/>
              <w:spacing w:before="40" w:after="0" w:line="240" w:lineRule="auto"/>
              <w:jc w:val="both"/>
              <w:rPr>
                <w:rFonts w:ascii="Times New Roman" w:hAnsi="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49EFF93E" w14:textId="77777777" w:rsidR="00491C1A" w:rsidRPr="00E02B5D" w:rsidRDefault="20C15648" w:rsidP="00491C1A">
            <w:pPr>
              <w:keepNext/>
              <w:spacing w:before="40" w:after="0" w:line="240" w:lineRule="auto"/>
              <w:jc w:val="both"/>
              <w:rPr>
                <w:rFonts w:ascii="Times New Roman" w:hAnsi="Times New Roman"/>
                <w:noProof/>
                <w:sz w:val="18"/>
                <w:szCs w:val="18"/>
              </w:rPr>
            </w:pPr>
            <w:r>
              <w:rPr>
                <w:rFonts w:ascii="Times New Roman" w:hAnsi="Times New Roman"/>
                <w:noProof/>
                <w:sz w:val="18"/>
              </w:rPr>
              <w:t xml:space="preserve">DYPA </w:t>
            </w:r>
            <w:r>
              <w:rPr>
                <w:rFonts w:asciiTheme="minorHAnsi" w:hAnsiTheme="minorHAnsi"/>
                <w:noProof/>
                <w:sz w:val="18"/>
              </w:rPr>
              <w:t>arhiivide digiteerimine, säilitamine ja arhiveerimine</w:t>
            </w:r>
          </w:p>
        </w:tc>
      </w:tr>
      <w:tr w:rsidR="007B4D63" w:rsidRPr="003B132A" w14:paraId="6A9B98A4"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D133B8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143</w:t>
            </w:r>
          </w:p>
        </w:tc>
        <w:tc>
          <w:tcPr>
            <w:tcW w:w="4283" w:type="dxa"/>
            <w:tcBorders>
              <w:top w:val="nil"/>
              <w:left w:val="nil"/>
              <w:bottom w:val="single" w:sz="4" w:space="0" w:color="auto"/>
              <w:right w:val="single" w:sz="4" w:space="0" w:color="auto"/>
            </w:tcBorders>
            <w:shd w:val="clear" w:color="auto" w:fill="C6EFCE"/>
            <w:noWrap/>
            <w:vAlign w:val="center"/>
          </w:tcPr>
          <w:p w14:paraId="25E0A92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9-3.2. Haridus, kutseharidus ja -koolitus ning oskused – 16792_Tööjõu oskused, ümberõpe ja oskuste täiendamine reformitud koolitusmudeli kaudu (kutseharidus ja -koolitus; koolitusreform)</w:t>
            </w:r>
          </w:p>
        </w:tc>
        <w:tc>
          <w:tcPr>
            <w:tcW w:w="1692" w:type="dxa"/>
            <w:tcBorders>
              <w:top w:val="nil"/>
              <w:left w:val="nil"/>
              <w:bottom w:val="single" w:sz="4" w:space="0" w:color="auto"/>
              <w:right w:val="single" w:sz="4" w:space="0" w:color="auto"/>
            </w:tcBorders>
            <w:shd w:val="clear" w:color="auto" w:fill="C6EFCE"/>
            <w:noWrap/>
            <w:vAlign w:val="center"/>
          </w:tcPr>
          <w:p w14:paraId="36C60C9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66DDEB5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Kutsehariduse ja -koolituse kvaliteedikontrolli süsteemi lepingute sõlmimine</w:t>
            </w:r>
          </w:p>
        </w:tc>
      </w:tr>
      <w:tr w:rsidR="007B4D63" w:rsidRPr="00E02B5D" w14:paraId="0AC6E144"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E3BB27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154</w:t>
            </w:r>
          </w:p>
        </w:tc>
        <w:tc>
          <w:tcPr>
            <w:tcW w:w="4283" w:type="dxa"/>
            <w:tcBorders>
              <w:top w:val="nil"/>
              <w:left w:val="nil"/>
              <w:bottom w:val="single" w:sz="4" w:space="0" w:color="auto"/>
              <w:right w:val="single" w:sz="4" w:space="0" w:color="auto"/>
            </w:tcBorders>
            <w:shd w:val="clear" w:color="auto" w:fill="C6EFCE"/>
            <w:noWrap/>
            <w:vAlign w:val="center"/>
          </w:tcPr>
          <w:p w14:paraId="0339F50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Tervishoiusüsteemi vastupanuvõime, juurdepääsetavuse ja jätkusuutlikkuse parandamine – 16816_Reformid ja investeeringute kiirendamine tervishoiusektoris – tagasinõude vähendamine ja tervishoiukulude ratsionaliseerimine</w:t>
            </w:r>
          </w:p>
        </w:tc>
        <w:tc>
          <w:tcPr>
            <w:tcW w:w="1692" w:type="dxa"/>
            <w:tcBorders>
              <w:top w:val="nil"/>
              <w:left w:val="nil"/>
              <w:bottom w:val="single" w:sz="4" w:space="0" w:color="auto"/>
              <w:right w:val="single" w:sz="4" w:space="0" w:color="auto"/>
            </w:tcBorders>
            <w:shd w:val="clear" w:color="auto" w:fill="C6EFCE"/>
            <w:noWrap/>
            <w:vAlign w:val="center"/>
          </w:tcPr>
          <w:p w14:paraId="617A65D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740" w:type="dxa"/>
            <w:tcBorders>
              <w:top w:val="nil"/>
              <w:left w:val="nil"/>
              <w:bottom w:val="single" w:sz="4" w:space="0" w:color="auto"/>
              <w:right w:val="single" w:sz="4" w:space="0" w:color="auto"/>
            </w:tcBorders>
            <w:shd w:val="clear" w:color="auto" w:fill="C6EFCE"/>
            <w:noWrap/>
            <w:vAlign w:val="center"/>
          </w:tcPr>
          <w:p w14:paraId="2FA291FA"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Tagasinõutud summa väheneb 50 000 000 võrra – 1. etapp</w:t>
            </w:r>
          </w:p>
        </w:tc>
      </w:tr>
      <w:tr w:rsidR="007B4D63" w:rsidRPr="003B132A" w14:paraId="1C55E46D"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0ABC9F1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203</w:t>
            </w:r>
          </w:p>
        </w:tc>
        <w:tc>
          <w:tcPr>
            <w:tcW w:w="4283" w:type="dxa"/>
            <w:tcBorders>
              <w:top w:val="nil"/>
              <w:left w:val="nil"/>
              <w:bottom w:val="single" w:sz="4" w:space="0" w:color="auto"/>
              <w:right w:val="single" w:sz="4" w:space="0" w:color="auto"/>
            </w:tcBorders>
            <w:shd w:val="clear" w:color="auto" w:fill="C6EFCE"/>
            <w:noWrap/>
            <w:vAlign w:val="center"/>
          </w:tcPr>
          <w:p w14:paraId="012FB70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16643_Kodifikatsioon ja maksualaste õigusaktide lihtsustamine</w:t>
            </w:r>
          </w:p>
        </w:tc>
        <w:tc>
          <w:tcPr>
            <w:tcW w:w="1692" w:type="dxa"/>
            <w:tcBorders>
              <w:top w:val="nil"/>
              <w:left w:val="nil"/>
              <w:bottom w:val="single" w:sz="4" w:space="0" w:color="auto"/>
              <w:right w:val="single" w:sz="4" w:space="0" w:color="auto"/>
            </w:tcBorders>
            <w:shd w:val="clear" w:color="auto" w:fill="C6EFCE"/>
            <w:noWrap/>
            <w:vAlign w:val="center"/>
          </w:tcPr>
          <w:p w14:paraId="1E8C7B0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0E598BD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Tulumaksu ja maksumenetluse koodide ümberkodifitseerimine</w:t>
            </w:r>
          </w:p>
        </w:tc>
      </w:tr>
      <w:tr w:rsidR="007B4D63" w:rsidRPr="003B132A" w14:paraId="76AD1900"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628DF5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229</w:t>
            </w:r>
          </w:p>
        </w:tc>
        <w:tc>
          <w:tcPr>
            <w:tcW w:w="4283" w:type="dxa"/>
            <w:tcBorders>
              <w:top w:val="nil"/>
              <w:left w:val="nil"/>
              <w:bottom w:val="single" w:sz="4" w:space="0" w:color="auto"/>
              <w:right w:val="single" w:sz="4" w:space="0" w:color="auto"/>
            </w:tcBorders>
            <w:shd w:val="clear" w:color="auto" w:fill="C6EFCE"/>
            <w:noWrap/>
            <w:vAlign w:val="center"/>
          </w:tcPr>
          <w:p w14:paraId="090D9FA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14-4.3. Kohtusüsteemi tõhususe parandamine – 16727 Õiguse digitaalne ümberkujundamine (e-õiguskeskkond)</w:t>
            </w:r>
          </w:p>
        </w:tc>
        <w:tc>
          <w:tcPr>
            <w:tcW w:w="1692" w:type="dxa"/>
            <w:tcBorders>
              <w:top w:val="nil"/>
              <w:left w:val="nil"/>
              <w:bottom w:val="single" w:sz="4" w:space="0" w:color="auto"/>
              <w:right w:val="single" w:sz="4" w:space="0" w:color="auto"/>
            </w:tcBorders>
            <w:shd w:val="clear" w:color="auto" w:fill="C6EFCE"/>
            <w:noWrap/>
            <w:vAlign w:val="center"/>
          </w:tcPr>
          <w:p w14:paraId="6AB1C57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40F0F32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Registrisüsteemide ja IT-õigussüsteemide ajakohastamine</w:t>
            </w:r>
          </w:p>
        </w:tc>
      </w:tr>
      <w:tr w:rsidR="00B430F0" w:rsidRPr="003B132A" w14:paraId="4995DD1C"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9A4FC2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230</w:t>
            </w:r>
          </w:p>
        </w:tc>
        <w:tc>
          <w:tcPr>
            <w:tcW w:w="4283" w:type="dxa"/>
            <w:tcBorders>
              <w:top w:val="nil"/>
              <w:left w:val="nil"/>
              <w:bottom w:val="single" w:sz="4" w:space="0" w:color="auto"/>
              <w:right w:val="single" w:sz="4" w:space="0" w:color="auto"/>
            </w:tcBorders>
            <w:shd w:val="clear" w:color="auto" w:fill="C6EFCE"/>
            <w:noWrap/>
            <w:vAlign w:val="center"/>
          </w:tcPr>
          <w:p w14:paraId="796B28D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14-4.3. Kohtusüsteemi tõhususe parandamine – 16575 Õigusmõistmise kiirendamine</w:t>
            </w:r>
          </w:p>
        </w:tc>
        <w:tc>
          <w:tcPr>
            <w:tcW w:w="1692" w:type="dxa"/>
            <w:tcBorders>
              <w:top w:val="nil"/>
              <w:left w:val="nil"/>
              <w:bottom w:val="single" w:sz="4" w:space="0" w:color="auto"/>
              <w:right w:val="single" w:sz="4" w:space="0" w:color="auto"/>
            </w:tcBorders>
            <w:shd w:val="clear" w:color="auto" w:fill="C6EFCE"/>
            <w:noWrap/>
            <w:vAlign w:val="center"/>
          </w:tcPr>
          <w:p w14:paraId="1F0A4F1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69890BC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Jõustumine – kohtuametnike tulemusvahend</w:t>
            </w:r>
          </w:p>
        </w:tc>
      </w:tr>
      <w:tr w:rsidR="007B4D63" w:rsidRPr="00E02B5D" w14:paraId="7C24AE39" w14:textId="77777777" w:rsidTr="00C35E51">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155052C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231</w:t>
            </w:r>
          </w:p>
        </w:tc>
        <w:tc>
          <w:tcPr>
            <w:tcW w:w="4283" w:type="dxa"/>
            <w:tcBorders>
              <w:top w:val="nil"/>
              <w:left w:val="nil"/>
              <w:bottom w:val="single" w:sz="4" w:space="0" w:color="auto"/>
              <w:right w:val="single" w:sz="4" w:space="0" w:color="auto"/>
            </w:tcBorders>
            <w:shd w:val="clear" w:color="auto" w:fill="C6EFCE"/>
            <w:noWrap/>
            <w:vAlign w:val="center"/>
          </w:tcPr>
          <w:p w14:paraId="4583E9A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14-4.3. Kohtusüsteemi tõhususe parandamine – 16292_Uued kohtuhooned</w:t>
            </w:r>
          </w:p>
        </w:tc>
        <w:tc>
          <w:tcPr>
            <w:tcW w:w="1692" w:type="dxa"/>
            <w:tcBorders>
              <w:top w:val="nil"/>
              <w:left w:val="nil"/>
              <w:bottom w:val="single" w:sz="4" w:space="0" w:color="auto"/>
              <w:right w:val="single" w:sz="4" w:space="0" w:color="auto"/>
            </w:tcBorders>
            <w:shd w:val="clear" w:color="auto" w:fill="C6EFCE"/>
            <w:noWrap/>
            <w:vAlign w:val="center"/>
          </w:tcPr>
          <w:p w14:paraId="70A71A8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55B0D69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Lepingud </w:t>
            </w:r>
          </w:p>
        </w:tc>
      </w:tr>
      <w:tr w:rsidR="007B4D63" w:rsidRPr="003B132A" w14:paraId="40D5CF19" w14:textId="77777777" w:rsidTr="00C35E51">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63CC555"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257</w:t>
            </w:r>
          </w:p>
        </w:tc>
        <w:tc>
          <w:tcPr>
            <w:tcW w:w="4283" w:type="dxa"/>
            <w:tcBorders>
              <w:top w:val="single" w:sz="4" w:space="0" w:color="auto"/>
              <w:left w:val="nil"/>
              <w:bottom w:val="single" w:sz="4" w:space="0" w:color="auto"/>
              <w:right w:val="single" w:sz="4" w:space="0" w:color="auto"/>
            </w:tcBorders>
            <w:shd w:val="clear" w:color="auto" w:fill="C6EFCE"/>
            <w:noWrap/>
            <w:vAlign w:val="center"/>
          </w:tcPr>
          <w:p w14:paraId="046B14D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16631_Maanteeohutuse suurendamine</w:t>
            </w:r>
          </w:p>
        </w:tc>
        <w:tc>
          <w:tcPr>
            <w:tcW w:w="1692" w:type="dxa"/>
            <w:tcBorders>
              <w:top w:val="nil"/>
              <w:left w:val="nil"/>
              <w:bottom w:val="single" w:sz="4" w:space="0" w:color="auto"/>
              <w:right w:val="single" w:sz="4" w:space="0" w:color="auto"/>
            </w:tcBorders>
            <w:shd w:val="clear" w:color="auto" w:fill="C6EFCE"/>
            <w:noWrap/>
            <w:vAlign w:val="center"/>
          </w:tcPr>
          <w:p w14:paraId="1B0B301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174157E6"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Liiklusohutusega seotud lepingu sõlmimine – lepingute esimene osa</w:t>
            </w:r>
          </w:p>
        </w:tc>
      </w:tr>
      <w:tr w:rsidR="007B4D63" w:rsidRPr="003B132A" w14:paraId="3A77CA17"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576C2E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260</w:t>
            </w:r>
          </w:p>
        </w:tc>
        <w:tc>
          <w:tcPr>
            <w:tcW w:w="4283" w:type="dxa"/>
            <w:tcBorders>
              <w:top w:val="nil"/>
              <w:left w:val="nil"/>
              <w:bottom w:val="single" w:sz="4" w:space="0" w:color="auto"/>
              <w:right w:val="single" w:sz="4" w:space="0" w:color="auto"/>
            </w:tcBorders>
            <w:shd w:val="clear" w:color="auto" w:fill="C6EFCE"/>
            <w:noWrap/>
            <w:vAlign w:val="center"/>
          </w:tcPr>
          <w:p w14:paraId="1820FDE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16630_Kreeta põhjakiirtee (Β. Ο. Α. Κ. )</w:t>
            </w:r>
          </w:p>
        </w:tc>
        <w:tc>
          <w:tcPr>
            <w:tcW w:w="1692" w:type="dxa"/>
            <w:tcBorders>
              <w:top w:val="nil"/>
              <w:left w:val="nil"/>
              <w:bottom w:val="single" w:sz="4" w:space="0" w:color="auto"/>
              <w:right w:val="single" w:sz="4" w:space="0" w:color="auto"/>
            </w:tcBorders>
            <w:shd w:val="clear" w:color="auto" w:fill="C6EFCE"/>
            <w:noWrap/>
            <w:vAlign w:val="center"/>
          </w:tcPr>
          <w:p w14:paraId="44BA424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388DFEE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Teade lepingute sõlmimise kohta seoses BOAKi kolme allprojektiga</w:t>
            </w:r>
          </w:p>
        </w:tc>
      </w:tr>
      <w:tr w:rsidR="007B4D63" w:rsidRPr="003B132A" w14:paraId="33502DDD" w14:textId="77777777" w:rsidTr="359FB1C3">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090B1B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267</w:t>
            </w:r>
          </w:p>
        </w:tc>
        <w:tc>
          <w:tcPr>
            <w:tcW w:w="4283" w:type="dxa"/>
            <w:tcBorders>
              <w:top w:val="nil"/>
              <w:left w:val="nil"/>
              <w:bottom w:val="single" w:sz="4" w:space="0" w:color="auto"/>
              <w:right w:val="single" w:sz="4" w:space="0" w:color="auto"/>
            </w:tcBorders>
            <w:shd w:val="clear" w:color="auto" w:fill="C6EFCE"/>
            <w:noWrap/>
            <w:vAlign w:val="center"/>
          </w:tcPr>
          <w:p w14:paraId="69FE9FC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16833_EASA nõuetele vastavuse parandamise tööde rakendamine</w:t>
            </w:r>
          </w:p>
        </w:tc>
        <w:tc>
          <w:tcPr>
            <w:tcW w:w="1692" w:type="dxa"/>
            <w:tcBorders>
              <w:top w:val="nil"/>
              <w:left w:val="nil"/>
              <w:bottom w:val="single" w:sz="4" w:space="0" w:color="auto"/>
              <w:right w:val="single" w:sz="4" w:space="0" w:color="auto"/>
            </w:tcBorders>
            <w:shd w:val="clear" w:color="auto" w:fill="C6EFCE"/>
            <w:noWrap/>
            <w:vAlign w:val="center"/>
          </w:tcPr>
          <w:p w14:paraId="6843ACF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40" w:type="dxa"/>
            <w:tcBorders>
              <w:top w:val="nil"/>
              <w:left w:val="nil"/>
              <w:bottom w:val="single" w:sz="4" w:space="0" w:color="auto"/>
              <w:right w:val="single" w:sz="4" w:space="0" w:color="auto"/>
            </w:tcBorders>
            <w:shd w:val="clear" w:color="auto" w:fill="C6EFCE"/>
            <w:noWrap/>
            <w:vAlign w:val="center"/>
          </w:tcPr>
          <w:p w14:paraId="07506C1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Teade Euroopa Liidu Lennundusohutusameti (EASA) tegevuse kohta piirkondlikes lennujaamades</w:t>
            </w:r>
          </w:p>
        </w:tc>
      </w:tr>
      <w:tr w:rsidR="00B430F0" w:rsidRPr="00E02B5D" w14:paraId="55319D6F" w14:textId="77777777" w:rsidTr="359FB1C3">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5FC39E6" w14:textId="77777777" w:rsidR="00B430F0" w:rsidRPr="00AD4052" w:rsidRDefault="00B430F0" w:rsidP="00D16F13">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5845F263" w14:textId="77777777" w:rsidR="00B430F0" w:rsidRPr="00AD4052" w:rsidRDefault="00B430F0" w:rsidP="00D16F13">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0E70A4E6"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14:paraId="1272B25F" w14:textId="47FCF559" w:rsidR="00B430F0" w:rsidRPr="00E02B5D" w:rsidRDefault="00B430F0" w:rsidP="0070159A">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1 155 362 463 eurot</w:t>
            </w:r>
          </w:p>
        </w:tc>
      </w:tr>
    </w:tbl>
    <w:p w14:paraId="6B718AA1" w14:textId="77777777" w:rsidR="000A73AC" w:rsidRPr="00E02B5D" w:rsidRDefault="000A73AC" w:rsidP="00645BC7">
      <w:pPr>
        <w:keepNext/>
        <w:spacing w:before="40" w:after="0" w:line="259" w:lineRule="auto"/>
        <w:jc w:val="both"/>
        <w:rPr>
          <w:rFonts w:ascii="Times New Roman" w:eastAsia="Times New Roman" w:hAnsi="Times New Roman" w:cs="Times New Roman"/>
          <w:bCs/>
          <w:noProof/>
          <w:sz w:val="24"/>
          <w:szCs w:val="26"/>
          <w:lang w:val="en-GB"/>
        </w:rPr>
      </w:pPr>
    </w:p>
    <w:p w14:paraId="7DE0447C"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Viies osamakse (tagastamatu toetus):</w:t>
      </w:r>
    </w:p>
    <w:tbl>
      <w:tblPr>
        <w:tblW w:w="9782" w:type="dxa"/>
        <w:tblInd w:w="113" w:type="dxa"/>
        <w:tblLayout w:type="fixed"/>
        <w:tblLook w:val="04A0" w:firstRow="1" w:lastRow="0" w:firstColumn="1" w:lastColumn="0" w:noHBand="0" w:noVBand="1"/>
      </w:tblPr>
      <w:tblGrid>
        <w:gridCol w:w="1804"/>
        <w:gridCol w:w="4283"/>
        <w:gridCol w:w="1692"/>
        <w:gridCol w:w="2003"/>
      </w:tblGrid>
      <w:tr w:rsidR="006E0EA2" w:rsidRPr="00E02B5D" w14:paraId="2FC51C32" w14:textId="77777777" w:rsidTr="005622B6">
        <w:trPr>
          <w:trHeight w:val="906"/>
          <w:tblHeader/>
        </w:trPr>
        <w:tc>
          <w:tcPr>
            <w:tcW w:w="18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B04EF2"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D1642B"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FC9FB0"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2003" w:type="dxa"/>
            <w:vMerge w:val="restart"/>
            <w:tcBorders>
              <w:top w:val="single" w:sz="4" w:space="0" w:color="auto"/>
              <w:left w:val="nil"/>
              <w:bottom w:val="single" w:sz="4" w:space="0" w:color="auto"/>
              <w:right w:val="single" w:sz="4" w:space="0" w:color="auto"/>
            </w:tcBorders>
            <w:shd w:val="clear" w:color="auto" w:fill="BDD7EE"/>
            <w:vAlign w:val="center"/>
            <w:hideMark/>
          </w:tcPr>
          <w:p w14:paraId="7686E326"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62CF41AE" w14:textId="77777777" w:rsidTr="005622B6">
        <w:trPr>
          <w:trHeight w:val="990"/>
        </w:trPr>
        <w:tc>
          <w:tcPr>
            <w:tcW w:w="1804" w:type="dxa"/>
            <w:vMerge/>
            <w:tcBorders>
              <w:top w:val="single" w:sz="4" w:space="0" w:color="auto"/>
              <w:left w:val="single" w:sz="4" w:space="0" w:color="auto"/>
              <w:bottom w:val="single" w:sz="4" w:space="0" w:color="auto"/>
              <w:right w:val="single" w:sz="4" w:space="0" w:color="auto"/>
            </w:tcBorders>
            <w:vAlign w:val="center"/>
            <w:hideMark/>
          </w:tcPr>
          <w:p w14:paraId="37D7850E"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14:paraId="62182A39"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14:paraId="5418B921"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382FA75"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6E0EA2" w:rsidRPr="00E02B5D" w14:paraId="448A8FD2" w14:textId="77777777" w:rsidTr="5A02F5D5">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4178E9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12</w:t>
            </w:r>
          </w:p>
        </w:tc>
        <w:tc>
          <w:tcPr>
            <w:tcW w:w="4283" w:type="dxa"/>
            <w:tcBorders>
              <w:top w:val="single" w:sz="4" w:space="0" w:color="auto"/>
              <w:left w:val="nil"/>
              <w:bottom w:val="single" w:sz="4" w:space="0" w:color="auto"/>
              <w:right w:val="single" w:sz="4" w:space="0" w:color="auto"/>
            </w:tcBorders>
            <w:shd w:val="clear" w:color="auto" w:fill="C6EFCE"/>
            <w:noWrap/>
            <w:vAlign w:val="center"/>
          </w:tcPr>
          <w:p w14:paraId="56C73E8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16901_HEDNO võrgu-uuendused, mille eesmärk on suurendada vastupidavust ja kaitsta keskkonda</w:t>
            </w:r>
          </w:p>
        </w:tc>
        <w:tc>
          <w:tcPr>
            <w:tcW w:w="1692" w:type="dxa"/>
            <w:tcBorders>
              <w:top w:val="single" w:sz="4" w:space="0" w:color="auto"/>
              <w:left w:val="nil"/>
              <w:bottom w:val="single" w:sz="4" w:space="0" w:color="auto"/>
              <w:right w:val="single" w:sz="4" w:space="0" w:color="auto"/>
            </w:tcBorders>
            <w:shd w:val="clear" w:color="auto" w:fill="C6EFCE"/>
            <w:noWrap/>
            <w:vAlign w:val="center"/>
          </w:tcPr>
          <w:p w14:paraId="34B5C56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2003" w:type="dxa"/>
            <w:tcBorders>
              <w:top w:val="single" w:sz="4" w:space="0" w:color="auto"/>
              <w:left w:val="nil"/>
              <w:bottom w:val="single" w:sz="4" w:space="0" w:color="auto"/>
              <w:right w:val="single" w:sz="4" w:space="0" w:color="auto"/>
            </w:tcBorders>
            <w:shd w:val="clear" w:color="auto" w:fill="C6EFCE"/>
            <w:noWrap/>
            <w:vAlign w:val="center"/>
          </w:tcPr>
          <w:p w14:paraId="3C63323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HEDNO – lepingud 1</w:t>
            </w:r>
          </w:p>
        </w:tc>
      </w:tr>
      <w:tr w:rsidR="006E0EA2" w:rsidRPr="00E02B5D" w14:paraId="50432E06"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hideMark/>
          </w:tcPr>
          <w:p w14:paraId="12BC4056"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13</w:t>
            </w:r>
          </w:p>
        </w:tc>
        <w:tc>
          <w:tcPr>
            <w:tcW w:w="4283" w:type="dxa"/>
            <w:tcBorders>
              <w:top w:val="nil"/>
              <w:left w:val="nil"/>
              <w:bottom w:val="single" w:sz="4" w:space="0" w:color="auto"/>
              <w:right w:val="single" w:sz="4" w:space="0" w:color="auto"/>
            </w:tcBorders>
            <w:shd w:val="clear" w:color="auto" w:fill="C6EFCE"/>
            <w:noWrap/>
            <w:vAlign w:val="center"/>
          </w:tcPr>
          <w:p w14:paraId="5AFCDCF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16900_HEDNO õhuliini uuendamine metsaaladel</w:t>
            </w:r>
          </w:p>
        </w:tc>
        <w:tc>
          <w:tcPr>
            <w:tcW w:w="1692" w:type="dxa"/>
            <w:tcBorders>
              <w:top w:val="nil"/>
              <w:left w:val="nil"/>
              <w:bottom w:val="single" w:sz="4" w:space="0" w:color="auto"/>
              <w:right w:val="single" w:sz="4" w:space="0" w:color="auto"/>
            </w:tcBorders>
            <w:shd w:val="clear" w:color="auto" w:fill="C6EFCE"/>
            <w:noWrap/>
            <w:vAlign w:val="center"/>
          </w:tcPr>
          <w:p w14:paraId="31B4B7C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7CFB504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HEDNO – lepingud 2</w:t>
            </w:r>
          </w:p>
        </w:tc>
      </w:tr>
      <w:tr w:rsidR="006E0EA2" w:rsidRPr="00E02B5D" w14:paraId="56F066BB"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hideMark/>
          </w:tcPr>
          <w:p w14:paraId="3C49769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14</w:t>
            </w:r>
          </w:p>
        </w:tc>
        <w:tc>
          <w:tcPr>
            <w:tcW w:w="4283" w:type="dxa"/>
            <w:tcBorders>
              <w:top w:val="nil"/>
              <w:left w:val="nil"/>
              <w:bottom w:val="single" w:sz="4" w:space="0" w:color="auto"/>
              <w:right w:val="single" w:sz="4" w:space="0" w:color="auto"/>
            </w:tcBorders>
            <w:shd w:val="clear" w:color="auto" w:fill="C6EFCE"/>
            <w:noWrap/>
            <w:vAlign w:val="center"/>
          </w:tcPr>
          <w:p w14:paraId="69586E7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16899_Ettevõtte Hellenic Electricity Distribution Network Operator (HEDNO) HV/MV alajaama võimsuse suurendamine uue taastuvenergia ühenduse jaoks</w:t>
            </w:r>
          </w:p>
        </w:tc>
        <w:tc>
          <w:tcPr>
            <w:tcW w:w="1692" w:type="dxa"/>
            <w:tcBorders>
              <w:top w:val="nil"/>
              <w:left w:val="nil"/>
              <w:bottom w:val="single" w:sz="4" w:space="0" w:color="auto"/>
              <w:right w:val="single" w:sz="4" w:space="0" w:color="auto"/>
            </w:tcBorders>
            <w:shd w:val="clear" w:color="auto" w:fill="C6EFCE"/>
            <w:noWrap/>
            <w:vAlign w:val="center"/>
          </w:tcPr>
          <w:p w14:paraId="009236E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0451F35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HEDNO – lepingud 3</w:t>
            </w:r>
          </w:p>
        </w:tc>
      </w:tr>
      <w:tr w:rsidR="006E0EA2" w:rsidRPr="003B132A" w14:paraId="5FF43FAA"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5FA2066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23</w:t>
            </w:r>
          </w:p>
        </w:tc>
        <w:tc>
          <w:tcPr>
            <w:tcW w:w="4283" w:type="dxa"/>
            <w:tcBorders>
              <w:top w:val="nil"/>
              <w:left w:val="nil"/>
              <w:bottom w:val="single" w:sz="4" w:space="0" w:color="auto"/>
              <w:right w:val="single" w:sz="4" w:space="0" w:color="auto"/>
            </w:tcBorders>
            <w:shd w:val="clear" w:color="auto" w:fill="C6EFCE"/>
            <w:noWrap/>
            <w:vAlign w:val="center"/>
          </w:tcPr>
          <w:p w14:paraId="65DBAE2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16872_Elamuhoonete renoveerimine</w:t>
            </w:r>
          </w:p>
        </w:tc>
        <w:tc>
          <w:tcPr>
            <w:tcW w:w="1692" w:type="dxa"/>
            <w:tcBorders>
              <w:top w:val="nil"/>
              <w:left w:val="nil"/>
              <w:bottom w:val="single" w:sz="4" w:space="0" w:color="auto"/>
              <w:right w:val="single" w:sz="4" w:space="0" w:color="auto"/>
            </w:tcBorders>
            <w:shd w:val="clear" w:color="auto" w:fill="C6EFCE"/>
            <w:noWrap/>
            <w:vAlign w:val="center"/>
          </w:tcPr>
          <w:p w14:paraId="37B4CBC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03" w:type="dxa"/>
            <w:tcBorders>
              <w:top w:val="nil"/>
              <w:left w:val="nil"/>
              <w:bottom w:val="single" w:sz="4" w:space="0" w:color="auto"/>
              <w:right w:val="single" w:sz="4" w:space="0" w:color="auto"/>
            </w:tcBorders>
            <w:shd w:val="clear" w:color="auto" w:fill="C6EFCE"/>
            <w:noWrap/>
            <w:vAlign w:val="center"/>
          </w:tcPr>
          <w:p w14:paraId="2DF9B72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Elamute renoveerimine – elamute renoveerimine #1</w:t>
            </w:r>
          </w:p>
        </w:tc>
      </w:tr>
      <w:tr w:rsidR="006E0EA2" w:rsidRPr="00E02B5D" w14:paraId="084A2B90"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83B373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28</w:t>
            </w:r>
          </w:p>
        </w:tc>
        <w:tc>
          <w:tcPr>
            <w:tcW w:w="4283" w:type="dxa"/>
            <w:tcBorders>
              <w:top w:val="nil"/>
              <w:left w:val="nil"/>
              <w:bottom w:val="single" w:sz="4" w:space="0" w:color="auto"/>
              <w:right w:val="single" w:sz="4" w:space="0" w:color="auto"/>
            </w:tcBorders>
            <w:shd w:val="clear" w:color="auto" w:fill="C6EFCE"/>
            <w:noWrap/>
            <w:vAlign w:val="center"/>
          </w:tcPr>
          <w:p w14:paraId="52C15C3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16879_Linnaarengu kavade ettevalmistamine linnapoliitika reformi elluviimiseks</w:t>
            </w:r>
          </w:p>
        </w:tc>
        <w:tc>
          <w:tcPr>
            <w:tcW w:w="1692" w:type="dxa"/>
            <w:tcBorders>
              <w:top w:val="nil"/>
              <w:left w:val="nil"/>
              <w:bottom w:val="single" w:sz="4" w:space="0" w:color="auto"/>
              <w:right w:val="single" w:sz="4" w:space="0" w:color="auto"/>
            </w:tcBorders>
            <w:shd w:val="clear" w:color="auto" w:fill="C6EFCE"/>
            <w:noWrap/>
            <w:vAlign w:val="center"/>
          </w:tcPr>
          <w:p w14:paraId="5EFBAF2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787A563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Linnaplaneerimise auhind</w:t>
            </w:r>
          </w:p>
        </w:tc>
      </w:tr>
      <w:tr w:rsidR="006E0EA2" w:rsidRPr="003B132A" w14:paraId="4D45108E"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075F3FA" w14:textId="77777777" w:rsidR="000917AB" w:rsidRPr="00E02B5D" w:rsidRDefault="000917AB" w:rsidP="000917AB">
            <w:pPr>
              <w:keepNext/>
              <w:spacing w:before="40" w:after="0" w:line="240" w:lineRule="auto"/>
              <w:jc w:val="both"/>
              <w:rPr>
                <w:rFonts w:ascii="Times New Roman" w:hAnsi="Times New Roman"/>
                <w:noProof/>
                <w:sz w:val="18"/>
              </w:rPr>
            </w:pPr>
            <w:r>
              <w:rPr>
                <w:rFonts w:ascii="Times New Roman" w:hAnsi="Times New Roman"/>
                <w:noProof/>
                <w:sz w:val="18"/>
              </w:rPr>
              <w:t>33</w:t>
            </w:r>
          </w:p>
        </w:tc>
        <w:tc>
          <w:tcPr>
            <w:tcW w:w="4283" w:type="dxa"/>
            <w:tcBorders>
              <w:top w:val="nil"/>
              <w:left w:val="nil"/>
              <w:bottom w:val="single" w:sz="4" w:space="0" w:color="auto"/>
              <w:right w:val="single" w:sz="4" w:space="0" w:color="auto"/>
            </w:tcBorders>
            <w:shd w:val="clear" w:color="auto" w:fill="C6EFCE"/>
            <w:noWrap/>
            <w:vAlign w:val="center"/>
          </w:tcPr>
          <w:p w14:paraId="681D8E4B" w14:textId="77777777" w:rsidR="000917AB" w:rsidRPr="00E02B5D" w:rsidRDefault="000917AB" w:rsidP="000917AB">
            <w:pPr>
              <w:keepNext/>
              <w:spacing w:before="40" w:after="0" w:line="240" w:lineRule="auto"/>
              <w:jc w:val="both"/>
              <w:rPr>
                <w:rFonts w:ascii="Times New Roman" w:hAnsi="Times New Roman"/>
                <w:noProof/>
                <w:sz w:val="18"/>
              </w:rPr>
            </w:pPr>
            <w:r>
              <w:rPr>
                <w:rFonts w:ascii="Times New Roman" w:hAnsi="Times New Roman"/>
                <w:noProof/>
                <w:sz w:val="18"/>
              </w:rPr>
              <w:t>2-1.2. Renoveerimine – 16874_Energeetika ja ettevõtlus</w:t>
            </w:r>
          </w:p>
        </w:tc>
        <w:tc>
          <w:tcPr>
            <w:tcW w:w="1692" w:type="dxa"/>
            <w:tcBorders>
              <w:top w:val="nil"/>
              <w:left w:val="nil"/>
              <w:bottom w:val="single" w:sz="4" w:space="0" w:color="auto"/>
              <w:right w:val="single" w:sz="4" w:space="0" w:color="auto"/>
            </w:tcBorders>
            <w:shd w:val="clear" w:color="auto" w:fill="C6EFCE"/>
            <w:noWrap/>
            <w:vAlign w:val="center"/>
          </w:tcPr>
          <w:p w14:paraId="50E8B03B" w14:textId="77777777" w:rsidR="000917AB" w:rsidRPr="00E02B5D" w:rsidRDefault="000917AB" w:rsidP="000917AB">
            <w:pPr>
              <w:keepNext/>
              <w:spacing w:before="40" w:after="0" w:line="240" w:lineRule="auto"/>
              <w:jc w:val="both"/>
              <w:rPr>
                <w:rFonts w:ascii="Times New Roman" w:hAnsi="Times New Roman"/>
                <w:noProof/>
                <w:sz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09BDB13C" w14:textId="77777777" w:rsidR="000917AB" w:rsidRPr="00E02B5D" w:rsidRDefault="000917AB" w:rsidP="000917AB">
            <w:pPr>
              <w:keepNext/>
              <w:spacing w:before="40" w:after="0" w:line="240" w:lineRule="auto"/>
              <w:jc w:val="both"/>
              <w:rPr>
                <w:rFonts w:ascii="Times New Roman" w:hAnsi="Times New Roman"/>
                <w:noProof/>
                <w:sz w:val="18"/>
              </w:rPr>
            </w:pPr>
            <w:r>
              <w:rPr>
                <w:rFonts w:ascii="Times New Roman" w:hAnsi="Times New Roman"/>
                <w:noProof/>
                <w:sz w:val="18"/>
              </w:rPr>
              <w:t>Energiatõhususe erasektor – heakskiidetud taotlused</w:t>
            </w:r>
          </w:p>
        </w:tc>
      </w:tr>
      <w:tr w:rsidR="006E0EA2" w:rsidRPr="00E02B5D" w14:paraId="1A48F2E0"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D98F58B" w14:textId="77777777" w:rsidR="00FD1306" w:rsidRPr="00E02B5D" w:rsidRDefault="00FD1306" w:rsidP="00FD1306">
            <w:pPr>
              <w:keepNext/>
              <w:spacing w:before="40" w:after="0" w:line="240" w:lineRule="auto"/>
              <w:jc w:val="both"/>
              <w:rPr>
                <w:rFonts w:ascii="Times New Roman" w:hAnsi="Times New Roman"/>
                <w:noProof/>
                <w:sz w:val="18"/>
              </w:rPr>
            </w:pPr>
            <w:r>
              <w:rPr>
                <w:rFonts w:ascii="Times New Roman" w:hAnsi="Times New Roman"/>
                <w:noProof/>
                <w:sz w:val="18"/>
              </w:rPr>
              <w:t>38</w:t>
            </w:r>
          </w:p>
        </w:tc>
        <w:tc>
          <w:tcPr>
            <w:tcW w:w="4283" w:type="dxa"/>
            <w:tcBorders>
              <w:top w:val="nil"/>
              <w:left w:val="nil"/>
              <w:bottom w:val="single" w:sz="4" w:space="0" w:color="auto"/>
              <w:right w:val="single" w:sz="4" w:space="0" w:color="auto"/>
            </w:tcBorders>
            <w:shd w:val="clear" w:color="auto" w:fill="C6EFCE"/>
            <w:noWrap/>
            <w:vAlign w:val="center"/>
          </w:tcPr>
          <w:p w14:paraId="2010CD29" w14:textId="77777777" w:rsidR="00FD1306" w:rsidRPr="00E02B5D" w:rsidRDefault="00FD1306" w:rsidP="00FD1306">
            <w:pPr>
              <w:keepNext/>
              <w:spacing w:before="40" w:after="0" w:line="240" w:lineRule="auto"/>
              <w:jc w:val="both"/>
              <w:rPr>
                <w:rFonts w:ascii="Times New Roman" w:hAnsi="Times New Roman"/>
                <w:noProof/>
                <w:sz w:val="18"/>
              </w:rPr>
            </w:pPr>
            <w:r>
              <w:rPr>
                <w:rFonts w:ascii="Times New Roman" w:hAnsi="Times New Roman"/>
                <w:noProof/>
                <w:sz w:val="18"/>
              </w:rPr>
              <w:t>2-1.2. Renoveerimine – 16873_Sekkumised elamupiirkondades ja hoonefondis</w:t>
            </w:r>
          </w:p>
        </w:tc>
        <w:tc>
          <w:tcPr>
            <w:tcW w:w="1692" w:type="dxa"/>
            <w:tcBorders>
              <w:top w:val="nil"/>
              <w:left w:val="nil"/>
              <w:bottom w:val="single" w:sz="4" w:space="0" w:color="auto"/>
              <w:right w:val="single" w:sz="4" w:space="0" w:color="auto"/>
            </w:tcBorders>
            <w:shd w:val="clear" w:color="auto" w:fill="C6EFCE"/>
            <w:noWrap/>
            <w:vAlign w:val="center"/>
          </w:tcPr>
          <w:p w14:paraId="3F9B5485" w14:textId="77777777" w:rsidR="00FD1306" w:rsidRPr="00E02B5D" w:rsidRDefault="00FD1306" w:rsidP="00FD1306">
            <w:pPr>
              <w:keepNext/>
              <w:spacing w:before="40" w:after="0" w:line="240" w:lineRule="auto"/>
              <w:jc w:val="both"/>
              <w:rPr>
                <w:rFonts w:ascii="Times New Roman" w:hAnsi="Times New Roman"/>
                <w:noProof/>
                <w:sz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450635C0" w14:textId="77777777" w:rsidR="00FD1306" w:rsidRPr="00E02B5D" w:rsidRDefault="00FD1306" w:rsidP="00FD1306">
            <w:pPr>
              <w:keepNext/>
              <w:spacing w:before="40" w:after="0" w:line="240" w:lineRule="auto"/>
              <w:jc w:val="both"/>
              <w:rPr>
                <w:rFonts w:ascii="Times New Roman" w:hAnsi="Times New Roman"/>
                <w:noProof/>
                <w:sz w:val="18"/>
              </w:rPr>
            </w:pPr>
            <w:r>
              <w:rPr>
                <w:rFonts w:ascii="Times New Roman" w:hAnsi="Times New Roman"/>
                <w:noProof/>
                <w:sz w:val="18"/>
              </w:rPr>
              <w:t>Linnadega seotud sekkumismeetmed – lepingute sõlmimine</w:t>
            </w:r>
          </w:p>
        </w:tc>
      </w:tr>
      <w:tr w:rsidR="006E0EA2" w:rsidRPr="00E02B5D" w14:paraId="2522F3DD"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B9A32F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50</w:t>
            </w:r>
          </w:p>
        </w:tc>
        <w:tc>
          <w:tcPr>
            <w:tcW w:w="4283" w:type="dxa"/>
            <w:tcBorders>
              <w:top w:val="nil"/>
              <w:left w:val="nil"/>
              <w:bottom w:val="single" w:sz="4" w:space="0" w:color="auto"/>
              <w:right w:val="single" w:sz="4" w:space="0" w:color="auto"/>
            </w:tcBorders>
            <w:shd w:val="clear" w:color="auto" w:fill="C6EFCE"/>
            <w:noWrap/>
            <w:vAlign w:val="center"/>
          </w:tcPr>
          <w:p w14:paraId="65A24BC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3-1.3. Laadimine ja tankimine – 16831_Produc-E Green</w:t>
            </w:r>
          </w:p>
        </w:tc>
        <w:tc>
          <w:tcPr>
            <w:tcW w:w="1692" w:type="dxa"/>
            <w:tcBorders>
              <w:top w:val="nil"/>
              <w:left w:val="nil"/>
              <w:bottom w:val="single" w:sz="4" w:space="0" w:color="auto"/>
              <w:right w:val="single" w:sz="4" w:space="0" w:color="auto"/>
            </w:tcBorders>
            <w:shd w:val="clear" w:color="auto" w:fill="C6EFCE"/>
            <w:noWrap/>
            <w:vAlign w:val="center"/>
          </w:tcPr>
          <w:p w14:paraId="1E41081A"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3FE090E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Tööstusüksused – valitud äriühingud</w:t>
            </w:r>
          </w:p>
        </w:tc>
      </w:tr>
      <w:tr w:rsidR="006E0EA2" w:rsidRPr="003B132A" w14:paraId="445F4031"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48F21CE2"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59</w:t>
            </w:r>
          </w:p>
        </w:tc>
        <w:tc>
          <w:tcPr>
            <w:tcW w:w="4283" w:type="dxa"/>
            <w:tcBorders>
              <w:top w:val="nil"/>
              <w:left w:val="nil"/>
              <w:bottom w:val="single" w:sz="4" w:space="0" w:color="auto"/>
              <w:right w:val="single" w:sz="4" w:space="0" w:color="auto"/>
            </w:tcBorders>
            <w:shd w:val="clear" w:color="auto" w:fill="C6EFCE"/>
            <w:noWrap/>
            <w:vAlign w:val="center"/>
          </w:tcPr>
          <w:p w14:paraId="0B4ADB67"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4-1.4. Ressursside säästev kasutamine, kliimamuutustele vastupanu võime ja keskkonnakaitse – 16772_Jäätmekäitlusseadus säästva prügilasse ladestamise ja ringlussevõtu rakendamiseks</w:t>
            </w:r>
          </w:p>
        </w:tc>
        <w:tc>
          <w:tcPr>
            <w:tcW w:w="1692" w:type="dxa"/>
            <w:tcBorders>
              <w:top w:val="nil"/>
              <w:left w:val="nil"/>
              <w:bottom w:val="single" w:sz="4" w:space="0" w:color="auto"/>
              <w:right w:val="single" w:sz="4" w:space="0" w:color="auto"/>
            </w:tcBorders>
            <w:shd w:val="clear" w:color="auto" w:fill="C6EFCE"/>
            <w:noWrap/>
            <w:vAlign w:val="center"/>
          </w:tcPr>
          <w:p w14:paraId="51CFB4F7"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285E4A9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Jäätmekäitlust reguleeriva asutuse loomine ja toimimine</w:t>
            </w:r>
          </w:p>
        </w:tc>
      </w:tr>
      <w:tr w:rsidR="006E0EA2" w:rsidRPr="003B132A" w14:paraId="4CE2220A"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152E756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60</w:t>
            </w:r>
          </w:p>
        </w:tc>
        <w:tc>
          <w:tcPr>
            <w:tcW w:w="4283" w:type="dxa"/>
            <w:tcBorders>
              <w:top w:val="nil"/>
              <w:left w:val="nil"/>
              <w:bottom w:val="single" w:sz="4" w:space="0" w:color="auto"/>
              <w:right w:val="single" w:sz="4" w:space="0" w:color="auto"/>
            </w:tcBorders>
            <w:shd w:val="clear" w:color="auto" w:fill="C6EFCE"/>
            <w:noWrap/>
            <w:vAlign w:val="center"/>
          </w:tcPr>
          <w:p w14:paraId="325A2BC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16979_Uue vee- ja reoveevaldkonda reguleeriva asutuse loomine</w:t>
            </w:r>
          </w:p>
        </w:tc>
        <w:tc>
          <w:tcPr>
            <w:tcW w:w="1692" w:type="dxa"/>
            <w:tcBorders>
              <w:top w:val="nil"/>
              <w:left w:val="nil"/>
              <w:bottom w:val="single" w:sz="4" w:space="0" w:color="auto"/>
              <w:right w:val="single" w:sz="4" w:space="0" w:color="auto"/>
            </w:tcBorders>
            <w:shd w:val="clear" w:color="auto" w:fill="C6EFCE"/>
            <w:noWrap/>
            <w:vAlign w:val="center"/>
          </w:tcPr>
          <w:p w14:paraId="484E892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07F13DF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Veemajanduse reguleeriva asutuse loomine ja toimimine</w:t>
            </w:r>
          </w:p>
        </w:tc>
      </w:tr>
      <w:tr w:rsidR="006E0EA2" w:rsidRPr="003B132A" w14:paraId="3B3F2186"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1A40AB28"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62</w:t>
            </w:r>
          </w:p>
        </w:tc>
        <w:tc>
          <w:tcPr>
            <w:tcW w:w="4283" w:type="dxa"/>
            <w:tcBorders>
              <w:top w:val="nil"/>
              <w:left w:val="nil"/>
              <w:bottom w:val="single" w:sz="4" w:space="0" w:color="auto"/>
              <w:right w:val="single" w:sz="4" w:space="0" w:color="auto"/>
            </w:tcBorders>
            <w:shd w:val="clear" w:color="auto" w:fill="C6EFCE"/>
            <w:noWrap/>
            <w:vAlign w:val="center"/>
          </w:tcPr>
          <w:p w14:paraId="3DF2E8FC"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4-1.4. Ressursside säästev kasutamine, vastupanuvõime kliimamuutustele ja keskkonnakaitse – 16849_Riiklik taasmetsastamiskava, taastamine ja ennetamine (antiNERO), erosiooni- ja üleujutuste vastased meetmed</w:t>
            </w:r>
          </w:p>
        </w:tc>
        <w:tc>
          <w:tcPr>
            <w:tcW w:w="1692" w:type="dxa"/>
            <w:tcBorders>
              <w:top w:val="nil"/>
              <w:left w:val="nil"/>
              <w:bottom w:val="single" w:sz="4" w:space="0" w:color="auto"/>
              <w:right w:val="single" w:sz="4" w:space="0" w:color="auto"/>
            </w:tcBorders>
            <w:shd w:val="clear" w:color="auto" w:fill="C6EFCE"/>
            <w:noWrap/>
            <w:vAlign w:val="center"/>
          </w:tcPr>
          <w:p w14:paraId="2AE0E204"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104B7E76"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Taasmetsastamine, taastamine ja ennetamine – lepingud 2</w:t>
            </w:r>
          </w:p>
        </w:tc>
      </w:tr>
      <w:tr w:rsidR="006E0EA2" w:rsidRPr="003B132A" w14:paraId="7C77F9C4"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FF5F56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68</w:t>
            </w:r>
          </w:p>
        </w:tc>
        <w:tc>
          <w:tcPr>
            <w:tcW w:w="4283" w:type="dxa"/>
            <w:tcBorders>
              <w:top w:val="nil"/>
              <w:left w:val="nil"/>
              <w:bottom w:val="single" w:sz="4" w:space="0" w:color="auto"/>
              <w:right w:val="single" w:sz="4" w:space="0" w:color="auto"/>
            </w:tcBorders>
            <w:shd w:val="clear" w:color="auto" w:fill="C6EFCE"/>
            <w:noWrap/>
            <w:vAlign w:val="center"/>
          </w:tcPr>
          <w:p w14:paraId="19D48DE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16846_Asulareovesi ja reoveesetete käitlemise taristud</w:t>
            </w:r>
          </w:p>
        </w:tc>
        <w:tc>
          <w:tcPr>
            <w:tcW w:w="1692" w:type="dxa"/>
            <w:tcBorders>
              <w:top w:val="nil"/>
              <w:left w:val="nil"/>
              <w:bottom w:val="single" w:sz="4" w:space="0" w:color="auto"/>
              <w:right w:val="single" w:sz="4" w:space="0" w:color="auto"/>
            </w:tcBorders>
            <w:shd w:val="clear" w:color="auto" w:fill="C6EFCE"/>
            <w:noWrap/>
            <w:vAlign w:val="center"/>
          </w:tcPr>
          <w:p w14:paraId="0A55430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03F8D7B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Teade reoveeprojektide lepingu sõlmimise kohta</w:t>
            </w:r>
          </w:p>
        </w:tc>
      </w:tr>
      <w:tr w:rsidR="006E0EA2" w:rsidRPr="003B132A" w14:paraId="1FF51538"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1B5CB3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79</w:t>
            </w:r>
          </w:p>
        </w:tc>
        <w:tc>
          <w:tcPr>
            <w:tcW w:w="4283" w:type="dxa"/>
            <w:tcBorders>
              <w:top w:val="nil"/>
              <w:left w:val="nil"/>
              <w:bottom w:val="single" w:sz="4" w:space="0" w:color="auto"/>
              <w:right w:val="single" w:sz="4" w:space="0" w:color="auto"/>
            </w:tcBorders>
            <w:shd w:val="clear" w:color="auto" w:fill="C6EFCE"/>
            <w:noWrap/>
            <w:vAlign w:val="center"/>
          </w:tcPr>
          <w:p w14:paraId="5640DB5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16911_Lennuvahendid kriisiohje jaoks</w:t>
            </w:r>
          </w:p>
        </w:tc>
        <w:tc>
          <w:tcPr>
            <w:tcW w:w="1692" w:type="dxa"/>
            <w:tcBorders>
              <w:top w:val="nil"/>
              <w:left w:val="nil"/>
              <w:bottom w:val="single" w:sz="4" w:space="0" w:color="auto"/>
              <w:right w:val="single" w:sz="4" w:space="0" w:color="auto"/>
            </w:tcBorders>
            <w:shd w:val="clear" w:color="auto" w:fill="C6EFCE"/>
            <w:noWrap/>
            <w:vAlign w:val="center"/>
          </w:tcPr>
          <w:p w14:paraId="112C39F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68B918B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Kahe keskmise suurusega tuletõrjehelikopteri ostmine</w:t>
            </w:r>
          </w:p>
        </w:tc>
      </w:tr>
      <w:tr w:rsidR="006E0EA2" w:rsidRPr="003B132A" w14:paraId="75E18CFB"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183BD3CC" w14:textId="77777777" w:rsidR="00E1420C" w:rsidRPr="00E02B5D" w:rsidRDefault="00E1420C" w:rsidP="00E1420C">
            <w:pPr>
              <w:keepNext/>
              <w:spacing w:before="40" w:after="0" w:line="240" w:lineRule="auto"/>
              <w:jc w:val="both"/>
              <w:rPr>
                <w:rFonts w:ascii="Times New Roman" w:hAnsi="Times New Roman"/>
                <w:noProof/>
                <w:sz w:val="18"/>
              </w:rPr>
            </w:pPr>
            <w:r>
              <w:rPr>
                <w:rFonts w:ascii="Times New Roman" w:hAnsi="Times New Roman"/>
                <w:noProof/>
                <w:sz w:val="18"/>
              </w:rPr>
              <w:t>334</w:t>
            </w:r>
          </w:p>
        </w:tc>
        <w:tc>
          <w:tcPr>
            <w:tcW w:w="4283" w:type="dxa"/>
            <w:tcBorders>
              <w:top w:val="nil"/>
              <w:left w:val="nil"/>
              <w:bottom w:val="single" w:sz="4" w:space="0" w:color="auto"/>
              <w:right w:val="single" w:sz="4" w:space="0" w:color="auto"/>
            </w:tcBorders>
            <w:shd w:val="clear" w:color="auto" w:fill="C6EFCE"/>
            <w:noWrap/>
          </w:tcPr>
          <w:p w14:paraId="4A38F367" w14:textId="77777777" w:rsidR="00E1420C" w:rsidRPr="00E02B5D" w:rsidRDefault="00E1420C" w:rsidP="00E1420C">
            <w:pPr>
              <w:keepNext/>
              <w:spacing w:before="40" w:after="0" w:line="240" w:lineRule="auto"/>
              <w:jc w:val="both"/>
              <w:rPr>
                <w:rFonts w:ascii="Times New Roman" w:hAnsi="Times New Roman"/>
                <w:noProof/>
                <w:sz w:val="18"/>
              </w:rPr>
            </w:pPr>
            <w:r>
              <w:rPr>
                <w:rFonts w:ascii="Times New Roman" w:hAnsi="Times New Roman"/>
                <w:noProof/>
                <w:sz w:val="18"/>
              </w:rPr>
              <w:t>16857_Gigabiti lairibaühenduse vahetamine – üleminek gigabiti lairibaühendusele ja gigabiti lairibaühenduse nõudluse suurendamine</w:t>
            </w:r>
          </w:p>
        </w:tc>
        <w:tc>
          <w:tcPr>
            <w:tcW w:w="1692" w:type="dxa"/>
            <w:tcBorders>
              <w:top w:val="nil"/>
              <w:left w:val="nil"/>
              <w:bottom w:val="single" w:sz="4" w:space="0" w:color="auto"/>
              <w:right w:val="single" w:sz="4" w:space="0" w:color="auto"/>
            </w:tcBorders>
            <w:shd w:val="clear" w:color="auto" w:fill="C6EFCE"/>
            <w:noWrap/>
          </w:tcPr>
          <w:p w14:paraId="05DE9C66" w14:textId="77777777" w:rsidR="00E1420C" w:rsidRPr="00E02B5D" w:rsidRDefault="00E1420C" w:rsidP="00E1420C">
            <w:pPr>
              <w:keepNext/>
              <w:spacing w:before="40" w:after="0" w:line="240" w:lineRule="auto"/>
              <w:jc w:val="both"/>
              <w:rPr>
                <w:rFonts w:ascii="Times New Roman" w:hAnsi="Times New Roman"/>
                <w:noProof/>
                <w:sz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tcPr>
          <w:p w14:paraId="4822B0B3" w14:textId="77777777" w:rsidR="00E1420C" w:rsidRPr="00E02B5D" w:rsidRDefault="00E1420C" w:rsidP="00E1420C">
            <w:pPr>
              <w:keepNext/>
              <w:spacing w:before="40" w:after="0" w:line="240" w:lineRule="auto"/>
              <w:jc w:val="both"/>
              <w:rPr>
                <w:rFonts w:ascii="Times New Roman" w:hAnsi="Times New Roman"/>
                <w:noProof/>
                <w:sz w:val="18"/>
              </w:rPr>
            </w:pPr>
            <w:r>
              <w:rPr>
                <w:rFonts w:ascii="Times New Roman" w:hAnsi="Times New Roman"/>
                <w:noProof/>
                <w:sz w:val="18"/>
              </w:rPr>
              <w:t>Switchi ja gigabiti lairibaühenduse reformi jõustumine</w:t>
            </w:r>
          </w:p>
        </w:tc>
      </w:tr>
      <w:tr w:rsidR="006E0EA2" w:rsidRPr="003B132A" w14:paraId="3D3A85C6"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8EA5DB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97</w:t>
            </w:r>
          </w:p>
        </w:tc>
        <w:tc>
          <w:tcPr>
            <w:tcW w:w="4283" w:type="dxa"/>
            <w:tcBorders>
              <w:top w:val="nil"/>
              <w:left w:val="nil"/>
              <w:bottom w:val="single" w:sz="4" w:space="0" w:color="auto"/>
              <w:right w:val="single" w:sz="4" w:space="0" w:color="auto"/>
            </w:tcBorders>
            <w:shd w:val="clear" w:color="auto" w:fill="C6EFCE"/>
            <w:noWrap/>
            <w:vAlign w:val="center"/>
          </w:tcPr>
          <w:p w14:paraId="021AEC8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16929_Avaliku halduse kliendikesksete teenuste suunas protsesside lihtsustamise ja parandamise, süsteemide täiustamise ning Euroopa strateegiate ja poliitika järgimise kaudu</w:t>
            </w:r>
          </w:p>
        </w:tc>
        <w:tc>
          <w:tcPr>
            <w:tcW w:w="1692" w:type="dxa"/>
            <w:tcBorders>
              <w:top w:val="nil"/>
              <w:left w:val="nil"/>
              <w:bottom w:val="single" w:sz="4" w:space="0" w:color="auto"/>
              <w:right w:val="single" w:sz="4" w:space="0" w:color="auto"/>
            </w:tcBorders>
            <w:shd w:val="clear" w:color="auto" w:fill="C6EFCE"/>
            <w:noWrap/>
            <w:vAlign w:val="center"/>
          </w:tcPr>
          <w:p w14:paraId="5DF010B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5DBD2B7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Protsesside lihtsustamise riikliku kava rakendamine (teine etapp)</w:t>
            </w:r>
          </w:p>
        </w:tc>
      </w:tr>
      <w:tr w:rsidR="006E0EA2" w:rsidRPr="003B132A" w14:paraId="40B9AE76"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092AC03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147</w:t>
            </w:r>
          </w:p>
        </w:tc>
        <w:tc>
          <w:tcPr>
            <w:tcW w:w="4283" w:type="dxa"/>
            <w:tcBorders>
              <w:top w:val="nil"/>
              <w:left w:val="nil"/>
              <w:bottom w:val="single" w:sz="4" w:space="0" w:color="auto"/>
              <w:right w:val="single" w:sz="4" w:space="0" w:color="auto"/>
            </w:tcBorders>
            <w:shd w:val="clear" w:color="auto" w:fill="C6EFCE"/>
            <w:noWrap/>
            <w:vAlign w:val="center"/>
          </w:tcPr>
          <w:p w14:paraId="481CDC2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9-3.2. Haridus, kutseharidus ja -koolitus ning oskused – 16289_Ülikoolide tipptaseme strateegia; innovatsioon</w:t>
            </w:r>
          </w:p>
        </w:tc>
        <w:tc>
          <w:tcPr>
            <w:tcW w:w="1692" w:type="dxa"/>
            <w:tcBorders>
              <w:top w:val="nil"/>
              <w:left w:val="nil"/>
              <w:bottom w:val="single" w:sz="4" w:space="0" w:color="auto"/>
              <w:right w:val="single" w:sz="4" w:space="0" w:color="auto"/>
            </w:tcBorders>
            <w:shd w:val="clear" w:color="auto" w:fill="C6EFCE"/>
            <w:noWrap/>
            <w:vAlign w:val="center"/>
          </w:tcPr>
          <w:p w14:paraId="16371D76"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5B72086A" w14:textId="54AF5724"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Tippülikoolide ja teadusuuringute klastrite heakskiitmise otsused</w:t>
            </w:r>
          </w:p>
        </w:tc>
      </w:tr>
      <w:tr w:rsidR="006E0EA2" w:rsidRPr="003B132A" w14:paraId="1955BFC6"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E66CA8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162</w:t>
            </w:r>
          </w:p>
        </w:tc>
        <w:tc>
          <w:tcPr>
            <w:tcW w:w="4283" w:type="dxa"/>
            <w:tcBorders>
              <w:top w:val="nil"/>
              <w:left w:val="nil"/>
              <w:bottom w:val="single" w:sz="4" w:space="0" w:color="auto"/>
              <w:right w:val="single" w:sz="4" w:space="0" w:color="auto"/>
            </w:tcBorders>
            <w:shd w:val="clear" w:color="auto" w:fill="C6EFCE"/>
            <w:noWrap/>
            <w:vAlign w:val="center"/>
          </w:tcPr>
          <w:p w14:paraId="387522F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Tervishoiusüsteemi vastupanuvõime, juurdepääsetavuse ja jätkusuutlikkuse parandamine – 16820_Reform vaimse tervise ja sõltuvuse valdkonnas</w:t>
            </w:r>
          </w:p>
        </w:tc>
        <w:tc>
          <w:tcPr>
            <w:tcW w:w="1692" w:type="dxa"/>
            <w:tcBorders>
              <w:top w:val="nil"/>
              <w:left w:val="nil"/>
              <w:bottom w:val="single" w:sz="4" w:space="0" w:color="auto"/>
              <w:right w:val="single" w:sz="4" w:space="0" w:color="auto"/>
            </w:tcBorders>
            <w:shd w:val="clear" w:color="auto" w:fill="C6EFCE"/>
            <w:noWrap/>
            <w:vAlign w:val="center"/>
          </w:tcPr>
          <w:p w14:paraId="00CC44B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03" w:type="dxa"/>
            <w:tcBorders>
              <w:top w:val="nil"/>
              <w:left w:val="nil"/>
              <w:bottom w:val="single" w:sz="4" w:space="0" w:color="auto"/>
              <w:right w:val="single" w:sz="4" w:space="0" w:color="auto"/>
            </w:tcBorders>
            <w:shd w:val="clear" w:color="auto" w:fill="C6EFCE"/>
            <w:noWrap/>
            <w:vAlign w:val="center"/>
          </w:tcPr>
          <w:p w14:paraId="3774DD2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Vaimne tervis – avatud 106 ühikut – etapi 2 teine etapp</w:t>
            </w:r>
          </w:p>
        </w:tc>
      </w:tr>
      <w:tr w:rsidR="006E0EA2" w:rsidRPr="003B132A" w14:paraId="75D7B592"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09AAC542"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192</w:t>
            </w:r>
          </w:p>
        </w:tc>
        <w:tc>
          <w:tcPr>
            <w:tcW w:w="4283" w:type="dxa"/>
            <w:tcBorders>
              <w:top w:val="nil"/>
              <w:left w:val="nil"/>
              <w:bottom w:val="single" w:sz="4" w:space="0" w:color="auto"/>
              <w:right w:val="single" w:sz="4" w:space="0" w:color="auto"/>
            </w:tcBorders>
            <w:shd w:val="clear" w:color="auto" w:fill="C6EFCE"/>
            <w:noWrap/>
            <w:vAlign w:val="center"/>
          </w:tcPr>
          <w:p w14:paraId="775E1C89"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12-4.1. Maksude muutmine majanduskasvu soodustavamaks ning maksuhalduse ja maksude kogumise parandamine – 16611_Maksuauditite digitaalne üleminek</w:t>
            </w:r>
          </w:p>
        </w:tc>
        <w:tc>
          <w:tcPr>
            <w:tcW w:w="1692" w:type="dxa"/>
            <w:tcBorders>
              <w:top w:val="nil"/>
              <w:left w:val="nil"/>
              <w:bottom w:val="single" w:sz="4" w:space="0" w:color="auto"/>
              <w:right w:val="single" w:sz="4" w:space="0" w:color="auto"/>
            </w:tcBorders>
            <w:shd w:val="clear" w:color="auto" w:fill="C6EFCE"/>
            <w:noWrap/>
            <w:vAlign w:val="center"/>
          </w:tcPr>
          <w:p w14:paraId="7079B05F"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07702F6A"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Maksuauditid – MyData ja pangaandmed</w:t>
            </w:r>
          </w:p>
        </w:tc>
      </w:tr>
      <w:tr w:rsidR="006E0EA2" w:rsidRPr="003B132A" w14:paraId="256248C1"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F5D877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193</w:t>
            </w:r>
          </w:p>
        </w:tc>
        <w:tc>
          <w:tcPr>
            <w:tcW w:w="4283" w:type="dxa"/>
            <w:tcBorders>
              <w:top w:val="nil"/>
              <w:left w:val="nil"/>
              <w:bottom w:val="single" w:sz="4" w:space="0" w:color="auto"/>
              <w:right w:val="single" w:sz="4" w:space="0" w:color="auto"/>
            </w:tcBorders>
            <w:shd w:val="clear" w:color="auto" w:fill="C6EFCE"/>
            <w:noWrap/>
            <w:vAlign w:val="center"/>
          </w:tcPr>
          <w:p w14:paraId="7223C48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16610_Käibemaksu tagastamise kiirendamine</w:t>
            </w:r>
          </w:p>
        </w:tc>
        <w:tc>
          <w:tcPr>
            <w:tcW w:w="1692" w:type="dxa"/>
            <w:tcBorders>
              <w:top w:val="nil"/>
              <w:left w:val="nil"/>
              <w:bottom w:val="single" w:sz="4" w:space="0" w:color="auto"/>
              <w:right w:val="single" w:sz="4" w:space="0" w:color="auto"/>
            </w:tcBorders>
            <w:shd w:val="clear" w:color="auto" w:fill="C6EFCE"/>
            <w:noWrap/>
            <w:vAlign w:val="center"/>
          </w:tcPr>
          <w:p w14:paraId="6136CA6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0DFFB22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Täielikult automatiseeritud käibemaksutagastused – IT-süsteemi käivitamine</w:t>
            </w:r>
          </w:p>
        </w:tc>
      </w:tr>
      <w:tr w:rsidR="006E0EA2" w:rsidRPr="003B132A" w14:paraId="11AF6FE7"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468DCBA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207</w:t>
            </w:r>
          </w:p>
        </w:tc>
        <w:tc>
          <w:tcPr>
            <w:tcW w:w="4283" w:type="dxa"/>
            <w:tcBorders>
              <w:top w:val="nil"/>
              <w:left w:val="nil"/>
              <w:bottom w:val="single" w:sz="4" w:space="0" w:color="auto"/>
              <w:right w:val="single" w:sz="4" w:space="0" w:color="auto"/>
            </w:tcBorders>
            <w:shd w:val="clear" w:color="auto" w:fill="C6EFCE"/>
            <w:noWrap/>
            <w:vAlign w:val="center"/>
          </w:tcPr>
          <w:p w14:paraId="48C9F68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16972_Avaliku halduse reformimine</w:t>
            </w:r>
          </w:p>
        </w:tc>
        <w:tc>
          <w:tcPr>
            <w:tcW w:w="1692" w:type="dxa"/>
            <w:tcBorders>
              <w:top w:val="nil"/>
              <w:left w:val="nil"/>
              <w:bottom w:val="single" w:sz="4" w:space="0" w:color="auto"/>
              <w:right w:val="single" w:sz="4" w:space="0" w:color="auto"/>
            </w:tcBorders>
            <w:shd w:val="clear" w:color="auto" w:fill="C6EFCE"/>
            <w:noWrap/>
            <w:vAlign w:val="center"/>
          </w:tcPr>
          <w:p w14:paraId="0704138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426E048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Avalik haldus – uus premeerimissüsteem</w:t>
            </w:r>
          </w:p>
        </w:tc>
      </w:tr>
      <w:tr w:rsidR="006E0EA2" w:rsidRPr="003B132A" w14:paraId="43F49314"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1264BCC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216a</w:t>
            </w:r>
          </w:p>
        </w:tc>
        <w:tc>
          <w:tcPr>
            <w:tcW w:w="4283" w:type="dxa"/>
            <w:tcBorders>
              <w:top w:val="nil"/>
              <w:left w:val="nil"/>
              <w:bottom w:val="single" w:sz="4" w:space="0" w:color="auto"/>
              <w:right w:val="single" w:sz="4" w:space="0" w:color="auto"/>
            </w:tcBorders>
            <w:shd w:val="clear" w:color="auto" w:fill="C6EFCE"/>
            <w:noWrap/>
          </w:tcPr>
          <w:p w14:paraId="3DA9BE55"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13-4.2. Ajakohastada avalikku haldust, sealhulgas avaliku sektori investeeringute rakendamise kiirendamise, riigihankeraamistiku parandamise, suutlikkuse suurendamise meetmete ja korruptsioonivastase võitluse kaudu – 16711_Riigihangete valdkonna professionaalsemaks muutmine  </w:t>
            </w:r>
          </w:p>
        </w:tc>
        <w:tc>
          <w:tcPr>
            <w:tcW w:w="1692" w:type="dxa"/>
            <w:tcBorders>
              <w:top w:val="nil"/>
              <w:left w:val="nil"/>
              <w:bottom w:val="single" w:sz="4" w:space="0" w:color="auto"/>
              <w:right w:val="single" w:sz="4" w:space="0" w:color="auto"/>
            </w:tcBorders>
            <w:shd w:val="clear" w:color="auto" w:fill="C6EFCE"/>
            <w:noWrap/>
          </w:tcPr>
          <w:p w14:paraId="33F79FA4"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tcPr>
          <w:p w14:paraId="3DB42B79"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Riikliku riigihankestrateegia (2021–2025) muutmine</w:t>
            </w:r>
          </w:p>
        </w:tc>
      </w:tr>
      <w:tr w:rsidR="006E0EA2" w:rsidRPr="003B132A" w14:paraId="4A002880"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18BB431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232</w:t>
            </w:r>
          </w:p>
        </w:tc>
        <w:tc>
          <w:tcPr>
            <w:tcW w:w="4283" w:type="dxa"/>
            <w:tcBorders>
              <w:top w:val="nil"/>
              <w:left w:val="nil"/>
              <w:bottom w:val="single" w:sz="4" w:space="0" w:color="auto"/>
              <w:right w:val="single" w:sz="4" w:space="0" w:color="auto"/>
            </w:tcBorders>
            <w:shd w:val="clear" w:color="auto" w:fill="C6EFCE"/>
            <w:noWrap/>
            <w:vAlign w:val="center"/>
          </w:tcPr>
          <w:p w14:paraId="630A184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16575 Õigusmõistmise kiirendamine</w:t>
            </w:r>
          </w:p>
        </w:tc>
        <w:tc>
          <w:tcPr>
            <w:tcW w:w="1692" w:type="dxa"/>
            <w:tcBorders>
              <w:top w:val="nil"/>
              <w:left w:val="nil"/>
              <w:bottom w:val="single" w:sz="4" w:space="0" w:color="auto"/>
              <w:right w:val="single" w:sz="4" w:space="0" w:color="auto"/>
            </w:tcBorders>
            <w:shd w:val="clear" w:color="auto" w:fill="C6EFCE"/>
            <w:noWrap/>
            <w:vAlign w:val="center"/>
          </w:tcPr>
          <w:p w14:paraId="15535CB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3A181C3D"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Kohtukaardi läbivaatamine – esmased õigusaktid – tsiviil- ja karistusõigus</w:t>
            </w:r>
          </w:p>
        </w:tc>
      </w:tr>
      <w:tr w:rsidR="006E0EA2" w:rsidRPr="003B132A" w14:paraId="65D0152C"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031E964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233</w:t>
            </w:r>
          </w:p>
        </w:tc>
        <w:tc>
          <w:tcPr>
            <w:tcW w:w="4283" w:type="dxa"/>
            <w:tcBorders>
              <w:top w:val="nil"/>
              <w:left w:val="nil"/>
              <w:bottom w:val="single" w:sz="4" w:space="0" w:color="auto"/>
              <w:right w:val="single" w:sz="4" w:space="0" w:color="auto"/>
            </w:tcBorders>
            <w:shd w:val="clear" w:color="auto" w:fill="C6EFCE"/>
            <w:noWrap/>
            <w:vAlign w:val="center"/>
          </w:tcPr>
          <w:p w14:paraId="4777410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16292_Uued kohtuhooned</w:t>
            </w:r>
          </w:p>
        </w:tc>
        <w:tc>
          <w:tcPr>
            <w:tcW w:w="1692" w:type="dxa"/>
            <w:tcBorders>
              <w:top w:val="nil"/>
              <w:left w:val="nil"/>
              <w:bottom w:val="single" w:sz="4" w:space="0" w:color="auto"/>
              <w:right w:val="single" w:sz="4" w:space="0" w:color="auto"/>
            </w:tcBorders>
            <w:shd w:val="clear" w:color="auto" w:fill="C6EFCE"/>
            <w:noWrap/>
            <w:vAlign w:val="center"/>
          </w:tcPr>
          <w:p w14:paraId="4507C98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56CBDC5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Kohtuhoonete ehitamine ja renoveerimine – hangete algatamine</w:t>
            </w:r>
          </w:p>
        </w:tc>
      </w:tr>
      <w:tr w:rsidR="006E0EA2" w:rsidRPr="003B132A" w14:paraId="46B86A06"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AC91B9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279</w:t>
            </w:r>
          </w:p>
        </w:tc>
        <w:tc>
          <w:tcPr>
            <w:tcW w:w="4283" w:type="dxa"/>
            <w:tcBorders>
              <w:top w:val="nil"/>
              <w:left w:val="nil"/>
              <w:bottom w:val="single" w:sz="4" w:space="0" w:color="auto"/>
              <w:right w:val="single" w:sz="4" w:space="0" w:color="auto"/>
            </w:tcBorders>
            <w:shd w:val="clear" w:color="auto" w:fill="C6EFCE"/>
            <w:noWrap/>
            <w:vAlign w:val="center"/>
          </w:tcPr>
          <w:p w14:paraId="10344B3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16486_Veealuste antiikesemete muuseum</w:t>
            </w:r>
          </w:p>
        </w:tc>
        <w:tc>
          <w:tcPr>
            <w:tcW w:w="1692" w:type="dxa"/>
            <w:tcBorders>
              <w:top w:val="nil"/>
              <w:left w:val="nil"/>
              <w:bottom w:val="single" w:sz="4" w:space="0" w:color="auto"/>
              <w:right w:val="single" w:sz="4" w:space="0" w:color="auto"/>
            </w:tcBorders>
            <w:shd w:val="clear" w:color="auto" w:fill="C6EFCE"/>
            <w:noWrap/>
            <w:vAlign w:val="center"/>
          </w:tcPr>
          <w:p w14:paraId="413580D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3C9BF95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Veealuse antiikeseme muuseumi hankelepingu sõlmimine</w:t>
            </w:r>
          </w:p>
        </w:tc>
      </w:tr>
      <w:tr w:rsidR="006E0EA2" w:rsidRPr="003B132A" w14:paraId="1C4EEE40"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BC83A9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303</w:t>
            </w:r>
          </w:p>
        </w:tc>
        <w:tc>
          <w:tcPr>
            <w:tcW w:w="4283" w:type="dxa"/>
            <w:tcBorders>
              <w:top w:val="nil"/>
              <w:left w:val="nil"/>
              <w:bottom w:val="single" w:sz="4" w:space="0" w:color="auto"/>
              <w:right w:val="single" w:sz="4" w:space="0" w:color="auto"/>
            </w:tcBorders>
            <w:shd w:val="clear" w:color="auto" w:fill="C6EFCE"/>
            <w:noWrap/>
            <w:vAlign w:val="center"/>
          </w:tcPr>
          <w:p w14:paraId="3B7CF84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16593_Strateegiliste investeeringute ligimeelitamise õigusraamistiku muutmine</w:t>
            </w:r>
          </w:p>
        </w:tc>
        <w:tc>
          <w:tcPr>
            <w:tcW w:w="1692" w:type="dxa"/>
            <w:tcBorders>
              <w:top w:val="nil"/>
              <w:left w:val="nil"/>
              <w:bottom w:val="single" w:sz="4" w:space="0" w:color="auto"/>
              <w:right w:val="single" w:sz="4" w:space="0" w:color="auto"/>
            </w:tcBorders>
            <w:shd w:val="clear" w:color="auto" w:fill="C6EFCE"/>
            <w:noWrap/>
            <w:vAlign w:val="center"/>
          </w:tcPr>
          <w:p w14:paraId="444E20A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vAlign w:val="center"/>
          </w:tcPr>
          <w:p w14:paraId="044669A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Strateegilised investeeringud – abikõlblike projektide valik</w:t>
            </w:r>
          </w:p>
        </w:tc>
      </w:tr>
      <w:tr w:rsidR="006E0EA2" w:rsidRPr="003B132A" w14:paraId="0F10760E"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1B16DFE6"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337</w:t>
            </w:r>
          </w:p>
        </w:tc>
        <w:tc>
          <w:tcPr>
            <w:tcW w:w="4283" w:type="dxa"/>
            <w:tcBorders>
              <w:top w:val="nil"/>
              <w:left w:val="nil"/>
              <w:bottom w:val="single" w:sz="4" w:space="0" w:color="auto"/>
              <w:right w:val="single" w:sz="4" w:space="0" w:color="auto"/>
            </w:tcBorders>
            <w:shd w:val="clear" w:color="auto" w:fill="C6EFCE"/>
            <w:noWrap/>
          </w:tcPr>
          <w:p w14:paraId="57983B71"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12-4.1. Maksude muutmine majanduskasvu soodustavamaks ning maksuhalduse ja maksude kogumise parandamine – 16985_Kreeka maksupoliitika raamistiku muutmine</w:t>
            </w:r>
          </w:p>
        </w:tc>
        <w:tc>
          <w:tcPr>
            <w:tcW w:w="1692" w:type="dxa"/>
            <w:tcBorders>
              <w:top w:val="nil"/>
              <w:left w:val="nil"/>
              <w:bottom w:val="single" w:sz="4" w:space="0" w:color="auto"/>
              <w:right w:val="single" w:sz="4" w:space="0" w:color="auto"/>
            </w:tcBorders>
            <w:shd w:val="clear" w:color="auto" w:fill="C6EFCE"/>
            <w:noWrap/>
          </w:tcPr>
          <w:p w14:paraId="062D436F"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tcPr>
          <w:p w14:paraId="1180A396"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Võidelda maksudest kõrvalehoidumise vastu ja edendada elektroonilisi makseid</w:t>
            </w:r>
          </w:p>
        </w:tc>
      </w:tr>
      <w:tr w:rsidR="006E0EA2" w:rsidRPr="003B132A" w14:paraId="6D532544" w14:textId="77777777" w:rsidTr="5A02F5D5">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058DB248" w14:textId="77777777" w:rsidR="00F80ABD" w:rsidRPr="00E02B5D" w:rsidRDefault="00F80ABD" w:rsidP="00F80ABD">
            <w:pPr>
              <w:keepNext/>
              <w:spacing w:before="40" w:after="0" w:line="240" w:lineRule="auto"/>
              <w:jc w:val="both"/>
              <w:rPr>
                <w:rFonts w:ascii="Times New Roman" w:hAnsi="Times New Roman"/>
                <w:noProof/>
                <w:sz w:val="18"/>
              </w:rPr>
            </w:pPr>
            <w:r>
              <w:rPr>
                <w:rFonts w:ascii="Times New Roman" w:hAnsi="Times New Roman"/>
                <w:noProof/>
                <w:sz w:val="18"/>
              </w:rPr>
              <w:t>338</w:t>
            </w:r>
          </w:p>
        </w:tc>
        <w:tc>
          <w:tcPr>
            <w:tcW w:w="4283" w:type="dxa"/>
            <w:tcBorders>
              <w:top w:val="nil"/>
              <w:left w:val="nil"/>
              <w:bottom w:val="single" w:sz="4" w:space="0" w:color="auto"/>
              <w:right w:val="single" w:sz="4" w:space="0" w:color="auto"/>
            </w:tcBorders>
            <w:shd w:val="clear" w:color="auto" w:fill="C6EFCE"/>
            <w:noWrap/>
          </w:tcPr>
          <w:p w14:paraId="27FD3AAA" w14:textId="77777777" w:rsidR="00F80ABD" w:rsidRPr="00E02B5D" w:rsidRDefault="00F80ABD" w:rsidP="00F80ABD">
            <w:pPr>
              <w:keepNext/>
              <w:spacing w:before="40" w:after="0" w:line="240" w:lineRule="auto"/>
              <w:jc w:val="both"/>
              <w:rPr>
                <w:rFonts w:ascii="Times New Roman" w:hAnsi="Times New Roman"/>
                <w:noProof/>
                <w:sz w:val="18"/>
              </w:rPr>
            </w:pPr>
            <w:r>
              <w:rPr>
                <w:rFonts w:ascii="Times New Roman" w:hAnsi="Times New Roman"/>
                <w:noProof/>
                <w:sz w:val="18"/>
              </w:rPr>
              <w:t>12-4.1. Maksude muutmine majanduskasvu soodustavamaks ning maksuhalduse ja maksude kogumise parandamine – 16985_Kreeka maksupoliitika raamistiku muutmine</w:t>
            </w:r>
          </w:p>
        </w:tc>
        <w:tc>
          <w:tcPr>
            <w:tcW w:w="1692" w:type="dxa"/>
            <w:tcBorders>
              <w:top w:val="nil"/>
              <w:left w:val="nil"/>
              <w:bottom w:val="single" w:sz="4" w:space="0" w:color="auto"/>
              <w:right w:val="single" w:sz="4" w:space="0" w:color="auto"/>
            </w:tcBorders>
            <w:shd w:val="clear" w:color="auto" w:fill="C6EFCE"/>
            <w:noWrap/>
          </w:tcPr>
          <w:p w14:paraId="38C062AD" w14:textId="77777777" w:rsidR="00F80ABD" w:rsidRPr="00E02B5D" w:rsidRDefault="00F80ABD" w:rsidP="00F80ABD">
            <w:pPr>
              <w:keepNext/>
              <w:spacing w:before="40" w:after="0" w:line="240" w:lineRule="auto"/>
              <w:jc w:val="both"/>
              <w:rPr>
                <w:rFonts w:ascii="Times New Roman" w:hAnsi="Times New Roman"/>
                <w:noProof/>
                <w:sz w:val="18"/>
              </w:rPr>
            </w:pPr>
            <w:r>
              <w:rPr>
                <w:rFonts w:ascii="Times New Roman" w:hAnsi="Times New Roman"/>
                <w:noProof/>
                <w:sz w:val="18"/>
              </w:rPr>
              <w:t>Eesmärk</w:t>
            </w:r>
          </w:p>
        </w:tc>
        <w:tc>
          <w:tcPr>
            <w:tcW w:w="2003" w:type="dxa"/>
            <w:tcBorders>
              <w:top w:val="nil"/>
              <w:left w:val="nil"/>
              <w:bottom w:val="single" w:sz="4" w:space="0" w:color="auto"/>
              <w:right w:val="single" w:sz="4" w:space="0" w:color="auto"/>
            </w:tcBorders>
            <w:shd w:val="clear" w:color="auto" w:fill="C6EFCE"/>
            <w:noWrap/>
          </w:tcPr>
          <w:p w14:paraId="4796554C" w14:textId="77777777" w:rsidR="00F80ABD" w:rsidRPr="00E02B5D" w:rsidRDefault="00F80ABD" w:rsidP="00F80ABD">
            <w:pPr>
              <w:keepNext/>
              <w:spacing w:before="40" w:after="0" w:line="240" w:lineRule="auto"/>
              <w:jc w:val="both"/>
              <w:rPr>
                <w:rFonts w:ascii="Times New Roman" w:hAnsi="Times New Roman"/>
                <w:noProof/>
                <w:sz w:val="18"/>
              </w:rPr>
            </w:pPr>
            <w:r>
              <w:rPr>
                <w:rFonts w:ascii="Times New Roman" w:hAnsi="Times New Roman"/>
                <w:noProof/>
                <w:sz w:val="18"/>
              </w:rPr>
              <w:t>Füüsilisest isikust ettevõtjate maksustamise ja riigilõivu reform</w:t>
            </w:r>
          </w:p>
        </w:tc>
      </w:tr>
      <w:tr w:rsidR="00B430F0" w:rsidRPr="00E02B5D" w14:paraId="427BB229" w14:textId="77777777" w:rsidTr="00183753">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29C987AF" w14:textId="77777777" w:rsidR="00B430F0" w:rsidRPr="00E02B5D" w:rsidRDefault="00B430F0" w:rsidP="0092204B">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341</w:t>
            </w:r>
          </w:p>
        </w:tc>
        <w:tc>
          <w:tcPr>
            <w:tcW w:w="4283" w:type="dxa"/>
            <w:tcBorders>
              <w:top w:val="single" w:sz="4" w:space="0" w:color="auto"/>
              <w:left w:val="nil"/>
              <w:bottom w:val="single" w:sz="4" w:space="0" w:color="auto"/>
              <w:right w:val="single" w:sz="4" w:space="0" w:color="auto"/>
            </w:tcBorders>
            <w:shd w:val="clear" w:color="auto" w:fill="C6EFCE"/>
            <w:noWrap/>
          </w:tcPr>
          <w:p w14:paraId="3367004B" w14:textId="77777777" w:rsidR="00B430F0" w:rsidRPr="00E02B5D" w:rsidRDefault="00B430F0" w:rsidP="0092204B">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16986_Riikliku katastri lõpuleviimine</w:t>
            </w:r>
          </w:p>
        </w:tc>
        <w:tc>
          <w:tcPr>
            <w:tcW w:w="1692" w:type="dxa"/>
            <w:tcBorders>
              <w:top w:val="single" w:sz="4" w:space="0" w:color="auto"/>
              <w:left w:val="nil"/>
              <w:bottom w:val="single" w:sz="4" w:space="0" w:color="auto"/>
              <w:right w:val="single" w:sz="4" w:space="0" w:color="auto"/>
            </w:tcBorders>
            <w:shd w:val="clear" w:color="auto" w:fill="C6EFCE"/>
            <w:noWrap/>
          </w:tcPr>
          <w:p w14:paraId="11830E2C" w14:textId="77777777" w:rsidR="00B430F0" w:rsidRPr="00E02B5D" w:rsidRDefault="00B430F0" w:rsidP="0092204B">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03" w:type="dxa"/>
            <w:tcBorders>
              <w:top w:val="single" w:sz="4" w:space="0" w:color="auto"/>
              <w:left w:val="nil"/>
              <w:bottom w:val="single" w:sz="4" w:space="0" w:color="auto"/>
              <w:right w:val="single" w:sz="4" w:space="0" w:color="auto"/>
            </w:tcBorders>
            <w:shd w:val="clear" w:color="auto" w:fill="C6EFCE"/>
            <w:noWrap/>
          </w:tcPr>
          <w:p w14:paraId="6BC3680D" w14:textId="77777777" w:rsidR="00B430F0" w:rsidRPr="00E02B5D" w:rsidRDefault="00B430F0" w:rsidP="0092204B">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Katastri kaardistamine – 85 % lõpetatud</w:t>
            </w:r>
          </w:p>
        </w:tc>
      </w:tr>
      <w:tr w:rsidR="00B430F0" w:rsidRPr="00E02B5D" w14:paraId="77C92919" w14:textId="77777777" w:rsidTr="00183753">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1E6E970E"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20"/>
                <w:szCs w:val="18"/>
              </w:rPr>
            </w:pPr>
            <w:r>
              <w:rPr>
                <w:rFonts w:ascii="Times New Roman" w:hAnsi="Times New Roman"/>
                <w:noProof/>
                <w:sz w:val="20"/>
              </w:rPr>
              <w:t>367</w:t>
            </w:r>
          </w:p>
        </w:tc>
        <w:tc>
          <w:tcPr>
            <w:tcW w:w="4283" w:type="dxa"/>
            <w:tcBorders>
              <w:top w:val="single" w:sz="4" w:space="0" w:color="auto"/>
              <w:left w:val="nil"/>
              <w:bottom w:val="single" w:sz="4" w:space="0" w:color="auto"/>
              <w:right w:val="single" w:sz="4" w:space="0" w:color="auto"/>
            </w:tcBorders>
            <w:shd w:val="clear" w:color="auto" w:fill="C6EFCE"/>
            <w:noWrap/>
          </w:tcPr>
          <w:p w14:paraId="13A5A47E"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20"/>
                <w:szCs w:val="18"/>
              </w:rPr>
            </w:pPr>
            <w:r>
              <w:rPr>
                <w:rFonts w:ascii="Times New Roman" w:hAnsi="Times New Roman"/>
                <w:noProof/>
                <w:sz w:val="20"/>
              </w:rPr>
              <w:t xml:space="preserve">21–5.2. REPowerEU investeeringud – 16994_Energiatõhusus ja taastuvate energiaallikate edendamine oma tarbeks </w:t>
            </w:r>
          </w:p>
        </w:tc>
        <w:tc>
          <w:tcPr>
            <w:tcW w:w="1692" w:type="dxa"/>
            <w:tcBorders>
              <w:top w:val="single" w:sz="4" w:space="0" w:color="auto"/>
              <w:left w:val="nil"/>
              <w:bottom w:val="single" w:sz="4" w:space="0" w:color="auto"/>
              <w:right w:val="single" w:sz="4" w:space="0" w:color="auto"/>
            </w:tcBorders>
            <w:shd w:val="clear" w:color="auto" w:fill="C6EFCE"/>
            <w:noWrap/>
          </w:tcPr>
          <w:p w14:paraId="54A43649"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20"/>
                <w:szCs w:val="18"/>
              </w:rPr>
            </w:pPr>
            <w:r>
              <w:rPr>
                <w:rFonts w:ascii="Times New Roman" w:hAnsi="Times New Roman"/>
                <w:noProof/>
                <w:sz w:val="20"/>
              </w:rPr>
              <w:t>Eesmärk</w:t>
            </w:r>
          </w:p>
        </w:tc>
        <w:tc>
          <w:tcPr>
            <w:tcW w:w="2003" w:type="dxa"/>
            <w:tcBorders>
              <w:top w:val="single" w:sz="4" w:space="0" w:color="auto"/>
              <w:left w:val="nil"/>
              <w:bottom w:val="single" w:sz="4" w:space="0" w:color="auto"/>
              <w:right w:val="single" w:sz="4" w:space="0" w:color="auto"/>
            </w:tcBorders>
            <w:shd w:val="clear" w:color="auto" w:fill="C6EFCE"/>
            <w:noWrap/>
          </w:tcPr>
          <w:p w14:paraId="3AC3776B"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20"/>
                <w:szCs w:val="18"/>
              </w:rPr>
            </w:pPr>
            <w:r>
              <w:rPr>
                <w:rFonts w:ascii="Times New Roman" w:hAnsi="Times New Roman"/>
                <w:noProof/>
                <w:sz w:val="20"/>
              </w:rPr>
              <w:t>Toetusprogrammide käivitamine</w:t>
            </w:r>
          </w:p>
        </w:tc>
      </w:tr>
      <w:tr w:rsidR="00B430F0" w:rsidRPr="00E02B5D" w14:paraId="4DA8E292" w14:textId="77777777" w:rsidTr="00183753">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B3A8D21"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10451E4E"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46A85ECB"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2003" w:type="dxa"/>
            <w:tcBorders>
              <w:top w:val="single" w:sz="4" w:space="0" w:color="auto"/>
              <w:left w:val="nil"/>
              <w:bottom w:val="single" w:sz="4" w:space="0" w:color="auto"/>
              <w:right w:val="single" w:sz="4" w:space="0" w:color="auto"/>
            </w:tcBorders>
            <w:shd w:val="clear" w:color="auto" w:fill="C6EFCE"/>
            <w:noWrap/>
            <w:vAlign w:val="bottom"/>
          </w:tcPr>
          <w:p w14:paraId="44495E06" w14:textId="165BBEBA" w:rsidR="00B430F0" w:rsidRPr="00E02B5D" w:rsidRDefault="00B430F0" w:rsidP="0070159A">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1 557 198 947 eurot</w:t>
            </w:r>
          </w:p>
        </w:tc>
      </w:tr>
    </w:tbl>
    <w:p w14:paraId="6308E56F" w14:textId="77777777" w:rsidR="00B430F0" w:rsidRPr="00E02B5D" w:rsidRDefault="00B430F0" w:rsidP="00645BC7">
      <w:pPr>
        <w:keepNext/>
        <w:spacing w:before="40" w:line="259" w:lineRule="auto"/>
        <w:jc w:val="both"/>
        <w:rPr>
          <w:rFonts w:eastAsia="Times New Roman"/>
          <w:i/>
          <w:noProof/>
          <w:color w:val="4F81BD"/>
          <w:lang w:val="en-GB"/>
        </w:rPr>
      </w:pPr>
    </w:p>
    <w:p w14:paraId="6756D0D4"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Kuues osamakse (tagastamatu toetus): </w:t>
      </w:r>
    </w:p>
    <w:tbl>
      <w:tblPr>
        <w:tblW w:w="9705" w:type="dxa"/>
        <w:tblInd w:w="113" w:type="dxa"/>
        <w:tblLook w:val="04A0" w:firstRow="1" w:lastRow="0" w:firstColumn="1" w:lastColumn="0" w:noHBand="0" w:noVBand="1"/>
      </w:tblPr>
      <w:tblGrid>
        <w:gridCol w:w="1804"/>
        <w:gridCol w:w="4283"/>
        <w:gridCol w:w="1692"/>
        <w:gridCol w:w="1926"/>
      </w:tblGrid>
      <w:tr w:rsidR="007B4D63" w:rsidRPr="00E02B5D" w14:paraId="2A75845B" w14:textId="77777777" w:rsidTr="00C35E51">
        <w:trPr>
          <w:trHeight w:val="906"/>
          <w:tblHeader/>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8963860"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5FD68CF"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5AA8DEF"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926" w:type="dxa"/>
            <w:vMerge w:val="restart"/>
            <w:tcBorders>
              <w:top w:val="single" w:sz="4" w:space="0" w:color="auto"/>
              <w:left w:val="nil"/>
              <w:bottom w:val="single" w:sz="4" w:space="0" w:color="000000"/>
              <w:right w:val="single" w:sz="4" w:space="0" w:color="auto"/>
            </w:tcBorders>
            <w:shd w:val="clear" w:color="auto" w:fill="BDD7EE"/>
            <w:vAlign w:val="center"/>
            <w:hideMark/>
          </w:tcPr>
          <w:p w14:paraId="5B1407A1"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3FFB8DDC" w14:textId="77777777" w:rsidTr="004E35AC">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79635ADE"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73A1DF3F"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23FE639B"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926" w:type="dxa"/>
            <w:vMerge/>
            <w:tcBorders>
              <w:top w:val="single" w:sz="4" w:space="0" w:color="auto"/>
              <w:left w:val="nil"/>
              <w:bottom w:val="single" w:sz="4" w:space="0" w:color="000000"/>
              <w:right w:val="single" w:sz="4" w:space="0" w:color="auto"/>
            </w:tcBorders>
            <w:vAlign w:val="center"/>
            <w:hideMark/>
          </w:tcPr>
          <w:p w14:paraId="7140048D"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7B4D63" w:rsidRPr="00E02B5D" w14:paraId="215289F0"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42542FDD"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10</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32BD1384"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1-1.1. Energeetika – 16871_Taaselustamismeetmed kõige enam mõjutatud territooriumidel (õiglase ülemineku piirkonnad)</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1AA28DD1"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000000" w:fill="C6EFCE"/>
            <w:noWrap/>
            <w:vAlign w:val="center"/>
          </w:tcPr>
          <w:p w14:paraId="69273CC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Maa taastamine – linnaplaneeringud</w:t>
            </w:r>
          </w:p>
        </w:tc>
      </w:tr>
      <w:tr w:rsidR="00755BE2" w:rsidRPr="003B132A" w14:paraId="1BA320B1"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76827D26" w14:textId="77777777" w:rsidR="00755BE2" w:rsidRPr="00E02B5D" w:rsidRDefault="00755BE2" w:rsidP="00755BE2">
            <w:pPr>
              <w:keepNext/>
              <w:spacing w:before="40" w:after="0" w:line="240" w:lineRule="auto"/>
              <w:jc w:val="both"/>
              <w:rPr>
                <w:rFonts w:ascii="Times New Roman" w:hAnsi="Times New Roman"/>
                <w:noProof/>
                <w:sz w:val="18"/>
              </w:rPr>
            </w:pPr>
            <w:r>
              <w:rPr>
                <w:rFonts w:ascii="Times New Roman" w:hAnsi="Times New Roman"/>
                <w:noProof/>
                <w:sz w:val="18"/>
              </w:rPr>
              <w:t>49</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07080728" w14:textId="77777777" w:rsidR="00755BE2" w:rsidRPr="00E02B5D" w:rsidRDefault="00755BE2" w:rsidP="00755BE2">
            <w:pPr>
              <w:keepNext/>
              <w:spacing w:before="40" w:after="0" w:line="240" w:lineRule="auto"/>
              <w:jc w:val="both"/>
              <w:rPr>
                <w:rFonts w:ascii="Times New Roman" w:hAnsi="Times New Roman"/>
                <w:noProof/>
                <w:sz w:val="18"/>
              </w:rPr>
            </w:pPr>
            <w:r>
              <w:rPr>
                <w:rFonts w:ascii="Times New Roman" w:hAnsi="Times New Roman"/>
                <w:noProof/>
                <w:sz w:val="18"/>
              </w:rPr>
              <w:t>3-1.3. Laadimine ja tankimine – 16924_ Elektromobiilsus</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5A072FD1" w14:textId="77777777" w:rsidR="00755BE2" w:rsidRPr="00E02B5D" w:rsidRDefault="00755BE2" w:rsidP="00755BE2">
            <w:pPr>
              <w:keepNext/>
              <w:spacing w:before="40" w:after="0" w:line="240" w:lineRule="auto"/>
              <w:jc w:val="both"/>
              <w:rPr>
                <w:rFonts w:ascii="Times New Roman" w:hAnsi="Times New Roman"/>
                <w:noProof/>
                <w:sz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000000" w:fill="C6EFCE"/>
            <w:noWrap/>
            <w:vAlign w:val="center"/>
          </w:tcPr>
          <w:p w14:paraId="60C25E28" w14:textId="77777777" w:rsidR="00755BE2" w:rsidRPr="00E02B5D" w:rsidRDefault="00755BE2" w:rsidP="00755BE2">
            <w:pPr>
              <w:keepNext/>
              <w:spacing w:before="40" w:after="0" w:line="240" w:lineRule="auto"/>
              <w:jc w:val="both"/>
              <w:rPr>
                <w:rFonts w:ascii="Times New Roman" w:hAnsi="Times New Roman"/>
                <w:noProof/>
                <w:sz w:val="18"/>
              </w:rPr>
            </w:pPr>
            <w:r>
              <w:rPr>
                <w:rFonts w:ascii="Times New Roman" w:hAnsi="Times New Roman"/>
                <w:noProof/>
                <w:sz w:val="18"/>
              </w:rPr>
              <w:t>ElektrElektrisõidukite laadimispunktid – taotlused heaks kiidetud</w:t>
            </w:r>
          </w:p>
        </w:tc>
      </w:tr>
      <w:tr w:rsidR="007B4D63" w:rsidRPr="00AC4500" w14:paraId="3094EA1B"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14:paraId="5C29D8F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51</w:t>
            </w:r>
          </w:p>
        </w:tc>
        <w:tc>
          <w:tcPr>
            <w:tcW w:w="4283" w:type="dxa"/>
            <w:tcBorders>
              <w:top w:val="nil"/>
              <w:left w:val="nil"/>
              <w:bottom w:val="single" w:sz="4" w:space="0" w:color="auto"/>
              <w:right w:val="single" w:sz="4" w:space="0" w:color="auto"/>
            </w:tcBorders>
            <w:shd w:val="clear" w:color="000000" w:fill="C6EFCE"/>
            <w:noWrap/>
            <w:vAlign w:val="center"/>
          </w:tcPr>
          <w:p w14:paraId="4C74DA6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3-1.3. Laadimine ja tankimine – 16831_Produc-E Green</w:t>
            </w:r>
          </w:p>
        </w:tc>
        <w:tc>
          <w:tcPr>
            <w:tcW w:w="1692" w:type="dxa"/>
            <w:tcBorders>
              <w:top w:val="nil"/>
              <w:left w:val="nil"/>
              <w:bottom w:val="single" w:sz="4" w:space="0" w:color="auto"/>
              <w:right w:val="single" w:sz="4" w:space="0" w:color="auto"/>
            </w:tcBorders>
            <w:shd w:val="clear" w:color="000000" w:fill="C6EFCE"/>
            <w:noWrap/>
            <w:vAlign w:val="center"/>
          </w:tcPr>
          <w:p w14:paraId="39EAE85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03DF824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Süsinikdioksiidi kogumine ja säilitamine – säilitamisluba</w:t>
            </w:r>
          </w:p>
        </w:tc>
      </w:tr>
      <w:tr w:rsidR="0058580E" w:rsidRPr="003B132A" w14:paraId="7D37099C"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BE5D643" w14:textId="77777777" w:rsidR="0058580E" w:rsidRPr="00E02B5D" w:rsidRDefault="0058580E" w:rsidP="0058580E">
            <w:pPr>
              <w:keepNext/>
              <w:spacing w:before="40" w:after="0" w:line="240" w:lineRule="auto"/>
              <w:jc w:val="both"/>
              <w:rPr>
                <w:rFonts w:ascii="Times New Roman" w:hAnsi="Times New Roman"/>
                <w:noProof/>
                <w:sz w:val="18"/>
              </w:rPr>
            </w:pPr>
            <w:r>
              <w:rPr>
                <w:rFonts w:ascii="Times New Roman" w:hAnsi="Times New Roman"/>
                <w:noProof/>
                <w:sz w:val="18"/>
              </w:rPr>
              <w:t>94</w:t>
            </w:r>
          </w:p>
        </w:tc>
        <w:tc>
          <w:tcPr>
            <w:tcW w:w="4283" w:type="dxa"/>
            <w:tcBorders>
              <w:top w:val="nil"/>
              <w:left w:val="nil"/>
              <w:bottom w:val="single" w:sz="4" w:space="0" w:color="auto"/>
              <w:right w:val="single" w:sz="4" w:space="0" w:color="auto"/>
            </w:tcBorders>
            <w:shd w:val="clear" w:color="000000" w:fill="C6EFCE"/>
            <w:noWrap/>
            <w:vAlign w:val="center"/>
          </w:tcPr>
          <w:p w14:paraId="1B59BAFC" w14:textId="77777777" w:rsidR="0058580E" w:rsidRPr="00E02B5D" w:rsidRDefault="0058580E" w:rsidP="0058580E">
            <w:pPr>
              <w:keepNext/>
              <w:spacing w:before="40" w:after="0" w:line="240" w:lineRule="auto"/>
              <w:jc w:val="both"/>
              <w:rPr>
                <w:rFonts w:ascii="Times New Roman" w:hAnsi="Times New Roman"/>
                <w:noProof/>
                <w:sz w:val="18"/>
              </w:rPr>
            </w:pPr>
            <w:r>
              <w:rPr>
                <w:rFonts w:ascii="Times New Roman" w:hAnsi="Times New Roman"/>
                <w:noProof/>
                <w:sz w:val="18"/>
              </w:rPr>
              <w:t>6-2.2. Moderniseerimine – 16778_Arhiivide ja nendega seotud teenuste digiteerimine</w:t>
            </w:r>
          </w:p>
        </w:tc>
        <w:tc>
          <w:tcPr>
            <w:tcW w:w="1692" w:type="dxa"/>
            <w:tcBorders>
              <w:top w:val="nil"/>
              <w:left w:val="nil"/>
              <w:bottom w:val="single" w:sz="4" w:space="0" w:color="auto"/>
              <w:right w:val="single" w:sz="4" w:space="0" w:color="auto"/>
            </w:tcBorders>
            <w:shd w:val="clear" w:color="000000" w:fill="C6EFCE"/>
            <w:noWrap/>
            <w:vAlign w:val="center"/>
          </w:tcPr>
          <w:p w14:paraId="5C670593" w14:textId="77777777" w:rsidR="0058580E" w:rsidRPr="00E02B5D" w:rsidRDefault="0058580E" w:rsidP="0058580E">
            <w:pPr>
              <w:keepNext/>
              <w:spacing w:before="40" w:after="0" w:line="240" w:lineRule="auto"/>
              <w:jc w:val="both"/>
              <w:rPr>
                <w:rFonts w:ascii="Times New Roman" w:hAnsi="Times New Roman"/>
                <w:noProof/>
                <w:sz w:val="18"/>
              </w:rPr>
            </w:pPr>
            <w:r>
              <w:rPr>
                <w:rFonts w:ascii="Times New Roman" w:hAnsi="Times New Roman"/>
                <w:noProof/>
                <w:sz w:val="18"/>
              </w:rPr>
              <w:t>Siht</w:t>
            </w:r>
          </w:p>
        </w:tc>
        <w:tc>
          <w:tcPr>
            <w:tcW w:w="1926" w:type="dxa"/>
            <w:tcBorders>
              <w:top w:val="nil"/>
              <w:left w:val="nil"/>
              <w:bottom w:val="single" w:sz="4" w:space="0" w:color="auto"/>
              <w:right w:val="single" w:sz="4" w:space="0" w:color="auto"/>
            </w:tcBorders>
            <w:shd w:val="clear" w:color="000000" w:fill="C6EFCE"/>
            <w:noWrap/>
            <w:vAlign w:val="center"/>
          </w:tcPr>
          <w:p w14:paraId="774DC2CC" w14:textId="77777777" w:rsidR="0058580E" w:rsidRPr="00E02B5D" w:rsidRDefault="0058580E" w:rsidP="0058580E">
            <w:pPr>
              <w:keepNext/>
              <w:spacing w:before="40" w:after="0" w:line="240" w:lineRule="auto"/>
              <w:jc w:val="both"/>
              <w:rPr>
                <w:rFonts w:ascii="Times New Roman" w:hAnsi="Times New Roman"/>
                <w:noProof/>
                <w:sz w:val="18"/>
              </w:rPr>
            </w:pPr>
            <w:r>
              <w:rPr>
                <w:rFonts w:ascii="Times New Roman" w:hAnsi="Times New Roman"/>
                <w:noProof/>
                <w:sz w:val="18"/>
              </w:rPr>
              <w:t>Arhiivide digiteerimine – rakendamise esimene etapp</w:t>
            </w:r>
          </w:p>
        </w:tc>
      </w:tr>
      <w:tr w:rsidR="0058580E" w:rsidRPr="003B132A" w14:paraId="4048DA02"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378AF77" w14:textId="77777777" w:rsidR="0058580E" w:rsidRPr="00E02B5D" w:rsidRDefault="0058580E" w:rsidP="0058580E">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122</w:t>
            </w:r>
          </w:p>
        </w:tc>
        <w:tc>
          <w:tcPr>
            <w:tcW w:w="4283" w:type="dxa"/>
            <w:tcBorders>
              <w:top w:val="nil"/>
              <w:left w:val="nil"/>
              <w:bottom w:val="single" w:sz="4" w:space="0" w:color="auto"/>
              <w:right w:val="single" w:sz="4" w:space="0" w:color="auto"/>
            </w:tcBorders>
            <w:shd w:val="clear" w:color="000000" w:fill="C6EFCE"/>
            <w:noWrap/>
            <w:vAlign w:val="center"/>
          </w:tcPr>
          <w:p w14:paraId="07F04392" w14:textId="77777777" w:rsidR="0058580E" w:rsidRPr="00E02B5D" w:rsidRDefault="0058580E" w:rsidP="0058580E">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16853 Pilvandmetöötluse kesktaristu ja -teenuste pakkumine</w:t>
            </w:r>
          </w:p>
        </w:tc>
        <w:tc>
          <w:tcPr>
            <w:tcW w:w="1692" w:type="dxa"/>
            <w:tcBorders>
              <w:top w:val="nil"/>
              <w:left w:val="nil"/>
              <w:bottom w:val="single" w:sz="4" w:space="0" w:color="auto"/>
              <w:right w:val="single" w:sz="4" w:space="0" w:color="auto"/>
            </w:tcBorders>
            <w:shd w:val="clear" w:color="000000" w:fill="C6EFCE"/>
            <w:noWrap/>
            <w:vAlign w:val="center"/>
          </w:tcPr>
          <w:p w14:paraId="275CFBA0" w14:textId="77777777" w:rsidR="0058580E" w:rsidRPr="00E02B5D" w:rsidRDefault="0058580E" w:rsidP="0058580E">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352DFCD2" w14:textId="77777777" w:rsidR="0058580E" w:rsidRPr="00E02B5D" w:rsidRDefault="0058580E" w:rsidP="0058580E">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Keskse pilvandmetöötlustaristu ja -teenuse lõpuleviimine</w:t>
            </w:r>
          </w:p>
        </w:tc>
      </w:tr>
      <w:tr w:rsidR="0058580E" w:rsidRPr="00E02B5D" w14:paraId="316775B4"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5E050C6" w14:textId="77777777" w:rsidR="0058580E" w:rsidRPr="00E02B5D" w:rsidRDefault="0058580E" w:rsidP="0058580E">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155</w:t>
            </w:r>
          </w:p>
        </w:tc>
        <w:tc>
          <w:tcPr>
            <w:tcW w:w="4283" w:type="dxa"/>
            <w:tcBorders>
              <w:top w:val="nil"/>
              <w:left w:val="nil"/>
              <w:bottom w:val="single" w:sz="4" w:space="0" w:color="auto"/>
              <w:right w:val="single" w:sz="4" w:space="0" w:color="auto"/>
            </w:tcBorders>
            <w:shd w:val="clear" w:color="000000" w:fill="C6EFCE"/>
            <w:noWrap/>
            <w:vAlign w:val="center"/>
          </w:tcPr>
          <w:p w14:paraId="498791CC" w14:textId="77777777" w:rsidR="0058580E" w:rsidRPr="00E02B5D" w:rsidRDefault="0058580E" w:rsidP="0058580E">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Tervishoiusüsteemi vastupanuvõime, juurdepääsetavuse ja jätkusuutlikkuse parandamine – 16816_Reformid ja investeeringute kiirendamine tervishoiusektoris – tagasinõude vähendamine ja tervishoiukulude ratsionaliseerimine</w:t>
            </w:r>
          </w:p>
        </w:tc>
        <w:tc>
          <w:tcPr>
            <w:tcW w:w="1692" w:type="dxa"/>
            <w:tcBorders>
              <w:top w:val="nil"/>
              <w:left w:val="nil"/>
              <w:bottom w:val="single" w:sz="4" w:space="0" w:color="auto"/>
              <w:right w:val="single" w:sz="4" w:space="0" w:color="auto"/>
            </w:tcBorders>
            <w:shd w:val="clear" w:color="000000" w:fill="C6EFCE"/>
            <w:noWrap/>
            <w:vAlign w:val="center"/>
          </w:tcPr>
          <w:p w14:paraId="70F11F17" w14:textId="77777777" w:rsidR="0058580E" w:rsidRPr="00E02B5D" w:rsidRDefault="0058580E" w:rsidP="0058580E">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926" w:type="dxa"/>
            <w:tcBorders>
              <w:top w:val="nil"/>
              <w:left w:val="nil"/>
              <w:bottom w:val="single" w:sz="4" w:space="0" w:color="auto"/>
              <w:right w:val="single" w:sz="4" w:space="0" w:color="auto"/>
            </w:tcBorders>
            <w:shd w:val="clear" w:color="000000" w:fill="C6EFCE"/>
            <w:noWrap/>
            <w:vAlign w:val="center"/>
          </w:tcPr>
          <w:p w14:paraId="6D42A958" w14:textId="77777777" w:rsidR="0058580E" w:rsidRPr="00E02B5D" w:rsidRDefault="0058580E" w:rsidP="0058580E">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Tagasinõude vähenemine 150 000 000 - 2. etapp</w:t>
            </w:r>
          </w:p>
        </w:tc>
      </w:tr>
      <w:tr w:rsidR="0058580E" w:rsidRPr="003B132A" w14:paraId="125B5B94"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91B410C" w14:textId="77777777" w:rsidR="0058580E" w:rsidRPr="00E02B5D" w:rsidRDefault="0058580E" w:rsidP="0058580E">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156</w:t>
            </w:r>
          </w:p>
        </w:tc>
        <w:tc>
          <w:tcPr>
            <w:tcW w:w="4283" w:type="dxa"/>
            <w:tcBorders>
              <w:top w:val="nil"/>
              <w:left w:val="nil"/>
              <w:bottom w:val="single" w:sz="4" w:space="0" w:color="auto"/>
              <w:right w:val="single" w:sz="4" w:space="0" w:color="auto"/>
            </w:tcBorders>
            <w:shd w:val="clear" w:color="000000" w:fill="C6EFCE"/>
            <w:noWrap/>
            <w:vAlign w:val="center"/>
          </w:tcPr>
          <w:p w14:paraId="559B4E36" w14:textId="77777777" w:rsidR="0058580E" w:rsidRPr="00E02B5D" w:rsidRDefault="0058580E" w:rsidP="0058580E">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Tervishoiusüsteemi vastupanuvõime, juurdepääsetavuse ja jätkusuutlikkuse parandamine – 16816_Reformid ja investeeringute kiirendamine tervishoiusektoris – tagasinõude vähendamine ja tervishoiukulude ratsionaliseerimine</w:t>
            </w:r>
          </w:p>
        </w:tc>
        <w:tc>
          <w:tcPr>
            <w:tcW w:w="1692" w:type="dxa"/>
            <w:tcBorders>
              <w:top w:val="nil"/>
              <w:left w:val="nil"/>
              <w:bottom w:val="single" w:sz="4" w:space="0" w:color="auto"/>
              <w:right w:val="single" w:sz="4" w:space="0" w:color="auto"/>
            </w:tcBorders>
            <w:shd w:val="clear" w:color="000000" w:fill="C6EFCE"/>
            <w:noWrap/>
            <w:vAlign w:val="center"/>
          </w:tcPr>
          <w:p w14:paraId="42145A30" w14:textId="77777777" w:rsidR="0058580E" w:rsidRPr="00E02B5D" w:rsidRDefault="0058580E" w:rsidP="0058580E">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926" w:type="dxa"/>
            <w:tcBorders>
              <w:top w:val="nil"/>
              <w:left w:val="nil"/>
              <w:bottom w:val="single" w:sz="4" w:space="0" w:color="auto"/>
              <w:right w:val="single" w:sz="4" w:space="0" w:color="auto"/>
            </w:tcBorders>
            <w:shd w:val="clear" w:color="000000" w:fill="C6EFCE"/>
            <w:noWrap/>
            <w:vAlign w:val="center"/>
          </w:tcPr>
          <w:p w14:paraId="21D4C4D9"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Uurimis- ja andmefarmaatsiatooted</w:t>
            </w:r>
          </w:p>
          <w:p w14:paraId="7A907166" w14:textId="77777777" w:rsidR="0058580E" w:rsidRPr="00E02B5D" w:rsidRDefault="0058580E" w:rsidP="0058580E">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investeerimiskindlus 2021-23</w:t>
            </w:r>
          </w:p>
        </w:tc>
      </w:tr>
      <w:tr w:rsidR="0058580E" w:rsidRPr="003B132A" w14:paraId="73BD8533"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5D50A9D"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161</w:t>
            </w:r>
          </w:p>
        </w:tc>
        <w:tc>
          <w:tcPr>
            <w:tcW w:w="4283" w:type="dxa"/>
            <w:tcBorders>
              <w:top w:val="nil"/>
              <w:left w:val="nil"/>
              <w:bottom w:val="single" w:sz="4" w:space="0" w:color="auto"/>
              <w:right w:val="single" w:sz="4" w:space="0" w:color="auto"/>
            </w:tcBorders>
            <w:shd w:val="clear" w:color="000000" w:fill="C6EFCE"/>
            <w:noWrap/>
            <w:vAlign w:val="center"/>
          </w:tcPr>
          <w:p w14:paraId="69051EAC"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10-3.3. Tervishoiusüsteemi vastupanuvõime, juurdepääsetavuse ja jätkusuutlikkuse parandamine – 16755_Esmase tervishoiusüsteemi reform</w:t>
            </w:r>
          </w:p>
        </w:tc>
        <w:tc>
          <w:tcPr>
            <w:tcW w:w="1692" w:type="dxa"/>
            <w:tcBorders>
              <w:top w:val="nil"/>
              <w:left w:val="nil"/>
              <w:bottom w:val="single" w:sz="4" w:space="0" w:color="auto"/>
              <w:right w:val="single" w:sz="4" w:space="0" w:color="auto"/>
            </w:tcBorders>
            <w:shd w:val="clear" w:color="000000" w:fill="C6EFCE"/>
            <w:noWrap/>
            <w:vAlign w:val="center"/>
          </w:tcPr>
          <w:p w14:paraId="04768D12"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530EA42F"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Esmatasandi tervishoid – lepingute sõlmimine tervishoiukeskustega</w:t>
            </w:r>
          </w:p>
        </w:tc>
      </w:tr>
      <w:tr w:rsidR="0058580E" w:rsidRPr="003B132A" w14:paraId="29B83AB3"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8ABE578"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167</w:t>
            </w:r>
          </w:p>
        </w:tc>
        <w:tc>
          <w:tcPr>
            <w:tcW w:w="4283" w:type="dxa"/>
            <w:tcBorders>
              <w:top w:val="nil"/>
              <w:left w:val="nil"/>
              <w:bottom w:val="single" w:sz="4" w:space="0" w:color="auto"/>
              <w:right w:val="single" w:sz="4" w:space="0" w:color="auto"/>
            </w:tcBorders>
            <w:shd w:val="clear" w:color="000000" w:fill="C6EFCE"/>
            <w:noWrap/>
            <w:vAlign w:val="center"/>
          </w:tcPr>
          <w:p w14:paraId="058F14D3"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10-3.3. Tervishoiu vastupanuvõime, juurdepääsetavuse ja jätkusuutlikkuse parandamine – 16752_Tervise digitaalne ümberkujundamine (DigHealth)</w:t>
            </w:r>
          </w:p>
        </w:tc>
        <w:tc>
          <w:tcPr>
            <w:tcW w:w="1692" w:type="dxa"/>
            <w:tcBorders>
              <w:top w:val="nil"/>
              <w:left w:val="nil"/>
              <w:bottom w:val="single" w:sz="4" w:space="0" w:color="auto"/>
              <w:right w:val="single" w:sz="4" w:space="0" w:color="auto"/>
            </w:tcBorders>
            <w:shd w:val="clear" w:color="000000" w:fill="C6EFCE"/>
            <w:noWrap/>
            <w:vAlign w:val="center"/>
          </w:tcPr>
          <w:p w14:paraId="5D1E892A"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7780F808"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Tervishoiu digiüleminek riiklik digitaalne terviseregister (1. allprojekt) Aruanne, milles tõendatakse järgmiste peamiste elementide täitmist:</w:t>
            </w:r>
          </w:p>
        </w:tc>
      </w:tr>
      <w:tr w:rsidR="0058580E" w:rsidRPr="003B132A" w14:paraId="0DAED16B"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BB0BF2B"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175</w:t>
            </w:r>
          </w:p>
        </w:tc>
        <w:tc>
          <w:tcPr>
            <w:tcW w:w="4283" w:type="dxa"/>
            <w:tcBorders>
              <w:top w:val="nil"/>
              <w:left w:val="nil"/>
              <w:bottom w:val="single" w:sz="4" w:space="0" w:color="auto"/>
              <w:right w:val="single" w:sz="4" w:space="0" w:color="auto"/>
            </w:tcBorders>
            <w:shd w:val="clear" w:color="000000" w:fill="C6EFCE"/>
            <w:noWrap/>
            <w:vAlign w:val="center"/>
          </w:tcPr>
          <w:p w14:paraId="66A29BCD"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Parem juurdepääs tõhusale ja kaasavale sotsiaalpoliitikale – 16726 Sotsiaalhüvitiste optimeerimine</w:t>
            </w:r>
          </w:p>
        </w:tc>
        <w:tc>
          <w:tcPr>
            <w:tcW w:w="1692" w:type="dxa"/>
            <w:tcBorders>
              <w:top w:val="nil"/>
              <w:left w:val="nil"/>
              <w:bottom w:val="single" w:sz="4" w:space="0" w:color="auto"/>
              <w:right w:val="single" w:sz="4" w:space="0" w:color="auto"/>
            </w:tcBorders>
            <w:shd w:val="clear" w:color="000000" w:fill="C6EFCE"/>
            <w:noWrap/>
            <w:vAlign w:val="center"/>
          </w:tcPr>
          <w:p w14:paraId="073FF6BF"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3BE9A6BF" w14:textId="77777777" w:rsidR="0058580E" w:rsidRPr="00E02B5D" w:rsidRDefault="0058580E" w:rsidP="0058580E">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Sotsiaalhüvitised optimeerimine, ettemaksekaardid</w:t>
            </w:r>
          </w:p>
        </w:tc>
      </w:tr>
      <w:tr w:rsidR="007B759D" w:rsidRPr="003B132A" w14:paraId="7C3888F9"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6A4BC28" w14:textId="77777777" w:rsidR="007B759D" w:rsidRPr="00E02B5D" w:rsidRDefault="007B759D"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189</w:t>
            </w:r>
          </w:p>
        </w:tc>
        <w:tc>
          <w:tcPr>
            <w:tcW w:w="4283" w:type="dxa"/>
            <w:tcBorders>
              <w:top w:val="nil"/>
              <w:left w:val="nil"/>
              <w:bottom w:val="single" w:sz="4" w:space="0" w:color="auto"/>
              <w:right w:val="single" w:sz="4" w:space="0" w:color="auto"/>
            </w:tcBorders>
            <w:shd w:val="clear" w:color="000000" w:fill="C6EFCE"/>
            <w:noWrap/>
            <w:vAlign w:val="center"/>
          </w:tcPr>
          <w:p w14:paraId="78D30C8A" w14:textId="77777777" w:rsidR="007B759D" w:rsidRPr="00E02B5D" w:rsidRDefault="007B759D"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16614_Veebipõhised kassaaparaadid ja müügikohad (reform)</w:t>
            </w:r>
          </w:p>
        </w:tc>
        <w:tc>
          <w:tcPr>
            <w:tcW w:w="1692" w:type="dxa"/>
            <w:tcBorders>
              <w:top w:val="nil"/>
              <w:left w:val="nil"/>
              <w:bottom w:val="single" w:sz="4" w:space="0" w:color="auto"/>
              <w:right w:val="single" w:sz="4" w:space="0" w:color="auto"/>
            </w:tcBorders>
            <w:shd w:val="clear" w:color="000000" w:fill="C6EFCE"/>
            <w:noWrap/>
            <w:vAlign w:val="center"/>
          </w:tcPr>
          <w:p w14:paraId="53950B4F" w14:textId="77777777" w:rsidR="007B759D" w:rsidRPr="00E02B5D" w:rsidRDefault="007B759D"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926" w:type="dxa"/>
            <w:tcBorders>
              <w:top w:val="nil"/>
              <w:left w:val="nil"/>
              <w:bottom w:val="single" w:sz="4" w:space="0" w:color="auto"/>
              <w:right w:val="single" w:sz="4" w:space="0" w:color="auto"/>
            </w:tcBorders>
            <w:shd w:val="clear" w:color="000000" w:fill="C6EFCE"/>
            <w:noWrap/>
            <w:vAlign w:val="center"/>
          </w:tcPr>
          <w:p w14:paraId="17DFB53C" w14:textId="77777777" w:rsidR="007B759D" w:rsidRPr="00E02B5D" w:rsidRDefault="007B759D"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Riigitulude sõltumatu asutus: Internetipõhised kassaaparaadid ja müügikohad (POS) – kasutuselevõtt ja omavaheline ühendamine </w:t>
            </w:r>
          </w:p>
        </w:tc>
      </w:tr>
      <w:tr w:rsidR="007B759D" w:rsidRPr="003B132A" w14:paraId="7772A8A9"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FEBB1EB" w14:textId="77777777" w:rsidR="007B759D" w:rsidRPr="00E02B5D" w:rsidRDefault="007B759D"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204</w:t>
            </w:r>
          </w:p>
        </w:tc>
        <w:tc>
          <w:tcPr>
            <w:tcW w:w="4283" w:type="dxa"/>
            <w:tcBorders>
              <w:top w:val="nil"/>
              <w:left w:val="nil"/>
              <w:bottom w:val="single" w:sz="4" w:space="0" w:color="auto"/>
              <w:right w:val="single" w:sz="4" w:space="0" w:color="auto"/>
            </w:tcBorders>
            <w:shd w:val="clear" w:color="000000" w:fill="C6EFCE"/>
            <w:noWrap/>
            <w:vAlign w:val="center"/>
          </w:tcPr>
          <w:p w14:paraId="301548C8" w14:textId="77777777" w:rsidR="007B759D" w:rsidRPr="00E02B5D" w:rsidRDefault="007B759D"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16643_Kodifikatsioon ja maksualaste õigusaktide lihtsustamine</w:t>
            </w:r>
          </w:p>
        </w:tc>
        <w:tc>
          <w:tcPr>
            <w:tcW w:w="1692" w:type="dxa"/>
            <w:tcBorders>
              <w:top w:val="nil"/>
              <w:left w:val="nil"/>
              <w:bottom w:val="single" w:sz="4" w:space="0" w:color="auto"/>
              <w:right w:val="single" w:sz="4" w:space="0" w:color="auto"/>
            </w:tcBorders>
            <w:shd w:val="clear" w:color="000000" w:fill="C6EFCE"/>
            <w:noWrap/>
            <w:vAlign w:val="center"/>
          </w:tcPr>
          <w:p w14:paraId="3B95F447" w14:textId="77777777" w:rsidR="007B759D" w:rsidRPr="00E02B5D" w:rsidRDefault="007B759D"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02C9168C" w14:textId="77777777" w:rsidR="007B759D" w:rsidRPr="00E02B5D" w:rsidRDefault="007B759D"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Esialgse maksukodifikatsiooni ja maksumaksjate teabesüsteemi lõpuleviimine</w:t>
            </w:r>
          </w:p>
        </w:tc>
      </w:tr>
      <w:tr w:rsidR="007B759D" w:rsidRPr="003B132A" w14:paraId="3A7FC833"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4BD5742"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212</w:t>
            </w:r>
          </w:p>
        </w:tc>
        <w:tc>
          <w:tcPr>
            <w:tcW w:w="4283" w:type="dxa"/>
            <w:tcBorders>
              <w:top w:val="nil"/>
              <w:left w:val="nil"/>
              <w:bottom w:val="single" w:sz="4" w:space="0" w:color="auto"/>
              <w:right w:val="single" w:sz="4" w:space="0" w:color="auto"/>
            </w:tcBorders>
            <w:shd w:val="clear" w:color="000000" w:fill="C6EFCE"/>
            <w:noWrap/>
            <w:vAlign w:val="center"/>
          </w:tcPr>
          <w:p w14:paraId="6EC92CC1"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16702_Rahapesu ja terrorismi rahastamise tõkestamise raamistiku tõhustamine</w:t>
            </w:r>
          </w:p>
        </w:tc>
        <w:tc>
          <w:tcPr>
            <w:tcW w:w="1692" w:type="dxa"/>
            <w:tcBorders>
              <w:top w:val="nil"/>
              <w:left w:val="nil"/>
              <w:bottom w:val="single" w:sz="4" w:space="0" w:color="auto"/>
              <w:right w:val="single" w:sz="4" w:space="0" w:color="auto"/>
            </w:tcBorders>
            <w:shd w:val="clear" w:color="000000" w:fill="C6EFCE"/>
            <w:noWrap/>
            <w:vAlign w:val="center"/>
          </w:tcPr>
          <w:p w14:paraId="36C6E7A4"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07B15E6A"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Tõhustatud rahapesuvastane raamistik ja terrorismi rahastamise vastane võitlus</w:t>
            </w:r>
          </w:p>
        </w:tc>
      </w:tr>
      <w:tr w:rsidR="007B759D" w:rsidRPr="00AC4500" w14:paraId="2E1186EC"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3300F23" w14:textId="77777777" w:rsidR="007B759D" w:rsidRPr="00E02B5D" w:rsidRDefault="007B759D"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216</w:t>
            </w:r>
          </w:p>
        </w:tc>
        <w:tc>
          <w:tcPr>
            <w:tcW w:w="4283" w:type="dxa"/>
            <w:tcBorders>
              <w:top w:val="nil"/>
              <w:left w:val="nil"/>
              <w:bottom w:val="single" w:sz="4" w:space="0" w:color="auto"/>
              <w:right w:val="single" w:sz="4" w:space="0" w:color="auto"/>
            </w:tcBorders>
            <w:shd w:val="clear" w:color="000000" w:fill="C6EFCE"/>
            <w:noWrap/>
            <w:vAlign w:val="center"/>
          </w:tcPr>
          <w:p w14:paraId="75C19DE9" w14:textId="77777777" w:rsidR="007B759D" w:rsidRPr="00E02B5D" w:rsidRDefault="007B759D"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16711_Riigihangete valdkonna professionaalsemaks muutmine</w:t>
            </w:r>
          </w:p>
        </w:tc>
        <w:tc>
          <w:tcPr>
            <w:tcW w:w="1692" w:type="dxa"/>
            <w:tcBorders>
              <w:top w:val="nil"/>
              <w:left w:val="nil"/>
              <w:bottom w:val="single" w:sz="4" w:space="0" w:color="auto"/>
              <w:right w:val="single" w:sz="4" w:space="0" w:color="auto"/>
            </w:tcBorders>
            <w:shd w:val="clear" w:color="000000" w:fill="C6EFCE"/>
            <w:noWrap/>
            <w:vAlign w:val="center"/>
          </w:tcPr>
          <w:p w14:paraId="1FD3D893" w14:textId="77777777" w:rsidR="007B759D" w:rsidRPr="00E02B5D" w:rsidRDefault="007B759D"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1D284CA8" w14:textId="77777777" w:rsidR="007B759D" w:rsidRPr="00E02B5D" w:rsidRDefault="007B759D"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Riigihangete valdkonna professionaalsemaks muutmine – uued õigusaktid</w:t>
            </w:r>
          </w:p>
        </w:tc>
      </w:tr>
      <w:tr w:rsidR="007B759D" w:rsidRPr="00E02B5D" w14:paraId="4CDE055A"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171E6EB" w14:textId="77777777" w:rsidR="007B759D" w:rsidRPr="00E02B5D" w:rsidRDefault="007B759D" w:rsidP="007B759D">
            <w:pPr>
              <w:keepNext/>
              <w:spacing w:before="40" w:after="0" w:line="240" w:lineRule="auto"/>
              <w:jc w:val="both"/>
              <w:rPr>
                <w:rFonts w:ascii="Times New Roman" w:hAnsi="Times New Roman"/>
                <w:noProof/>
                <w:sz w:val="18"/>
              </w:rPr>
            </w:pPr>
            <w:r>
              <w:rPr>
                <w:rFonts w:ascii="Times New Roman" w:hAnsi="Times New Roman"/>
                <w:noProof/>
                <w:sz w:val="18"/>
              </w:rPr>
              <w:t>234</w:t>
            </w:r>
          </w:p>
        </w:tc>
        <w:tc>
          <w:tcPr>
            <w:tcW w:w="4283" w:type="dxa"/>
            <w:tcBorders>
              <w:top w:val="nil"/>
              <w:left w:val="nil"/>
              <w:bottom w:val="single" w:sz="4" w:space="0" w:color="auto"/>
              <w:right w:val="single" w:sz="4" w:space="0" w:color="auto"/>
            </w:tcBorders>
            <w:shd w:val="clear" w:color="000000" w:fill="C6EFCE"/>
            <w:noWrap/>
            <w:vAlign w:val="center"/>
          </w:tcPr>
          <w:p w14:paraId="39B4C7BF" w14:textId="77777777" w:rsidR="007B759D" w:rsidRPr="00E02B5D" w:rsidRDefault="007B759D" w:rsidP="007B759D">
            <w:pPr>
              <w:keepNext/>
              <w:spacing w:before="40" w:after="0" w:line="240" w:lineRule="auto"/>
              <w:jc w:val="both"/>
              <w:rPr>
                <w:rFonts w:ascii="Times New Roman" w:hAnsi="Times New Roman"/>
                <w:noProof/>
                <w:sz w:val="18"/>
              </w:rPr>
            </w:pPr>
            <w:r>
              <w:rPr>
                <w:rFonts w:ascii="Times New Roman" w:hAnsi="Times New Roman"/>
                <w:noProof/>
                <w:sz w:val="18"/>
              </w:rPr>
              <w:t>14-4.3. Kohtusüsteemi tõhususe parandamine – 16575 Õigusmõistmise kiirendamine</w:t>
            </w:r>
          </w:p>
        </w:tc>
        <w:tc>
          <w:tcPr>
            <w:tcW w:w="1692" w:type="dxa"/>
            <w:tcBorders>
              <w:top w:val="nil"/>
              <w:left w:val="nil"/>
              <w:bottom w:val="single" w:sz="4" w:space="0" w:color="auto"/>
              <w:right w:val="single" w:sz="4" w:space="0" w:color="auto"/>
            </w:tcBorders>
            <w:shd w:val="clear" w:color="000000" w:fill="C6EFCE"/>
            <w:noWrap/>
            <w:vAlign w:val="center"/>
          </w:tcPr>
          <w:p w14:paraId="675FC652" w14:textId="77777777" w:rsidR="007B759D" w:rsidRPr="00E02B5D" w:rsidRDefault="007B759D" w:rsidP="007B759D">
            <w:pPr>
              <w:keepNext/>
              <w:spacing w:before="40" w:after="0" w:line="240" w:lineRule="auto"/>
              <w:jc w:val="both"/>
              <w:rPr>
                <w:rFonts w:ascii="Times New Roman" w:hAnsi="Times New Roman"/>
                <w:noProof/>
                <w:sz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6048331F" w14:textId="77777777" w:rsidR="007B759D" w:rsidRPr="00E02B5D" w:rsidRDefault="007B759D" w:rsidP="007B759D">
            <w:pPr>
              <w:keepNext/>
              <w:spacing w:before="40" w:after="0" w:line="240" w:lineRule="auto"/>
              <w:jc w:val="both"/>
              <w:rPr>
                <w:rFonts w:ascii="Times New Roman" w:hAnsi="Times New Roman"/>
                <w:noProof/>
                <w:sz w:val="18"/>
              </w:rPr>
            </w:pPr>
            <w:r>
              <w:rPr>
                <w:rFonts w:ascii="Times New Roman" w:hAnsi="Times New Roman"/>
                <w:noProof/>
                <w:sz w:val="18"/>
              </w:rPr>
              <w:t>Õiguskaitsepolitsei operatiivtegevus</w:t>
            </w:r>
          </w:p>
        </w:tc>
      </w:tr>
      <w:tr w:rsidR="007B759D" w:rsidRPr="00AC4500" w14:paraId="6D567FE6"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tcPr>
          <w:p w14:paraId="7C802668"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244a</w:t>
            </w:r>
          </w:p>
        </w:tc>
        <w:tc>
          <w:tcPr>
            <w:tcW w:w="4283" w:type="dxa"/>
            <w:tcBorders>
              <w:top w:val="nil"/>
              <w:left w:val="nil"/>
              <w:bottom w:val="single" w:sz="4" w:space="0" w:color="auto"/>
              <w:right w:val="single" w:sz="4" w:space="0" w:color="auto"/>
            </w:tcBorders>
            <w:shd w:val="clear" w:color="000000" w:fill="C6EFCE"/>
            <w:noWrap/>
          </w:tcPr>
          <w:p w14:paraId="5B4E6661" w14:textId="2E680D8D"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15-4.4. Finantssektori ja kapitaliturgude tugevdamine – 16957_Finantssüsteemi suutlikkuse suurendamine, et tulla toime varasemate väljakutsetega ja rahastada reaalmajandust</w:t>
            </w:r>
          </w:p>
        </w:tc>
        <w:tc>
          <w:tcPr>
            <w:tcW w:w="1692" w:type="dxa"/>
            <w:tcBorders>
              <w:top w:val="nil"/>
              <w:left w:val="nil"/>
              <w:bottom w:val="single" w:sz="4" w:space="0" w:color="auto"/>
              <w:right w:val="single" w:sz="4" w:space="0" w:color="auto"/>
            </w:tcBorders>
            <w:shd w:val="clear" w:color="000000" w:fill="C6EFCE"/>
            <w:noWrap/>
          </w:tcPr>
          <w:p w14:paraId="69BA8827"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tcPr>
          <w:p w14:paraId="3406361B"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E-oksjonid võlgade sissenõudmiseks</w:t>
            </w:r>
          </w:p>
        </w:tc>
      </w:tr>
      <w:tr w:rsidR="007B759D" w:rsidRPr="003B132A" w14:paraId="1C026C1B"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A758F72"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244b</w:t>
            </w:r>
          </w:p>
        </w:tc>
        <w:tc>
          <w:tcPr>
            <w:tcW w:w="4283" w:type="dxa"/>
            <w:tcBorders>
              <w:top w:val="nil"/>
              <w:left w:val="nil"/>
              <w:bottom w:val="single" w:sz="4" w:space="0" w:color="auto"/>
              <w:right w:val="single" w:sz="4" w:space="0" w:color="auto"/>
            </w:tcBorders>
            <w:shd w:val="clear" w:color="000000" w:fill="C6EFCE"/>
            <w:noWrap/>
          </w:tcPr>
          <w:p w14:paraId="7B0CC9AC" w14:textId="761FB98B"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15-4.4. Finantssektori ja kapitaliturgude tugevdamine – 16957_Finantssüsteemi suutlikkuse suurendamine, et tulla toime varasemate väljakutsetega ja rahastada reaalmajandust</w:t>
            </w:r>
          </w:p>
        </w:tc>
        <w:tc>
          <w:tcPr>
            <w:tcW w:w="1692" w:type="dxa"/>
            <w:tcBorders>
              <w:top w:val="nil"/>
              <w:left w:val="nil"/>
              <w:bottom w:val="single" w:sz="4" w:space="0" w:color="auto"/>
              <w:right w:val="single" w:sz="4" w:space="0" w:color="auto"/>
            </w:tcBorders>
            <w:shd w:val="clear" w:color="000000" w:fill="C6EFCE"/>
            <w:noWrap/>
          </w:tcPr>
          <w:p w14:paraId="34A1D3B4"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tcPr>
          <w:p w14:paraId="3F4382EC"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Lepingute sõlmimine finantssektori meetmete jaoks </w:t>
            </w:r>
          </w:p>
        </w:tc>
      </w:tr>
      <w:tr w:rsidR="007B759D" w:rsidRPr="003B132A" w14:paraId="76C7F9EC"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3FA0F84"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247</w:t>
            </w:r>
          </w:p>
        </w:tc>
        <w:tc>
          <w:tcPr>
            <w:tcW w:w="4283" w:type="dxa"/>
            <w:tcBorders>
              <w:top w:val="nil"/>
              <w:left w:val="nil"/>
              <w:bottom w:val="single" w:sz="4" w:space="0" w:color="auto"/>
              <w:right w:val="single" w:sz="4" w:space="0" w:color="auto"/>
            </w:tcBorders>
            <w:shd w:val="clear" w:color="000000" w:fill="C6EFCE"/>
            <w:noWrap/>
            <w:vAlign w:val="center"/>
          </w:tcPr>
          <w:p w14:paraId="4B320E46"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16-4.5. Teadusuuringute ja innovatsiooni edendamine – 16624_Creation – Laiendamine – Teadusuuringute ja innovatsiooni peasekretariaadi (GSRI) järelevalve all olevate uurimiskeskuste infrastruktuuride ajakohastamine</w:t>
            </w:r>
          </w:p>
        </w:tc>
        <w:tc>
          <w:tcPr>
            <w:tcW w:w="1692" w:type="dxa"/>
            <w:tcBorders>
              <w:top w:val="nil"/>
              <w:left w:val="nil"/>
              <w:bottom w:val="single" w:sz="4" w:space="0" w:color="auto"/>
              <w:right w:val="single" w:sz="4" w:space="0" w:color="auto"/>
            </w:tcBorders>
            <w:shd w:val="clear" w:color="000000" w:fill="C6EFCE"/>
            <w:noWrap/>
            <w:vAlign w:val="center"/>
          </w:tcPr>
          <w:p w14:paraId="5A5A6CAB"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5A07C2C6"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Uurimiskeskuste lepingud – ehitustööd</w:t>
            </w:r>
          </w:p>
        </w:tc>
      </w:tr>
      <w:tr w:rsidR="007B759D" w:rsidRPr="003B132A" w14:paraId="705C71B8"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0CBC453"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248</w:t>
            </w:r>
          </w:p>
        </w:tc>
        <w:tc>
          <w:tcPr>
            <w:tcW w:w="4283" w:type="dxa"/>
            <w:tcBorders>
              <w:top w:val="nil"/>
              <w:left w:val="nil"/>
              <w:bottom w:val="single" w:sz="4" w:space="0" w:color="auto"/>
              <w:right w:val="single" w:sz="4" w:space="0" w:color="auto"/>
            </w:tcBorders>
            <w:shd w:val="clear" w:color="000000" w:fill="C6EFCE"/>
            <w:noWrap/>
            <w:vAlign w:val="center"/>
          </w:tcPr>
          <w:p w14:paraId="54378C14"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16-4.5. Teadusuuringute ja innovatsiooni edendamine – 16654_TH 2 ORAX: Tellis Holistic &amp; Hübriidne töökindel autonoomne eeskujusüsteem</w:t>
            </w:r>
          </w:p>
        </w:tc>
        <w:tc>
          <w:tcPr>
            <w:tcW w:w="1692" w:type="dxa"/>
            <w:tcBorders>
              <w:top w:val="nil"/>
              <w:left w:val="nil"/>
              <w:bottom w:val="single" w:sz="4" w:space="0" w:color="auto"/>
              <w:right w:val="single" w:sz="4" w:space="0" w:color="auto"/>
            </w:tcBorders>
            <w:shd w:val="clear" w:color="000000" w:fill="C6EFCE"/>
            <w:noWrap/>
            <w:vAlign w:val="center"/>
          </w:tcPr>
          <w:p w14:paraId="7205B2B4"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5FA5A29E"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TH²ORAXi hankelepingud</w:t>
            </w:r>
          </w:p>
        </w:tc>
      </w:tr>
      <w:tr w:rsidR="007B759D" w:rsidRPr="003B132A" w14:paraId="0D3AE64E"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5839662"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255</w:t>
            </w:r>
          </w:p>
        </w:tc>
        <w:tc>
          <w:tcPr>
            <w:tcW w:w="4283" w:type="dxa"/>
            <w:tcBorders>
              <w:top w:val="nil"/>
              <w:left w:val="nil"/>
              <w:bottom w:val="single" w:sz="4" w:space="0" w:color="auto"/>
              <w:right w:val="single" w:sz="4" w:space="0" w:color="auto"/>
            </w:tcBorders>
            <w:shd w:val="clear" w:color="000000" w:fill="C6EFCE"/>
            <w:noWrap/>
            <w:vAlign w:val="center"/>
          </w:tcPr>
          <w:p w14:paraId="442CEEDD"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16628_Kesk-Kreeka kiirtee E-65: Trikala – Egnatia</w:t>
            </w:r>
          </w:p>
        </w:tc>
        <w:tc>
          <w:tcPr>
            <w:tcW w:w="1692" w:type="dxa"/>
            <w:tcBorders>
              <w:top w:val="nil"/>
              <w:left w:val="nil"/>
              <w:bottom w:val="single" w:sz="4" w:space="0" w:color="auto"/>
              <w:right w:val="single" w:sz="4" w:space="0" w:color="auto"/>
            </w:tcBorders>
            <w:shd w:val="clear" w:color="000000" w:fill="C6EFCE"/>
            <w:noWrap/>
            <w:vAlign w:val="center"/>
          </w:tcPr>
          <w:p w14:paraId="0AD47625"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13C52576"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E-65 tööd – esimene ehitusetapp</w:t>
            </w:r>
          </w:p>
        </w:tc>
      </w:tr>
      <w:tr w:rsidR="007B759D" w:rsidRPr="003B132A" w14:paraId="5AE65CCD"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7A1E7EC" w14:textId="77777777" w:rsidR="007B759D" w:rsidRPr="00E02B5D" w:rsidRDefault="007B759D"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258</w:t>
            </w:r>
          </w:p>
        </w:tc>
        <w:tc>
          <w:tcPr>
            <w:tcW w:w="4283" w:type="dxa"/>
            <w:tcBorders>
              <w:top w:val="nil"/>
              <w:left w:val="nil"/>
              <w:bottom w:val="single" w:sz="4" w:space="0" w:color="auto"/>
              <w:right w:val="single" w:sz="4" w:space="0" w:color="auto"/>
            </w:tcBorders>
            <w:shd w:val="clear" w:color="000000" w:fill="C6EFCE"/>
            <w:noWrap/>
            <w:vAlign w:val="center"/>
          </w:tcPr>
          <w:p w14:paraId="094B1B4F" w14:textId="77777777" w:rsidR="007B759D" w:rsidRPr="00E02B5D" w:rsidRDefault="007B759D"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16631_Maanteeohutuse suurendamine</w:t>
            </w:r>
          </w:p>
        </w:tc>
        <w:tc>
          <w:tcPr>
            <w:tcW w:w="1692" w:type="dxa"/>
            <w:tcBorders>
              <w:top w:val="nil"/>
              <w:left w:val="nil"/>
              <w:bottom w:val="single" w:sz="4" w:space="0" w:color="auto"/>
              <w:right w:val="single" w:sz="4" w:space="0" w:color="auto"/>
            </w:tcBorders>
            <w:shd w:val="clear" w:color="000000" w:fill="C6EFCE"/>
            <w:noWrap/>
            <w:vAlign w:val="center"/>
          </w:tcPr>
          <w:p w14:paraId="21635F9F" w14:textId="77777777" w:rsidR="007B759D" w:rsidRPr="00E02B5D" w:rsidRDefault="007B759D"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7C5819E5" w14:textId="77777777" w:rsidR="007B759D" w:rsidRPr="00E02B5D" w:rsidRDefault="007B759D"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Liiklusohutusega seotud lepingute sõlmimine – kõik lepingud</w:t>
            </w:r>
          </w:p>
        </w:tc>
      </w:tr>
      <w:tr w:rsidR="007B759D" w:rsidRPr="003B132A" w14:paraId="49004FDA"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28312FE"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268</w:t>
            </w:r>
          </w:p>
        </w:tc>
        <w:tc>
          <w:tcPr>
            <w:tcW w:w="4283" w:type="dxa"/>
            <w:tcBorders>
              <w:top w:val="nil"/>
              <w:left w:val="nil"/>
              <w:bottom w:val="single" w:sz="4" w:space="0" w:color="auto"/>
              <w:right w:val="single" w:sz="4" w:space="0" w:color="auto"/>
            </w:tcBorders>
            <w:shd w:val="clear" w:color="000000" w:fill="C6EFCE"/>
            <w:noWrap/>
            <w:vAlign w:val="center"/>
          </w:tcPr>
          <w:p w14:paraId="097C710B"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16982_Raudteesektori organisatsioonireform</w:t>
            </w:r>
          </w:p>
        </w:tc>
        <w:tc>
          <w:tcPr>
            <w:tcW w:w="1692" w:type="dxa"/>
            <w:tcBorders>
              <w:top w:val="nil"/>
              <w:left w:val="nil"/>
              <w:bottom w:val="single" w:sz="4" w:space="0" w:color="auto"/>
              <w:right w:val="single" w:sz="4" w:space="0" w:color="auto"/>
            </w:tcBorders>
            <w:shd w:val="clear" w:color="000000" w:fill="C6EFCE"/>
            <w:noWrap/>
            <w:vAlign w:val="center"/>
          </w:tcPr>
          <w:p w14:paraId="06097383"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33A12B21"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Uus OSE-kava ja õigusakti eelnõu</w:t>
            </w:r>
          </w:p>
        </w:tc>
      </w:tr>
      <w:tr w:rsidR="007B759D" w:rsidRPr="003B132A" w14:paraId="617C7506"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C04473F"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293</w:t>
            </w:r>
          </w:p>
        </w:tc>
        <w:tc>
          <w:tcPr>
            <w:tcW w:w="4283" w:type="dxa"/>
            <w:tcBorders>
              <w:top w:val="nil"/>
              <w:left w:val="nil"/>
              <w:bottom w:val="single" w:sz="4" w:space="0" w:color="auto"/>
              <w:right w:val="single" w:sz="4" w:space="0" w:color="auto"/>
            </w:tcBorders>
            <w:shd w:val="clear" w:color="000000" w:fill="C6EFCE"/>
            <w:noWrap/>
            <w:vAlign w:val="center"/>
          </w:tcPr>
          <w:p w14:paraId="3B2E08B0"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16975_Piirkondlike sadamate ajakohastamine</w:t>
            </w:r>
          </w:p>
        </w:tc>
        <w:tc>
          <w:tcPr>
            <w:tcW w:w="1692" w:type="dxa"/>
            <w:tcBorders>
              <w:top w:val="nil"/>
              <w:left w:val="nil"/>
              <w:bottom w:val="single" w:sz="4" w:space="0" w:color="auto"/>
              <w:right w:val="single" w:sz="4" w:space="0" w:color="auto"/>
            </w:tcBorders>
            <w:shd w:val="clear" w:color="000000" w:fill="C6EFCE"/>
            <w:noWrap/>
            <w:vAlign w:val="center"/>
          </w:tcPr>
          <w:p w14:paraId="701028BE"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1926" w:type="dxa"/>
            <w:tcBorders>
              <w:top w:val="nil"/>
              <w:left w:val="nil"/>
              <w:bottom w:val="single" w:sz="4" w:space="0" w:color="auto"/>
              <w:right w:val="single" w:sz="4" w:space="0" w:color="auto"/>
            </w:tcBorders>
            <w:shd w:val="clear" w:color="000000" w:fill="C6EFCE"/>
            <w:noWrap/>
            <w:vAlign w:val="center"/>
          </w:tcPr>
          <w:p w14:paraId="36F7F4F0"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Piirkondlike sadamauuendustega seotud lepingud</w:t>
            </w:r>
          </w:p>
        </w:tc>
      </w:tr>
      <w:tr w:rsidR="007B759D" w:rsidRPr="003B132A" w14:paraId="438DDA60"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EA25F36"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295</w:t>
            </w:r>
          </w:p>
        </w:tc>
        <w:tc>
          <w:tcPr>
            <w:tcW w:w="4283" w:type="dxa"/>
            <w:tcBorders>
              <w:top w:val="nil"/>
              <w:left w:val="nil"/>
              <w:bottom w:val="single" w:sz="4" w:space="0" w:color="auto"/>
              <w:right w:val="single" w:sz="4" w:space="0" w:color="auto"/>
            </w:tcBorders>
            <w:shd w:val="clear" w:color="000000" w:fill="C6EFCE"/>
            <w:noWrap/>
            <w:vAlign w:val="center"/>
          </w:tcPr>
          <w:p w14:paraId="362B9A5F"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16931_Turismi arendamine</w:t>
            </w:r>
          </w:p>
        </w:tc>
        <w:tc>
          <w:tcPr>
            <w:tcW w:w="1692" w:type="dxa"/>
            <w:tcBorders>
              <w:top w:val="nil"/>
              <w:left w:val="nil"/>
              <w:bottom w:val="single" w:sz="4" w:space="0" w:color="auto"/>
              <w:right w:val="single" w:sz="4" w:space="0" w:color="auto"/>
            </w:tcBorders>
            <w:shd w:val="clear" w:color="000000" w:fill="C6EFCE"/>
            <w:noWrap/>
            <w:vAlign w:val="center"/>
          </w:tcPr>
          <w:p w14:paraId="41CDFCD0"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16688A49"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Turismi arendamine: turismisadamate lepingud</w:t>
            </w:r>
          </w:p>
        </w:tc>
      </w:tr>
      <w:tr w:rsidR="007B759D" w:rsidRPr="003B132A" w14:paraId="43FC9CA1"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33FF7622" w14:textId="77777777" w:rsidR="007B759D" w:rsidRPr="00E02B5D" w:rsidDel="00A924BB"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304</w:t>
            </w:r>
          </w:p>
        </w:tc>
        <w:tc>
          <w:tcPr>
            <w:tcW w:w="4283" w:type="dxa"/>
            <w:tcBorders>
              <w:top w:val="nil"/>
              <w:left w:val="nil"/>
              <w:bottom w:val="single" w:sz="4" w:space="0" w:color="auto"/>
              <w:right w:val="single" w:sz="4" w:space="0" w:color="auto"/>
            </w:tcBorders>
            <w:shd w:val="clear" w:color="000000" w:fill="C6EFCE"/>
            <w:noWrap/>
            <w:vAlign w:val="center"/>
          </w:tcPr>
          <w:p w14:paraId="6A63C759" w14:textId="77777777" w:rsidR="007B759D" w:rsidRPr="00E02B5D" w:rsidDel="00A924BB"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16634_Uued tööstuspargid</w:t>
            </w:r>
          </w:p>
        </w:tc>
        <w:tc>
          <w:tcPr>
            <w:tcW w:w="1692" w:type="dxa"/>
            <w:tcBorders>
              <w:top w:val="nil"/>
              <w:left w:val="nil"/>
              <w:bottom w:val="single" w:sz="4" w:space="0" w:color="auto"/>
              <w:right w:val="single" w:sz="4" w:space="0" w:color="auto"/>
            </w:tcBorders>
            <w:shd w:val="clear" w:color="000000" w:fill="C6EFCE"/>
            <w:noWrap/>
            <w:vAlign w:val="center"/>
          </w:tcPr>
          <w:p w14:paraId="10E388BC" w14:textId="77777777" w:rsidR="007B759D" w:rsidRPr="00E02B5D" w:rsidDel="00A924BB"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04016141" w14:textId="77777777" w:rsidR="007B759D" w:rsidRPr="00E02B5D" w:rsidDel="00A924BB"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Tööstuspargid – seadusandlik reform (teisesed õigusaktid)</w:t>
            </w:r>
          </w:p>
        </w:tc>
      </w:tr>
      <w:tr w:rsidR="007B759D" w:rsidRPr="00E02B5D" w14:paraId="23B11F19"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D11B829"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312</w:t>
            </w:r>
          </w:p>
        </w:tc>
        <w:tc>
          <w:tcPr>
            <w:tcW w:w="4283" w:type="dxa"/>
            <w:tcBorders>
              <w:top w:val="nil"/>
              <w:left w:val="nil"/>
              <w:bottom w:val="single" w:sz="4" w:space="0" w:color="auto"/>
              <w:right w:val="single" w:sz="4" w:space="0" w:color="auto"/>
            </w:tcBorders>
            <w:shd w:val="clear" w:color="000000" w:fill="C6EFCE"/>
            <w:noWrap/>
            <w:vAlign w:val="center"/>
          </w:tcPr>
          <w:p w14:paraId="3BD2D769"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4-1.4. Ressursside säästev kasutamine, kliimamuutustele vastupanu võime ja keskkonnakaitse – 16285_Investeeringud riiklikku niisutusvõrku avaliku ja erasektori partnerluse kavade kaudu</w:t>
            </w:r>
          </w:p>
        </w:tc>
        <w:tc>
          <w:tcPr>
            <w:tcW w:w="1692" w:type="dxa"/>
            <w:tcBorders>
              <w:top w:val="nil"/>
              <w:left w:val="nil"/>
              <w:bottom w:val="single" w:sz="4" w:space="0" w:color="auto"/>
              <w:right w:val="single" w:sz="4" w:space="0" w:color="auto"/>
            </w:tcBorders>
            <w:shd w:val="clear" w:color="000000" w:fill="C6EFCE"/>
            <w:noWrap/>
            <w:vAlign w:val="center"/>
          </w:tcPr>
          <w:p w14:paraId="229E9ACF"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39A5AB80"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Niisutusprojektide lepingud sõlmitud</w:t>
            </w:r>
          </w:p>
        </w:tc>
      </w:tr>
      <w:tr w:rsidR="007B759D" w:rsidRPr="003B132A" w14:paraId="397284D7"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D02D480"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317</w:t>
            </w:r>
          </w:p>
        </w:tc>
        <w:tc>
          <w:tcPr>
            <w:tcW w:w="4283" w:type="dxa"/>
            <w:tcBorders>
              <w:top w:val="nil"/>
              <w:left w:val="nil"/>
              <w:bottom w:val="single" w:sz="4" w:space="0" w:color="auto"/>
              <w:right w:val="single" w:sz="4" w:space="0" w:color="auto"/>
            </w:tcBorders>
            <w:shd w:val="clear" w:color="000000" w:fill="C6EFCE"/>
            <w:noWrap/>
            <w:vAlign w:val="center"/>
          </w:tcPr>
          <w:p w14:paraId="509F2B35"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18-4.7. Parandada konkurentsivõimet ning edendada erainvesteeringuid ja eksporti – 16543_Meetmed ettevõtluskeskkonna lihtsustamiseks ning selle kvaliteedi ja ohutuse parandamiseks</w:t>
            </w:r>
          </w:p>
        </w:tc>
        <w:tc>
          <w:tcPr>
            <w:tcW w:w="1692" w:type="dxa"/>
            <w:tcBorders>
              <w:top w:val="nil"/>
              <w:left w:val="nil"/>
              <w:bottom w:val="single" w:sz="4" w:space="0" w:color="auto"/>
              <w:right w:val="single" w:sz="4" w:space="0" w:color="auto"/>
            </w:tcBorders>
            <w:shd w:val="clear" w:color="000000" w:fill="C6EFCE"/>
            <w:noWrap/>
            <w:vAlign w:val="center"/>
          </w:tcPr>
          <w:p w14:paraId="05498200"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700CE322" w14:textId="77777777" w:rsidR="007B759D" w:rsidRPr="00E02B5D" w:rsidRDefault="007B759D"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Kvaliteedipoliitika ja uue reguleeriva raamistiku kehtestamine kvaliteetse infrastruktuuri jaoks </w:t>
            </w:r>
          </w:p>
        </w:tc>
      </w:tr>
      <w:tr w:rsidR="007B759D" w:rsidRPr="003B132A" w14:paraId="39C897A0" w14:textId="77777777" w:rsidTr="004E35AC">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95EFEC0" w14:textId="77777777" w:rsidR="007B759D" w:rsidRPr="00E02B5D" w:rsidRDefault="007B759D"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318</w:t>
            </w:r>
          </w:p>
        </w:tc>
        <w:tc>
          <w:tcPr>
            <w:tcW w:w="4283" w:type="dxa"/>
            <w:tcBorders>
              <w:top w:val="nil"/>
              <w:left w:val="nil"/>
              <w:bottom w:val="single" w:sz="4" w:space="0" w:color="auto"/>
              <w:right w:val="single" w:sz="4" w:space="0" w:color="auto"/>
            </w:tcBorders>
            <w:shd w:val="clear" w:color="000000" w:fill="C6EFCE"/>
            <w:noWrap/>
            <w:vAlign w:val="center"/>
          </w:tcPr>
          <w:p w14:paraId="4C5FF300" w14:textId="77777777" w:rsidR="007B759D" w:rsidRPr="00E02B5D" w:rsidRDefault="007B759D"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18-4.7. Konkurentsivõime parandamine ning erainvesteeringute ja ekspordi edendamine – 16591_Ettevõtluse lihtsus</w:t>
            </w:r>
          </w:p>
        </w:tc>
        <w:tc>
          <w:tcPr>
            <w:tcW w:w="1692" w:type="dxa"/>
            <w:tcBorders>
              <w:top w:val="nil"/>
              <w:left w:val="nil"/>
              <w:bottom w:val="single" w:sz="4" w:space="0" w:color="auto"/>
              <w:right w:val="single" w:sz="4" w:space="0" w:color="auto"/>
            </w:tcBorders>
            <w:shd w:val="clear" w:color="000000" w:fill="C6EFCE"/>
            <w:noWrap/>
            <w:vAlign w:val="center"/>
          </w:tcPr>
          <w:p w14:paraId="17FA2C88" w14:textId="77777777" w:rsidR="007B759D" w:rsidRPr="00E02B5D" w:rsidRDefault="007B759D"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nil"/>
              <w:left w:val="nil"/>
              <w:bottom w:val="single" w:sz="4" w:space="0" w:color="auto"/>
              <w:right w:val="single" w:sz="4" w:space="0" w:color="auto"/>
            </w:tcBorders>
            <w:shd w:val="clear" w:color="000000" w:fill="C6EFCE"/>
            <w:noWrap/>
            <w:vAlign w:val="center"/>
          </w:tcPr>
          <w:p w14:paraId="738B159A" w14:textId="77777777" w:rsidR="007B759D" w:rsidRPr="00E02B5D" w:rsidRDefault="007B759D"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Ettevõtluskeskkonna parandamine – äritegevuse lihtsustamine</w:t>
            </w:r>
          </w:p>
        </w:tc>
      </w:tr>
      <w:tr w:rsidR="007B759D" w:rsidRPr="003B132A" w14:paraId="20456F6B"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5F6DB781"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335</w:t>
            </w:r>
          </w:p>
        </w:tc>
        <w:tc>
          <w:tcPr>
            <w:tcW w:w="4283" w:type="dxa"/>
            <w:tcBorders>
              <w:top w:val="single" w:sz="4" w:space="0" w:color="auto"/>
              <w:left w:val="nil"/>
              <w:bottom w:val="single" w:sz="4" w:space="0" w:color="auto"/>
              <w:right w:val="single" w:sz="4" w:space="0" w:color="auto"/>
            </w:tcBorders>
            <w:shd w:val="clear" w:color="auto" w:fill="C6EFCE"/>
            <w:noWrap/>
          </w:tcPr>
          <w:p w14:paraId="0F25BCAA"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10-3.3. Parandada tervishoiu vastupanuvõimet, kättesaadavust ja jätkusuutlikkust – 16984_Üldarstide refrom</w:t>
            </w:r>
          </w:p>
        </w:tc>
        <w:tc>
          <w:tcPr>
            <w:tcW w:w="1692" w:type="dxa"/>
            <w:tcBorders>
              <w:top w:val="single" w:sz="4" w:space="0" w:color="auto"/>
              <w:left w:val="nil"/>
              <w:bottom w:val="single" w:sz="4" w:space="0" w:color="auto"/>
              <w:right w:val="single" w:sz="4" w:space="0" w:color="auto"/>
            </w:tcBorders>
            <w:shd w:val="clear" w:color="auto" w:fill="C6EFCE"/>
            <w:noWrap/>
          </w:tcPr>
          <w:p w14:paraId="35C36F58"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2593558B"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Üldarstide refrom – õigusaktide jõustumine</w:t>
            </w:r>
          </w:p>
        </w:tc>
      </w:tr>
      <w:tr w:rsidR="007B759D" w:rsidRPr="003B132A" w14:paraId="1B4D798E"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22D01F02"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339</w:t>
            </w:r>
          </w:p>
        </w:tc>
        <w:tc>
          <w:tcPr>
            <w:tcW w:w="4283" w:type="dxa"/>
            <w:tcBorders>
              <w:top w:val="single" w:sz="4" w:space="0" w:color="auto"/>
              <w:left w:val="nil"/>
              <w:bottom w:val="single" w:sz="4" w:space="0" w:color="auto"/>
              <w:right w:val="single" w:sz="4" w:space="0" w:color="auto"/>
            </w:tcBorders>
            <w:shd w:val="clear" w:color="auto" w:fill="C6EFCE"/>
            <w:noWrap/>
          </w:tcPr>
          <w:p w14:paraId="25425FFA"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16985_Kreeka maksupoliitika raamistiku muutmine</w:t>
            </w:r>
          </w:p>
        </w:tc>
        <w:tc>
          <w:tcPr>
            <w:tcW w:w="1692" w:type="dxa"/>
            <w:tcBorders>
              <w:top w:val="single" w:sz="4" w:space="0" w:color="auto"/>
              <w:left w:val="nil"/>
              <w:bottom w:val="single" w:sz="4" w:space="0" w:color="auto"/>
              <w:right w:val="single" w:sz="4" w:space="0" w:color="auto"/>
            </w:tcBorders>
            <w:shd w:val="clear" w:color="auto" w:fill="C6EFCE"/>
            <w:noWrap/>
          </w:tcPr>
          <w:p w14:paraId="7E68C1E6"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13E38AB8"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Tugevdada avaliku sektori tulude sõltumatu asutuse (IAPR) tegevusautonoomiat</w:t>
            </w:r>
          </w:p>
        </w:tc>
      </w:tr>
      <w:tr w:rsidR="007B759D" w:rsidRPr="00E02B5D" w14:paraId="42439D24"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063D05B8"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342</w:t>
            </w:r>
          </w:p>
        </w:tc>
        <w:tc>
          <w:tcPr>
            <w:tcW w:w="4283" w:type="dxa"/>
            <w:tcBorders>
              <w:top w:val="single" w:sz="4" w:space="0" w:color="auto"/>
              <w:left w:val="nil"/>
              <w:bottom w:val="single" w:sz="4" w:space="0" w:color="auto"/>
              <w:right w:val="single" w:sz="4" w:space="0" w:color="auto"/>
            </w:tcBorders>
            <w:shd w:val="clear" w:color="auto" w:fill="C6EFCE"/>
            <w:noWrap/>
          </w:tcPr>
          <w:p w14:paraId="6E11221B"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16986_Riikliku katastri lõpuleviimine</w:t>
            </w:r>
          </w:p>
        </w:tc>
        <w:tc>
          <w:tcPr>
            <w:tcW w:w="1692" w:type="dxa"/>
            <w:tcBorders>
              <w:top w:val="single" w:sz="4" w:space="0" w:color="auto"/>
              <w:left w:val="nil"/>
              <w:bottom w:val="single" w:sz="4" w:space="0" w:color="auto"/>
              <w:right w:val="single" w:sz="4" w:space="0" w:color="auto"/>
            </w:tcBorders>
            <w:shd w:val="clear" w:color="auto" w:fill="C6EFCE"/>
            <w:noWrap/>
          </w:tcPr>
          <w:p w14:paraId="225663D7"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926" w:type="dxa"/>
            <w:tcBorders>
              <w:top w:val="single" w:sz="4" w:space="0" w:color="auto"/>
              <w:left w:val="nil"/>
              <w:bottom w:val="single" w:sz="4" w:space="0" w:color="auto"/>
              <w:right w:val="single" w:sz="4" w:space="0" w:color="auto"/>
            </w:tcBorders>
            <w:shd w:val="clear" w:color="auto" w:fill="C6EFCE"/>
            <w:noWrap/>
          </w:tcPr>
          <w:p w14:paraId="6740F6A9"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Katastri kaardistamine – 95 % lõpetatud</w:t>
            </w:r>
          </w:p>
        </w:tc>
      </w:tr>
      <w:tr w:rsidR="007B759D" w:rsidRPr="003B132A" w14:paraId="46646231"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36F04F90"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343</w:t>
            </w:r>
          </w:p>
        </w:tc>
        <w:tc>
          <w:tcPr>
            <w:tcW w:w="4283" w:type="dxa"/>
            <w:tcBorders>
              <w:top w:val="single" w:sz="4" w:space="0" w:color="auto"/>
              <w:left w:val="nil"/>
              <w:bottom w:val="single" w:sz="4" w:space="0" w:color="auto"/>
              <w:right w:val="single" w:sz="4" w:space="0" w:color="auto"/>
            </w:tcBorders>
            <w:shd w:val="clear" w:color="auto" w:fill="C6EFCE"/>
            <w:noWrap/>
          </w:tcPr>
          <w:p w14:paraId="3C2906DA"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16986_Riikliku katastri lõpuleviimine</w:t>
            </w:r>
          </w:p>
        </w:tc>
        <w:tc>
          <w:tcPr>
            <w:tcW w:w="1692" w:type="dxa"/>
            <w:tcBorders>
              <w:top w:val="single" w:sz="4" w:space="0" w:color="auto"/>
              <w:left w:val="nil"/>
              <w:bottom w:val="single" w:sz="4" w:space="0" w:color="auto"/>
              <w:right w:val="single" w:sz="4" w:space="0" w:color="auto"/>
            </w:tcBorders>
            <w:shd w:val="clear" w:color="auto" w:fill="C6EFCE"/>
            <w:noWrap/>
          </w:tcPr>
          <w:p w14:paraId="0CF8B43D"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3C272FDF"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Üleminek Kreeka katastri uuele organisatsioonilisele struktuurile – kahe kontori avamine</w:t>
            </w:r>
          </w:p>
        </w:tc>
      </w:tr>
      <w:tr w:rsidR="007B759D" w:rsidRPr="003B132A" w14:paraId="501732A8"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417C606"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347</w:t>
            </w: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6F148DF2"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4.6. Peamiste majandussektorite ajakohastamine ja vastupanuvõime parandamine – 16999_Juurdepääsetavuse taastamine pärast tormi „DANIEL“ laastavat mõju</w:t>
            </w: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02967ED8"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vAlign w:val="bottom"/>
          </w:tcPr>
          <w:p w14:paraId="628CD6BE"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Allkirjastatud teede taastamise projektide lepingud</w:t>
            </w:r>
          </w:p>
        </w:tc>
      </w:tr>
      <w:tr w:rsidR="007B759D" w:rsidRPr="003B132A" w14:paraId="055EC26F"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4FF3CA3"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348</w:t>
            </w: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6EC5F860"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4.6. Peamiste majandussektorite ajakohastamine ja vastupanuvõime parandamine – 16999_Juurdepääsetavuse taastamine pärast tormi „DANIEL“ laastavat mõju</w:t>
            </w: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3BD67FCC"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vAlign w:val="bottom"/>
          </w:tcPr>
          <w:p w14:paraId="2EF197F1"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Raudtee taastamise projektide allkirjastatud lepingud ja hankekava</w:t>
            </w:r>
          </w:p>
        </w:tc>
      </w:tr>
      <w:tr w:rsidR="007B759D" w:rsidRPr="003B132A" w14:paraId="1F888083"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1F55D38C"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351</w:t>
            </w:r>
          </w:p>
        </w:tc>
        <w:tc>
          <w:tcPr>
            <w:tcW w:w="4283" w:type="dxa"/>
            <w:tcBorders>
              <w:top w:val="single" w:sz="4" w:space="0" w:color="auto"/>
              <w:left w:val="nil"/>
              <w:bottom w:val="single" w:sz="4" w:space="0" w:color="auto"/>
              <w:right w:val="single" w:sz="4" w:space="0" w:color="auto"/>
            </w:tcBorders>
            <w:shd w:val="clear" w:color="auto" w:fill="C6EFCE"/>
            <w:noWrap/>
          </w:tcPr>
          <w:p w14:paraId="3AA176AE"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20-5.1. REPowerEU reformid – 16987_Litsentsiraamistik taastuvallikatest toodetud vesiniku ja kestliku biometaani jaoks</w:t>
            </w:r>
          </w:p>
        </w:tc>
        <w:tc>
          <w:tcPr>
            <w:tcW w:w="1692" w:type="dxa"/>
            <w:tcBorders>
              <w:top w:val="single" w:sz="4" w:space="0" w:color="auto"/>
              <w:left w:val="nil"/>
              <w:bottom w:val="single" w:sz="4" w:space="0" w:color="auto"/>
              <w:right w:val="single" w:sz="4" w:space="0" w:color="auto"/>
            </w:tcBorders>
            <w:shd w:val="clear" w:color="auto" w:fill="C6EFCE"/>
            <w:noWrap/>
          </w:tcPr>
          <w:p w14:paraId="5F52BC5D"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04111CBF"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Taastuvallikatest toodetud vesinikku ja kestlikku biometaani käsitlev õigusraamistik</w:t>
            </w:r>
          </w:p>
        </w:tc>
      </w:tr>
      <w:tr w:rsidR="007B759D" w:rsidRPr="003B132A" w14:paraId="5BE3738B"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52B6F31C"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352</w:t>
            </w:r>
          </w:p>
        </w:tc>
        <w:tc>
          <w:tcPr>
            <w:tcW w:w="4283" w:type="dxa"/>
            <w:tcBorders>
              <w:top w:val="single" w:sz="4" w:space="0" w:color="auto"/>
              <w:left w:val="nil"/>
              <w:bottom w:val="single" w:sz="4" w:space="0" w:color="auto"/>
              <w:right w:val="single" w:sz="4" w:space="0" w:color="auto"/>
            </w:tcBorders>
            <w:shd w:val="clear" w:color="auto" w:fill="C6EFCE"/>
            <w:noWrap/>
          </w:tcPr>
          <w:p w14:paraId="4F996AFD"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20-5.1. REPowerEU reformid – 16989_Maa- ja mereruumi kasutamise optimeerimine taastuvate energiaallikate ja avamere tuuleenergia arendamiseks</w:t>
            </w:r>
          </w:p>
        </w:tc>
        <w:tc>
          <w:tcPr>
            <w:tcW w:w="1692" w:type="dxa"/>
            <w:tcBorders>
              <w:top w:val="single" w:sz="4" w:space="0" w:color="auto"/>
              <w:left w:val="nil"/>
              <w:bottom w:val="single" w:sz="4" w:space="0" w:color="auto"/>
              <w:right w:val="single" w:sz="4" w:space="0" w:color="auto"/>
            </w:tcBorders>
            <w:shd w:val="clear" w:color="auto" w:fill="C6EFCE"/>
            <w:noWrap/>
          </w:tcPr>
          <w:p w14:paraId="4BAA4261"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5DC14E3D"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Avamere tuuleparkide arendamise strateegia vastuvõtmine</w:t>
            </w:r>
          </w:p>
        </w:tc>
      </w:tr>
      <w:tr w:rsidR="007B759D" w:rsidRPr="003B132A" w14:paraId="08ACC09F"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3FD47F3A"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355</w:t>
            </w:r>
          </w:p>
        </w:tc>
        <w:tc>
          <w:tcPr>
            <w:tcW w:w="4283" w:type="dxa"/>
            <w:tcBorders>
              <w:top w:val="single" w:sz="4" w:space="0" w:color="auto"/>
              <w:left w:val="nil"/>
              <w:bottom w:val="single" w:sz="4" w:space="0" w:color="auto"/>
              <w:right w:val="single" w:sz="4" w:space="0" w:color="auto"/>
            </w:tcBorders>
            <w:shd w:val="clear" w:color="auto" w:fill="C6EFCE"/>
            <w:noWrap/>
          </w:tcPr>
          <w:p w14:paraId="5621A4D8"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20-5.1. REPowerEU reformid – 16988_süsinikdioksiidi kogumise, kasutamise ja säilitamise tehnoloogia regulatiivne ja turu toimimise raamistik, et edendada tööstuse CO</w:t>
            </w:r>
            <w:r>
              <w:rPr>
                <w:rFonts w:ascii="Times New Roman" w:hAnsi="Times New Roman"/>
                <w:noProof/>
                <w:sz w:val="18"/>
                <w:vertAlign w:val="subscript"/>
              </w:rPr>
              <w:t>2</w:t>
            </w:r>
            <w:r>
              <w:rPr>
                <w:rFonts w:ascii="Times New Roman" w:hAnsi="Times New Roman"/>
                <w:noProof/>
                <w:sz w:val="18"/>
              </w:rPr>
              <w:t xml:space="preserve"> heite vähendamist </w:t>
            </w:r>
          </w:p>
        </w:tc>
        <w:tc>
          <w:tcPr>
            <w:tcW w:w="1692" w:type="dxa"/>
            <w:tcBorders>
              <w:top w:val="single" w:sz="4" w:space="0" w:color="auto"/>
              <w:left w:val="nil"/>
              <w:bottom w:val="single" w:sz="4" w:space="0" w:color="auto"/>
              <w:right w:val="single" w:sz="4" w:space="0" w:color="auto"/>
            </w:tcBorders>
            <w:shd w:val="clear" w:color="auto" w:fill="C6EFCE"/>
            <w:noWrap/>
          </w:tcPr>
          <w:p w14:paraId="63BDC4F7"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023A110D"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Süsinikdioksiidi kogumist, kasutamist ja säilitamist käsitleva õigusraamistiku loomine.</w:t>
            </w:r>
          </w:p>
        </w:tc>
      </w:tr>
      <w:tr w:rsidR="007B759D" w:rsidRPr="003B132A" w14:paraId="27D13ACF"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66663D46"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356</w:t>
            </w:r>
          </w:p>
        </w:tc>
        <w:tc>
          <w:tcPr>
            <w:tcW w:w="4283" w:type="dxa"/>
            <w:tcBorders>
              <w:top w:val="single" w:sz="4" w:space="0" w:color="auto"/>
              <w:left w:val="nil"/>
              <w:bottom w:val="single" w:sz="4" w:space="0" w:color="auto"/>
              <w:right w:val="single" w:sz="4" w:space="0" w:color="auto"/>
            </w:tcBorders>
            <w:shd w:val="clear" w:color="auto" w:fill="C6EFCE"/>
            <w:noWrap/>
          </w:tcPr>
          <w:p w14:paraId="7B498906"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 xml:space="preserve">20-5.1. REPowerEU reformid – 16990_Võrgu ja salvestusvõimsuse suurendamine – salvestusinvesteeringute edendamine </w:t>
            </w:r>
          </w:p>
        </w:tc>
        <w:tc>
          <w:tcPr>
            <w:tcW w:w="1692" w:type="dxa"/>
            <w:tcBorders>
              <w:top w:val="single" w:sz="4" w:space="0" w:color="auto"/>
              <w:left w:val="nil"/>
              <w:bottom w:val="single" w:sz="4" w:space="0" w:color="auto"/>
              <w:right w:val="single" w:sz="4" w:space="0" w:color="auto"/>
            </w:tcBorders>
            <w:shd w:val="clear" w:color="auto" w:fill="C6EFCE"/>
            <w:noWrap/>
          </w:tcPr>
          <w:p w14:paraId="4F1A9D98"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4B1CB825"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Õigusraamistiku jõustumine</w:t>
            </w:r>
          </w:p>
        </w:tc>
      </w:tr>
      <w:tr w:rsidR="007B759D" w:rsidRPr="003B132A" w14:paraId="7CD6D09E"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20C9E919"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358</w:t>
            </w:r>
          </w:p>
        </w:tc>
        <w:tc>
          <w:tcPr>
            <w:tcW w:w="4283" w:type="dxa"/>
            <w:tcBorders>
              <w:top w:val="single" w:sz="4" w:space="0" w:color="auto"/>
              <w:left w:val="nil"/>
              <w:bottom w:val="single" w:sz="4" w:space="0" w:color="auto"/>
              <w:right w:val="single" w:sz="4" w:space="0" w:color="auto"/>
            </w:tcBorders>
            <w:shd w:val="clear" w:color="auto" w:fill="C6EFCE"/>
            <w:noWrap/>
          </w:tcPr>
          <w:p w14:paraId="7D002C03"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20-5.1. REPowerEU reformid – 16991_Regulatiivne raamistik aruka võrgu suunas liikumiseks</w:t>
            </w:r>
          </w:p>
        </w:tc>
        <w:tc>
          <w:tcPr>
            <w:tcW w:w="1692" w:type="dxa"/>
            <w:tcBorders>
              <w:top w:val="single" w:sz="4" w:space="0" w:color="auto"/>
              <w:left w:val="nil"/>
              <w:bottom w:val="single" w:sz="4" w:space="0" w:color="auto"/>
              <w:right w:val="single" w:sz="4" w:space="0" w:color="auto"/>
            </w:tcBorders>
            <w:shd w:val="clear" w:color="auto" w:fill="C6EFCE"/>
            <w:noWrap/>
          </w:tcPr>
          <w:p w14:paraId="0AA55752"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04138B62" w14:textId="77777777" w:rsidR="007B759D" w:rsidRPr="00E02B5D" w:rsidRDefault="007B759D" w:rsidP="007B759D">
            <w:pPr>
              <w:keepNext/>
              <w:spacing w:before="40" w:after="0" w:line="259" w:lineRule="auto"/>
              <w:jc w:val="both"/>
              <w:rPr>
                <w:rFonts w:ascii="Times New Roman" w:hAnsi="Times New Roman" w:cs="Times New Roman"/>
                <w:noProof/>
                <w:sz w:val="18"/>
              </w:rPr>
            </w:pPr>
            <w:r>
              <w:rPr>
                <w:rFonts w:ascii="Times New Roman" w:hAnsi="Times New Roman"/>
                <w:noProof/>
                <w:sz w:val="18"/>
              </w:rPr>
              <w:t>Stiimulitel põhineva süsteemi väljatöötamine jaotusvõrguettevõtja ja tarbijate jaoks, et suurendada arukate arvestite kasutuselevõttu ja kasutamist.</w:t>
            </w:r>
          </w:p>
        </w:tc>
      </w:tr>
      <w:tr w:rsidR="007B759D" w:rsidRPr="003B132A" w14:paraId="1A235C9A"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580E2912"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361</w:t>
            </w:r>
          </w:p>
        </w:tc>
        <w:tc>
          <w:tcPr>
            <w:tcW w:w="4283" w:type="dxa"/>
            <w:tcBorders>
              <w:top w:val="single" w:sz="4" w:space="0" w:color="auto"/>
              <w:left w:val="nil"/>
              <w:bottom w:val="single" w:sz="4" w:space="0" w:color="auto"/>
              <w:right w:val="single" w:sz="4" w:space="0" w:color="auto"/>
            </w:tcBorders>
            <w:shd w:val="clear" w:color="auto" w:fill="C6EFCE"/>
            <w:noWrap/>
          </w:tcPr>
          <w:p w14:paraId="324A7221"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20-5. REPowerEU reformid – 16992_vahendid energia jagamise, omatarbimise ja taastuvenergiakogukondade edendamiseks</w:t>
            </w:r>
          </w:p>
        </w:tc>
        <w:tc>
          <w:tcPr>
            <w:tcW w:w="1692" w:type="dxa"/>
            <w:tcBorders>
              <w:top w:val="single" w:sz="4" w:space="0" w:color="auto"/>
              <w:left w:val="nil"/>
              <w:bottom w:val="single" w:sz="4" w:space="0" w:color="auto"/>
              <w:right w:val="single" w:sz="4" w:space="0" w:color="auto"/>
            </w:tcBorders>
            <w:shd w:val="clear" w:color="auto" w:fill="C6EFCE"/>
            <w:noWrap/>
          </w:tcPr>
          <w:p w14:paraId="6D09269D"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131B51F2"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Omatarbeks toodetud energia tarbimist käsitlevate teiseste õigusaktide jõustumine ja korterelamutesse taastuvenergiajaamade rajamise loamenetluste hõlbustamine</w:t>
            </w:r>
          </w:p>
        </w:tc>
      </w:tr>
      <w:tr w:rsidR="007B759D" w:rsidRPr="003B132A" w14:paraId="44462750"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59A42F73"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363</w:t>
            </w:r>
          </w:p>
        </w:tc>
        <w:tc>
          <w:tcPr>
            <w:tcW w:w="4283" w:type="dxa"/>
            <w:tcBorders>
              <w:top w:val="single" w:sz="4" w:space="0" w:color="auto"/>
              <w:left w:val="nil"/>
              <w:bottom w:val="single" w:sz="4" w:space="0" w:color="auto"/>
              <w:right w:val="single" w:sz="4" w:space="0" w:color="auto"/>
            </w:tcBorders>
            <w:shd w:val="clear" w:color="auto" w:fill="C6EFCE"/>
            <w:noWrap/>
          </w:tcPr>
          <w:p w14:paraId="0ABD2EC4"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20-5. REPowerEU reformid – 16993_Innovatiivsete energiatõhususe meetmete tegevuskava ja uute rahastamisvahendite kindlaksmääramine</w:t>
            </w:r>
          </w:p>
        </w:tc>
        <w:tc>
          <w:tcPr>
            <w:tcW w:w="1692" w:type="dxa"/>
            <w:tcBorders>
              <w:top w:val="single" w:sz="4" w:space="0" w:color="auto"/>
              <w:left w:val="nil"/>
              <w:bottom w:val="single" w:sz="4" w:space="0" w:color="auto"/>
              <w:right w:val="single" w:sz="4" w:space="0" w:color="auto"/>
            </w:tcBorders>
            <w:shd w:val="clear" w:color="auto" w:fill="C6EFCE"/>
            <w:noWrap/>
          </w:tcPr>
          <w:p w14:paraId="16B7BC78"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21C601F7"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Energiatõhususega seotud uuenduslike meetmete tegevuskava ja õigusraamistik on kehtestatud</w:t>
            </w:r>
          </w:p>
        </w:tc>
      </w:tr>
      <w:tr w:rsidR="007B759D" w:rsidRPr="003B132A" w14:paraId="57F63B36"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525F05F2"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365</w:t>
            </w:r>
          </w:p>
        </w:tc>
        <w:tc>
          <w:tcPr>
            <w:tcW w:w="4283" w:type="dxa"/>
            <w:tcBorders>
              <w:top w:val="single" w:sz="4" w:space="0" w:color="auto"/>
              <w:left w:val="nil"/>
              <w:bottom w:val="single" w:sz="4" w:space="0" w:color="auto"/>
              <w:right w:val="single" w:sz="4" w:space="0" w:color="auto"/>
            </w:tcBorders>
            <w:shd w:val="clear" w:color="auto" w:fill="C6EFCE"/>
            <w:noWrap/>
          </w:tcPr>
          <w:p w14:paraId="2274059C"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21–5.2. REPowerEU investeeringud – 16996_Energia salvestamise paigaldamine taastuvate energiaallikate täiendavaks kasutuselevõtuks</w:t>
            </w:r>
          </w:p>
        </w:tc>
        <w:tc>
          <w:tcPr>
            <w:tcW w:w="1692" w:type="dxa"/>
            <w:tcBorders>
              <w:top w:val="single" w:sz="4" w:space="0" w:color="auto"/>
              <w:left w:val="nil"/>
              <w:bottom w:val="single" w:sz="4" w:space="0" w:color="auto"/>
              <w:right w:val="single" w:sz="4" w:space="0" w:color="auto"/>
            </w:tcBorders>
            <w:shd w:val="clear" w:color="auto" w:fill="C6EFCE"/>
            <w:noWrap/>
          </w:tcPr>
          <w:p w14:paraId="5807EC57"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4302A810"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Lepingute sõlmimisest teatamine</w:t>
            </w:r>
          </w:p>
        </w:tc>
      </w:tr>
      <w:tr w:rsidR="007B759D" w:rsidRPr="003B132A" w14:paraId="51334BE2"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1C4A78CF"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372</w:t>
            </w:r>
          </w:p>
        </w:tc>
        <w:tc>
          <w:tcPr>
            <w:tcW w:w="4283" w:type="dxa"/>
            <w:tcBorders>
              <w:top w:val="single" w:sz="4" w:space="0" w:color="auto"/>
              <w:left w:val="nil"/>
              <w:bottom w:val="single" w:sz="4" w:space="0" w:color="auto"/>
              <w:right w:val="single" w:sz="4" w:space="0" w:color="auto"/>
            </w:tcBorders>
            <w:shd w:val="clear" w:color="auto" w:fill="C6EFCE"/>
            <w:noWrap/>
          </w:tcPr>
          <w:p w14:paraId="70097024" w14:textId="77777777" w:rsidR="007B759D" w:rsidRPr="00E02B5D" w:rsidRDefault="007B759D" w:rsidP="007B759D">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21–5.2. REPowerEU investeeringud – 16997_Süsinikdioksiidi kogumise ja säilitamise tehnoloogia edendamine tööstuse CO</w:t>
            </w:r>
            <w:r>
              <w:rPr>
                <w:rFonts w:ascii="Times New Roman" w:hAnsi="Times New Roman"/>
                <w:noProof/>
                <w:sz w:val="18"/>
                <w:vertAlign w:val="subscript"/>
              </w:rPr>
              <w:t>2</w:t>
            </w:r>
            <w:r>
              <w:rPr>
                <w:rFonts w:ascii="Times New Roman" w:hAnsi="Times New Roman"/>
                <w:noProof/>
                <w:sz w:val="18"/>
              </w:rPr>
              <w:t xml:space="preserve"> heite vähendamiseks</w:t>
            </w:r>
          </w:p>
        </w:tc>
        <w:tc>
          <w:tcPr>
            <w:tcW w:w="1692" w:type="dxa"/>
            <w:tcBorders>
              <w:top w:val="single" w:sz="4" w:space="0" w:color="auto"/>
              <w:left w:val="nil"/>
              <w:bottom w:val="single" w:sz="4" w:space="0" w:color="auto"/>
              <w:right w:val="single" w:sz="4" w:space="0" w:color="auto"/>
            </w:tcBorders>
            <w:shd w:val="clear" w:color="auto" w:fill="C6EFCE"/>
            <w:noWrap/>
          </w:tcPr>
          <w:p w14:paraId="35201834"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926" w:type="dxa"/>
            <w:tcBorders>
              <w:top w:val="single" w:sz="4" w:space="0" w:color="auto"/>
              <w:left w:val="nil"/>
              <w:bottom w:val="single" w:sz="4" w:space="0" w:color="auto"/>
              <w:right w:val="single" w:sz="4" w:space="0" w:color="auto"/>
            </w:tcBorders>
            <w:shd w:val="clear" w:color="auto" w:fill="C6EFCE"/>
            <w:noWrap/>
          </w:tcPr>
          <w:p w14:paraId="2B4D57F0"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Keskkonnatingimuste heakskiitmine ja eesmise lõpptehnoloogia lõpuleviimine: FEEDi uuringuid kavandama</w:t>
            </w:r>
          </w:p>
        </w:tc>
      </w:tr>
      <w:tr w:rsidR="007B759D" w:rsidRPr="00E02B5D" w14:paraId="2DB2DC92" w14:textId="77777777" w:rsidTr="004E35AC">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7F2F1B2" w14:textId="77777777" w:rsidR="007B759D" w:rsidRPr="00AD4052" w:rsidRDefault="007B759D" w:rsidP="007B759D">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7E2F1646" w14:textId="77777777" w:rsidR="007B759D" w:rsidRPr="00AD4052" w:rsidRDefault="007B759D" w:rsidP="007B759D">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6F7668BF" w14:textId="77777777"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926" w:type="dxa"/>
            <w:tcBorders>
              <w:top w:val="single" w:sz="4" w:space="0" w:color="auto"/>
              <w:left w:val="nil"/>
              <w:bottom w:val="single" w:sz="4" w:space="0" w:color="auto"/>
              <w:right w:val="single" w:sz="4" w:space="0" w:color="auto"/>
            </w:tcBorders>
            <w:shd w:val="clear" w:color="auto" w:fill="C6EFCE"/>
            <w:noWrap/>
            <w:vAlign w:val="bottom"/>
          </w:tcPr>
          <w:p w14:paraId="2C9D6831" w14:textId="42852C2D" w:rsidR="007B759D" w:rsidRPr="00E02B5D" w:rsidRDefault="007B759D" w:rsidP="007B759D">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2 439 692 495 eurot</w:t>
            </w:r>
          </w:p>
        </w:tc>
      </w:tr>
    </w:tbl>
    <w:p w14:paraId="41C48C6E" w14:textId="77777777" w:rsidR="00B430F0" w:rsidRPr="00E02B5D" w:rsidRDefault="00B430F0" w:rsidP="00645BC7">
      <w:pPr>
        <w:keepNext/>
        <w:spacing w:before="40" w:line="259" w:lineRule="auto"/>
        <w:jc w:val="both"/>
        <w:rPr>
          <w:rFonts w:eastAsia="Times New Roman"/>
          <w:i/>
          <w:noProof/>
          <w:color w:val="4F81BD"/>
          <w:lang w:val="en-GB"/>
        </w:rPr>
      </w:pPr>
    </w:p>
    <w:p w14:paraId="2C4C2510"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Seitsmes osamakse (tagastamatu toetus): </w:t>
      </w:r>
    </w:p>
    <w:tbl>
      <w:tblPr>
        <w:tblW w:w="9536" w:type="dxa"/>
        <w:tblInd w:w="113" w:type="dxa"/>
        <w:tblLayout w:type="fixed"/>
        <w:tblLook w:val="04A0" w:firstRow="1" w:lastRow="0" w:firstColumn="1" w:lastColumn="0" w:noHBand="0" w:noVBand="1"/>
      </w:tblPr>
      <w:tblGrid>
        <w:gridCol w:w="1804"/>
        <w:gridCol w:w="4283"/>
        <w:gridCol w:w="1692"/>
        <w:gridCol w:w="1757"/>
      </w:tblGrid>
      <w:tr w:rsidR="006E0EA2" w:rsidRPr="005622B6" w14:paraId="290E14DE" w14:textId="77777777" w:rsidTr="005622B6">
        <w:trPr>
          <w:trHeight w:val="906"/>
          <w:tblHeader/>
        </w:trPr>
        <w:tc>
          <w:tcPr>
            <w:tcW w:w="18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36AD22"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9CAE6B"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DC1A23"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E37BB7" w14:textId="77777777" w:rsidR="00B430F0" w:rsidRPr="005622B6" w:rsidRDefault="00B430F0" w:rsidP="00C35E51">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3F585188" w14:textId="77777777" w:rsidTr="005622B6">
        <w:trPr>
          <w:trHeight w:val="990"/>
        </w:trPr>
        <w:tc>
          <w:tcPr>
            <w:tcW w:w="1804" w:type="dxa"/>
            <w:vMerge/>
            <w:tcBorders>
              <w:top w:val="single" w:sz="4" w:space="0" w:color="auto"/>
              <w:left w:val="single" w:sz="4" w:space="0" w:color="auto"/>
              <w:bottom w:val="single" w:sz="4" w:space="0" w:color="auto"/>
              <w:right w:val="single" w:sz="4" w:space="0" w:color="auto"/>
            </w:tcBorders>
            <w:vAlign w:val="center"/>
            <w:hideMark/>
          </w:tcPr>
          <w:p w14:paraId="1C434604"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14:paraId="5BE1D839"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14:paraId="0230FB92"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2C2FC2FE"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6E0EA2" w:rsidRPr="003B132A" w14:paraId="243D6557" w14:textId="77777777" w:rsidTr="005622B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A3CB54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24</w:t>
            </w:r>
          </w:p>
        </w:tc>
        <w:tc>
          <w:tcPr>
            <w:tcW w:w="4283" w:type="dxa"/>
            <w:tcBorders>
              <w:top w:val="single" w:sz="4" w:space="0" w:color="auto"/>
              <w:left w:val="nil"/>
              <w:bottom w:val="single" w:sz="4" w:space="0" w:color="auto"/>
              <w:right w:val="single" w:sz="4" w:space="0" w:color="auto"/>
            </w:tcBorders>
            <w:shd w:val="clear" w:color="auto" w:fill="C6EFCE"/>
            <w:noWrap/>
            <w:vAlign w:val="center"/>
          </w:tcPr>
          <w:p w14:paraId="4603740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16872_Elamuhoonete renoveerimine</w:t>
            </w:r>
          </w:p>
        </w:tc>
        <w:tc>
          <w:tcPr>
            <w:tcW w:w="1692" w:type="dxa"/>
            <w:tcBorders>
              <w:top w:val="single" w:sz="4" w:space="0" w:color="auto"/>
              <w:left w:val="nil"/>
              <w:bottom w:val="single" w:sz="4" w:space="0" w:color="auto"/>
              <w:right w:val="single" w:sz="4" w:space="0" w:color="auto"/>
            </w:tcBorders>
            <w:shd w:val="clear" w:color="auto" w:fill="C6EFCE"/>
            <w:noWrap/>
            <w:vAlign w:val="center"/>
          </w:tcPr>
          <w:p w14:paraId="0D88225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757" w:type="dxa"/>
            <w:tcBorders>
              <w:top w:val="single" w:sz="4" w:space="0" w:color="auto"/>
              <w:left w:val="nil"/>
              <w:bottom w:val="single" w:sz="4" w:space="0" w:color="auto"/>
              <w:right w:val="single" w:sz="4" w:space="0" w:color="auto"/>
            </w:tcBorders>
            <w:shd w:val="clear" w:color="auto" w:fill="C6EFCE"/>
            <w:noWrap/>
            <w:vAlign w:val="center"/>
          </w:tcPr>
          <w:p w14:paraId="3A99401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Elamute renoveerimine – elamute renoveerimine #2</w:t>
            </w:r>
          </w:p>
        </w:tc>
      </w:tr>
      <w:tr w:rsidR="006E0EA2" w:rsidRPr="003B132A" w14:paraId="71FBDE28"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6265750C"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45a</w:t>
            </w:r>
          </w:p>
        </w:tc>
        <w:tc>
          <w:tcPr>
            <w:tcW w:w="4283" w:type="dxa"/>
            <w:tcBorders>
              <w:top w:val="nil"/>
              <w:left w:val="nil"/>
              <w:bottom w:val="single" w:sz="4" w:space="0" w:color="auto"/>
              <w:right w:val="single" w:sz="4" w:space="0" w:color="auto"/>
            </w:tcBorders>
            <w:shd w:val="clear" w:color="auto" w:fill="C6EFCE"/>
            <w:noWrap/>
          </w:tcPr>
          <w:p w14:paraId="69484145" w14:textId="77777777" w:rsidR="00B430F0" w:rsidRPr="00E02B5D" w:rsidRDefault="00B430F0" w:rsidP="00D16F13">
            <w:pPr>
              <w:spacing w:after="0" w:line="240" w:lineRule="auto"/>
              <w:rPr>
                <w:rFonts w:ascii="Times New Roman" w:hAnsi="Times New Roman" w:cs="Times New Roman"/>
                <w:noProof/>
                <w:sz w:val="18"/>
                <w:szCs w:val="18"/>
              </w:rPr>
            </w:pPr>
            <w:r>
              <w:rPr>
                <w:rFonts w:ascii="Times New Roman" w:hAnsi="Times New Roman"/>
                <w:noProof/>
                <w:sz w:val="18"/>
              </w:rPr>
              <w:t>3-1.3. Laadimine ja tankimine – 16924_ Elektromobiilsus</w:t>
            </w:r>
          </w:p>
        </w:tc>
        <w:tc>
          <w:tcPr>
            <w:tcW w:w="1692" w:type="dxa"/>
            <w:tcBorders>
              <w:top w:val="nil"/>
              <w:left w:val="nil"/>
              <w:bottom w:val="single" w:sz="4" w:space="0" w:color="auto"/>
              <w:right w:val="single" w:sz="4" w:space="0" w:color="auto"/>
            </w:tcBorders>
            <w:shd w:val="clear" w:color="auto" w:fill="C6EFCE"/>
            <w:noWrap/>
          </w:tcPr>
          <w:p w14:paraId="13FCF432"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tcPr>
          <w:p w14:paraId="6A30ECDE"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Ühistransport – bussiettevõtjate hankemenetluste algatamine, avaldades asjakohased konkursikutsed kõigile piirkondadele</w:t>
            </w:r>
          </w:p>
        </w:tc>
      </w:tr>
      <w:tr w:rsidR="006E0EA2" w:rsidRPr="003B132A" w14:paraId="74CE2558"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668698BE"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62a</w:t>
            </w:r>
          </w:p>
        </w:tc>
        <w:tc>
          <w:tcPr>
            <w:tcW w:w="4283" w:type="dxa"/>
            <w:tcBorders>
              <w:top w:val="nil"/>
              <w:left w:val="nil"/>
              <w:bottom w:val="single" w:sz="4" w:space="0" w:color="auto"/>
              <w:right w:val="single" w:sz="4" w:space="0" w:color="auto"/>
            </w:tcBorders>
            <w:shd w:val="clear" w:color="auto" w:fill="C6EFCE"/>
            <w:noWrap/>
          </w:tcPr>
          <w:p w14:paraId="549EA6BC"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4-1.4. Ressursside säästev kasutamine, vastupanuvõime kliimamuutustele ja keskkonnakaitse – 16849_Riiklik taasmetsastamiskava, taastamine ja ennetamine (antiNERO), erosiooni- ja üleujutuste vastased meetmed</w:t>
            </w:r>
          </w:p>
        </w:tc>
        <w:tc>
          <w:tcPr>
            <w:tcW w:w="1692" w:type="dxa"/>
            <w:tcBorders>
              <w:top w:val="nil"/>
              <w:left w:val="nil"/>
              <w:bottom w:val="single" w:sz="4" w:space="0" w:color="auto"/>
              <w:right w:val="single" w:sz="4" w:space="0" w:color="auto"/>
            </w:tcBorders>
            <w:shd w:val="clear" w:color="auto" w:fill="C6EFCE"/>
            <w:noWrap/>
          </w:tcPr>
          <w:p w14:paraId="656F61D9"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tcPr>
          <w:p w14:paraId="7D099CB7"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Taasmetsastamise taastamine ja ennetamine – lepingud 3</w:t>
            </w:r>
          </w:p>
        </w:tc>
      </w:tr>
      <w:tr w:rsidR="006E0EA2" w:rsidRPr="003B132A" w14:paraId="5F09CE68"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37B8D6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71</w:t>
            </w:r>
          </w:p>
        </w:tc>
        <w:tc>
          <w:tcPr>
            <w:tcW w:w="4283" w:type="dxa"/>
            <w:tcBorders>
              <w:top w:val="nil"/>
              <w:left w:val="nil"/>
              <w:bottom w:val="single" w:sz="4" w:space="0" w:color="auto"/>
              <w:right w:val="single" w:sz="4" w:space="0" w:color="auto"/>
            </w:tcBorders>
            <w:shd w:val="clear" w:color="auto" w:fill="C6EFCE"/>
            <w:noWrap/>
            <w:vAlign w:val="center"/>
          </w:tcPr>
          <w:p w14:paraId="55EC08D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16850_Joogiveevarustuse ja -säästu taristud</w:t>
            </w:r>
          </w:p>
        </w:tc>
        <w:tc>
          <w:tcPr>
            <w:tcW w:w="1692" w:type="dxa"/>
            <w:tcBorders>
              <w:top w:val="nil"/>
              <w:left w:val="nil"/>
              <w:bottom w:val="single" w:sz="4" w:space="0" w:color="auto"/>
              <w:right w:val="single" w:sz="4" w:space="0" w:color="auto"/>
            </w:tcBorders>
            <w:shd w:val="clear" w:color="auto" w:fill="C6EFCE"/>
            <w:noWrap/>
            <w:vAlign w:val="center"/>
          </w:tcPr>
          <w:p w14:paraId="5B1D412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0C5975D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50 % veeinfrastruktuuride lõpuleviimine</w:t>
            </w:r>
          </w:p>
        </w:tc>
      </w:tr>
      <w:tr w:rsidR="006E0EA2" w:rsidRPr="003B132A" w14:paraId="20C42F74"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164052C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72</w:t>
            </w:r>
          </w:p>
        </w:tc>
        <w:tc>
          <w:tcPr>
            <w:tcW w:w="4283" w:type="dxa"/>
            <w:tcBorders>
              <w:top w:val="nil"/>
              <w:left w:val="nil"/>
              <w:bottom w:val="single" w:sz="4" w:space="0" w:color="auto"/>
              <w:right w:val="single" w:sz="4" w:space="0" w:color="auto"/>
            </w:tcBorders>
            <w:shd w:val="clear" w:color="auto" w:fill="C6EFCE"/>
            <w:noWrap/>
            <w:vAlign w:val="center"/>
          </w:tcPr>
          <w:p w14:paraId="3CB59FA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16846_Asulareovesi ja reoveesetete käitlemise taristud</w:t>
            </w:r>
          </w:p>
        </w:tc>
        <w:tc>
          <w:tcPr>
            <w:tcW w:w="1692" w:type="dxa"/>
            <w:tcBorders>
              <w:top w:val="nil"/>
              <w:left w:val="nil"/>
              <w:bottom w:val="single" w:sz="4" w:space="0" w:color="auto"/>
              <w:right w:val="single" w:sz="4" w:space="0" w:color="auto"/>
            </w:tcBorders>
            <w:shd w:val="clear" w:color="auto" w:fill="C6EFCE"/>
            <w:noWrap/>
            <w:vAlign w:val="center"/>
          </w:tcPr>
          <w:p w14:paraId="1EBB667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1656F36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50 % reoveetööde lõpuleviimine</w:t>
            </w:r>
          </w:p>
        </w:tc>
      </w:tr>
      <w:tr w:rsidR="006E0EA2" w:rsidRPr="003B132A" w14:paraId="78084EFB"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15D2CB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98</w:t>
            </w:r>
          </w:p>
        </w:tc>
        <w:tc>
          <w:tcPr>
            <w:tcW w:w="4283" w:type="dxa"/>
            <w:tcBorders>
              <w:top w:val="nil"/>
              <w:left w:val="nil"/>
              <w:bottom w:val="single" w:sz="4" w:space="0" w:color="auto"/>
              <w:right w:val="single" w:sz="4" w:space="0" w:color="auto"/>
            </w:tcBorders>
            <w:shd w:val="clear" w:color="auto" w:fill="C6EFCE"/>
            <w:noWrap/>
            <w:vAlign w:val="center"/>
          </w:tcPr>
          <w:p w14:paraId="0E8A1FF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16782_Registrite, süsteemide ja teenuste omavaheline ühendamine ja koostalitlusvõime andmevahetuseks riiklike avalik-õiguslike organisatsioonide vahel</w:t>
            </w:r>
          </w:p>
        </w:tc>
        <w:tc>
          <w:tcPr>
            <w:tcW w:w="1692" w:type="dxa"/>
            <w:tcBorders>
              <w:top w:val="nil"/>
              <w:left w:val="nil"/>
              <w:bottom w:val="single" w:sz="4" w:space="0" w:color="auto"/>
              <w:right w:val="single" w:sz="4" w:space="0" w:color="auto"/>
            </w:tcBorders>
            <w:shd w:val="clear" w:color="auto" w:fill="C6EFCE"/>
            <w:noWrap/>
            <w:vAlign w:val="center"/>
          </w:tcPr>
          <w:p w14:paraId="63F8D6EA"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5C59B1D6"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Registrite vastastikuse sidumise ja koostalitlusvõime õiguslik alus</w:t>
            </w:r>
          </w:p>
        </w:tc>
      </w:tr>
      <w:tr w:rsidR="006E0EA2" w:rsidRPr="003B132A" w14:paraId="51CEA211"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1CAF72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108</w:t>
            </w:r>
          </w:p>
        </w:tc>
        <w:tc>
          <w:tcPr>
            <w:tcW w:w="4283" w:type="dxa"/>
            <w:tcBorders>
              <w:top w:val="nil"/>
              <w:left w:val="nil"/>
              <w:bottom w:val="single" w:sz="4" w:space="0" w:color="auto"/>
              <w:right w:val="single" w:sz="4" w:space="0" w:color="auto"/>
            </w:tcBorders>
            <w:shd w:val="clear" w:color="auto" w:fill="C6EFCE"/>
            <w:noWrap/>
            <w:vAlign w:val="center"/>
          </w:tcPr>
          <w:p w14:paraId="1277A84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16779_Koostalitlusvõime ja veebiteenuste arendamine</w:t>
            </w:r>
          </w:p>
        </w:tc>
        <w:tc>
          <w:tcPr>
            <w:tcW w:w="1692" w:type="dxa"/>
            <w:tcBorders>
              <w:top w:val="nil"/>
              <w:left w:val="nil"/>
              <w:bottom w:val="single" w:sz="4" w:space="0" w:color="auto"/>
              <w:right w:val="single" w:sz="4" w:space="0" w:color="auto"/>
            </w:tcBorders>
            <w:shd w:val="clear" w:color="auto" w:fill="C6EFCE"/>
            <w:noWrap/>
            <w:vAlign w:val="center"/>
          </w:tcPr>
          <w:p w14:paraId="137E4B16"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6F13486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Projekti „Koostalitlusvõime ja veebiteenuste arendamine“ lõpuleviimine </w:t>
            </w:r>
          </w:p>
        </w:tc>
      </w:tr>
      <w:tr w:rsidR="006E0EA2" w:rsidRPr="003B132A" w14:paraId="10C321A9"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F2C349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109</w:t>
            </w:r>
          </w:p>
        </w:tc>
        <w:tc>
          <w:tcPr>
            <w:tcW w:w="4283" w:type="dxa"/>
            <w:tcBorders>
              <w:top w:val="nil"/>
              <w:left w:val="nil"/>
              <w:bottom w:val="single" w:sz="4" w:space="0" w:color="auto"/>
              <w:right w:val="single" w:sz="4" w:space="0" w:color="auto"/>
            </w:tcBorders>
            <w:shd w:val="clear" w:color="auto" w:fill="C6EFCE"/>
            <w:noWrap/>
            <w:vAlign w:val="center"/>
          </w:tcPr>
          <w:p w14:paraId="5DEBBEC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16810_kliendisuhete haldus valitsemissektori jaoks</w:t>
            </w:r>
          </w:p>
        </w:tc>
        <w:tc>
          <w:tcPr>
            <w:tcW w:w="1692" w:type="dxa"/>
            <w:tcBorders>
              <w:top w:val="nil"/>
              <w:left w:val="nil"/>
              <w:bottom w:val="single" w:sz="4" w:space="0" w:color="auto"/>
              <w:right w:val="single" w:sz="4" w:space="0" w:color="auto"/>
            </w:tcBorders>
            <w:shd w:val="clear" w:color="auto" w:fill="C6EFCE"/>
            <w:noWrap/>
            <w:vAlign w:val="center"/>
          </w:tcPr>
          <w:p w14:paraId="3802E4C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620FBC9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Projekti „Kliendisuhete haldus“ lõpuleviimine valitsemissektori jaoks</w:t>
            </w:r>
          </w:p>
        </w:tc>
      </w:tr>
      <w:tr w:rsidR="006E0EA2" w:rsidRPr="003B132A" w14:paraId="7F8BA7F3"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8EF0F5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110</w:t>
            </w:r>
          </w:p>
        </w:tc>
        <w:tc>
          <w:tcPr>
            <w:tcW w:w="4283" w:type="dxa"/>
            <w:tcBorders>
              <w:top w:val="nil"/>
              <w:left w:val="nil"/>
              <w:bottom w:val="single" w:sz="4" w:space="0" w:color="auto"/>
              <w:right w:val="single" w:sz="4" w:space="0" w:color="auto"/>
            </w:tcBorders>
            <w:shd w:val="clear" w:color="auto" w:fill="C6EFCE"/>
            <w:noWrap/>
            <w:vAlign w:val="center"/>
          </w:tcPr>
          <w:p w14:paraId="762C1FE5"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16780_Avaliku halduse ühe akna süsteemide täiendav ajakohastamine</w:t>
            </w:r>
          </w:p>
        </w:tc>
        <w:tc>
          <w:tcPr>
            <w:tcW w:w="1692" w:type="dxa"/>
            <w:tcBorders>
              <w:top w:val="nil"/>
              <w:left w:val="nil"/>
              <w:bottom w:val="single" w:sz="4" w:space="0" w:color="auto"/>
              <w:right w:val="single" w:sz="4" w:space="0" w:color="auto"/>
            </w:tcBorders>
            <w:shd w:val="clear" w:color="auto" w:fill="C6EFCE"/>
            <w:noWrap/>
            <w:vAlign w:val="center"/>
          </w:tcPr>
          <w:p w14:paraId="15D0833D"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7B47762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Projekti „One-Stop Shops“ lõpuleviimine</w:t>
            </w:r>
          </w:p>
        </w:tc>
      </w:tr>
      <w:tr w:rsidR="006E0EA2" w:rsidRPr="003B132A" w14:paraId="4309548D"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BB71F1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w:t>
            </w:r>
          </w:p>
        </w:tc>
        <w:tc>
          <w:tcPr>
            <w:tcW w:w="4283" w:type="dxa"/>
            <w:tcBorders>
              <w:top w:val="nil"/>
              <w:left w:val="nil"/>
              <w:bottom w:val="single" w:sz="4" w:space="0" w:color="auto"/>
              <w:right w:val="single" w:sz="4" w:space="0" w:color="auto"/>
            </w:tcBorders>
            <w:shd w:val="clear" w:color="auto" w:fill="C6EFCE"/>
            <w:noWrap/>
            <w:vAlign w:val="center"/>
          </w:tcPr>
          <w:p w14:paraId="2B2FD0E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16965_ Avaliku sektori infosüsteemide andmeklassifikatsiooni uuringud</w:t>
            </w:r>
          </w:p>
        </w:tc>
        <w:tc>
          <w:tcPr>
            <w:tcW w:w="1692" w:type="dxa"/>
            <w:tcBorders>
              <w:top w:val="nil"/>
              <w:left w:val="nil"/>
              <w:bottom w:val="single" w:sz="4" w:space="0" w:color="auto"/>
              <w:right w:val="single" w:sz="4" w:space="0" w:color="auto"/>
            </w:tcBorders>
            <w:shd w:val="clear" w:color="auto" w:fill="C6EFCE"/>
            <w:noWrap/>
            <w:vAlign w:val="center"/>
          </w:tcPr>
          <w:p w14:paraId="646D0B5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465842D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Projekti „Andmeklassifikaatori uuringud“ lõpuleviimine</w:t>
            </w:r>
          </w:p>
        </w:tc>
      </w:tr>
      <w:tr w:rsidR="006E0EA2" w:rsidRPr="003B132A" w14:paraId="2D10FC63"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57FD7745"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112</w:t>
            </w:r>
          </w:p>
        </w:tc>
        <w:tc>
          <w:tcPr>
            <w:tcW w:w="4283" w:type="dxa"/>
            <w:tcBorders>
              <w:top w:val="nil"/>
              <w:left w:val="nil"/>
              <w:bottom w:val="single" w:sz="4" w:space="0" w:color="auto"/>
              <w:right w:val="single" w:sz="4" w:space="0" w:color="auto"/>
            </w:tcBorders>
            <w:shd w:val="clear" w:color="auto" w:fill="C6EFCE"/>
            <w:noWrap/>
            <w:vAlign w:val="center"/>
          </w:tcPr>
          <w:p w14:paraId="31D567E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16823_Küberturvalisuse strateegia ja avaliku sektori poliitika; kõrgetasemelised turvateenused riiklikele elutähtsatele taristutele</w:t>
            </w:r>
          </w:p>
        </w:tc>
        <w:tc>
          <w:tcPr>
            <w:tcW w:w="1692" w:type="dxa"/>
            <w:tcBorders>
              <w:top w:val="nil"/>
              <w:left w:val="nil"/>
              <w:bottom w:val="single" w:sz="4" w:space="0" w:color="auto"/>
              <w:right w:val="single" w:sz="4" w:space="0" w:color="auto"/>
            </w:tcBorders>
            <w:shd w:val="clear" w:color="auto" w:fill="C6EFCE"/>
            <w:noWrap/>
            <w:vAlign w:val="center"/>
          </w:tcPr>
          <w:p w14:paraId="63011BC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3C94A1D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Projekti „Küberturvalisuse strateegia“ lõpuleviimine</w:t>
            </w:r>
          </w:p>
        </w:tc>
      </w:tr>
      <w:tr w:rsidR="006E0EA2" w:rsidRPr="003B132A" w14:paraId="570517CE"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FAF288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137</w:t>
            </w:r>
          </w:p>
        </w:tc>
        <w:tc>
          <w:tcPr>
            <w:tcW w:w="4283" w:type="dxa"/>
            <w:tcBorders>
              <w:top w:val="nil"/>
              <w:left w:val="nil"/>
              <w:bottom w:val="single" w:sz="4" w:space="0" w:color="auto"/>
              <w:right w:val="single" w:sz="4" w:space="0" w:color="auto"/>
            </w:tcBorders>
            <w:shd w:val="clear" w:color="auto" w:fill="C6EFCE"/>
            <w:noWrap/>
            <w:vAlign w:val="center"/>
          </w:tcPr>
          <w:p w14:paraId="7DB360B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8-3.1. Edendada töökohtade loomist ja tööturul osalemist – 16750_Töösüsteemide digitaalne ümberkujundamine</w:t>
            </w:r>
          </w:p>
        </w:tc>
        <w:tc>
          <w:tcPr>
            <w:tcW w:w="1692" w:type="dxa"/>
            <w:tcBorders>
              <w:top w:val="nil"/>
              <w:left w:val="nil"/>
              <w:bottom w:val="single" w:sz="4" w:space="0" w:color="auto"/>
              <w:right w:val="single" w:sz="4" w:space="0" w:color="auto"/>
            </w:tcBorders>
            <w:shd w:val="clear" w:color="auto" w:fill="C6EFCE"/>
            <w:noWrap/>
            <w:vAlign w:val="center"/>
          </w:tcPr>
          <w:p w14:paraId="659349CA"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5E82B27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Ariadne ühtse IT-süsteemi teiseste õigusaktide jõustumine</w:t>
            </w:r>
          </w:p>
        </w:tc>
      </w:tr>
      <w:tr w:rsidR="006E0EA2" w:rsidRPr="003B132A" w14:paraId="7F93D2F0"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796F29DA"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142a</w:t>
            </w:r>
          </w:p>
        </w:tc>
        <w:tc>
          <w:tcPr>
            <w:tcW w:w="4283" w:type="dxa"/>
            <w:tcBorders>
              <w:top w:val="nil"/>
              <w:left w:val="nil"/>
              <w:bottom w:val="single" w:sz="4" w:space="0" w:color="auto"/>
              <w:right w:val="single" w:sz="4" w:space="0" w:color="auto"/>
            </w:tcBorders>
            <w:shd w:val="clear" w:color="auto" w:fill="C6EFCE"/>
            <w:noWrap/>
          </w:tcPr>
          <w:p w14:paraId="38A57F3D"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8-3.1. Edendada töökohtade loomist ja tööturul osalemist – 16746_Reform, mis käsitleb passiivset tööturupoliitikat, et toetada üleminekut tööhõivele</w:t>
            </w:r>
          </w:p>
        </w:tc>
        <w:tc>
          <w:tcPr>
            <w:tcW w:w="1692" w:type="dxa"/>
            <w:tcBorders>
              <w:top w:val="nil"/>
              <w:left w:val="nil"/>
              <w:bottom w:val="single" w:sz="4" w:space="0" w:color="auto"/>
              <w:right w:val="single" w:sz="4" w:space="0" w:color="auto"/>
            </w:tcBorders>
            <w:shd w:val="clear" w:color="auto" w:fill="C6EFCE"/>
            <w:noWrap/>
          </w:tcPr>
          <w:p w14:paraId="400F287E"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tcPr>
          <w:p w14:paraId="209141BE"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Töötushüvitisi ja -toetusi käsitlevad õigusaktid, pikaajalise töötushüvitise katseprojektid</w:t>
            </w:r>
          </w:p>
        </w:tc>
      </w:tr>
      <w:tr w:rsidR="006E0EA2" w:rsidRPr="003B132A" w14:paraId="187C6ECB"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51034E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144</w:t>
            </w:r>
          </w:p>
        </w:tc>
        <w:tc>
          <w:tcPr>
            <w:tcW w:w="4283" w:type="dxa"/>
            <w:tcBorders>
              <w:top w:val="nil"/>
              <w:left w:val="nil"/>
              <w:bottom w:val="single" w:sz="4" w:space="0" w:color="auto"/>
              <w:right w:val="single" w:sz="4" w:space="0" w:color="auto"/>
            </w:tcBorders>
            <w:shd w:val="clear" w:color="auto" w:fill="C6EFCE"/>
            <w:noWrap/>
            <w:vAlign w:val="center"/>
          </w:tcPr>
          <w:p w14:paraId="39C96099"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8-3.1. Edendada töökohtade loomist ja tööturul osalemist – 16747_Aktiivne tööturupoliitika reform</w:t>
            </w:r>
          </w:p>
        </w:tc>
        <w:tc>
          <w:tcPr>
            <w:tcW w:w="1692" w:type="dxa"/>
            <w:tcBorders>
              <w:top w:val="nil"/>
              <w:left w:val="nil"/>
              <w:bottom w:val="single" w:sz="4" w:space="0" w:color="auto"/>
              <w:right w:val="single" w:sz="4" w:space="0" w:color="auto"/>
            </w:tcBorders>
            <w:shd w:val="clear" w:color="auto" w:fill="C6EFCE"/>
            <w:noWrap/>
            <w:vAlign w:val="center"/>
          </w:tcPr>
          <w:p w14:paraId="7D8BA4A5"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713850B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Aktiivse tööturupoliitika oskuste täiendamise tööhõiveprogrammi lõpuleviimine </w:t>
            </w:r>
          </w:p>
        </w:tc>
      </w:tr>
      <w:tr w:rsidR="006E0EA2" w:rsidRPr="003B132A" w14:paraId="36D25963"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78B32926"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145a</w:t>
            </w:r>
          </w:p>
        </w:tc>
        <w:tc>
          <w:tcPr>
            <w:tcW w:w="4283" w:type="dxa"/>
            <w:tcBorders>
              <w:top w:val="nil"/>
              <w:left w:val="nil"/>
              <w:bottom w:val="single" w:sz="4" w:space="0" w:color="auto"/>
              <w:right w:val="single" w:sz="4" w:space="0" w:color="auto"/>
            </w:tcBorders>
            <w:shd w:val="clear" w:color="auto" w:fill="C6EFCE"/>
            <w:noWrap/>
          </w:tcPr>
          <w:p w14:paraId="0C3E9AFB"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9-3.2. Haridus, kutseharidus ja -koolitus ning oskused – 16794_Õpipoisiõppe süsteemi tugevdamine </w:t>
            </w:r>
          </w:p>
        </w:tc>
        <w:tc>
          <w:tcPr>
            <w:tcW w:w="1692" w:type="dxa"/>
            <w:tcBorders>
              <w:top w:val="nil"/>
              <w:left w:val="nil"/>
              <w:bottom w:val="single" w:sz="4" w:space="0" w:color="auto"/>
              <w:right w:val="single" w:sz="4" w:space="0" w:color="auto"/>
            </w:tcBorders>
            <w:shd w:val="clear" w:color="auto" w:fill="C6EFCE"/>
            <w:noWrap/>
          </w:tcPr>
          <w:p w14:paraId="58CC528B"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tcPr>
          <w:p w14:paraId="318783A7"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Kutsehariduse ja -koolituse riiklik süsteem</w:t>
            </w:r>
          </w:p>
        </w:tc>
      </w:tr>
      <w:tr w:rsidR="006E0EA2" w:rsidRPr="00E02B5D" w14:paraId="39BEFFF8"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EBBFBE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148</w:t>
            </w:r>
          </w:p>
        </w:tc>
        <w:tc>
          <w:tcPr>
            <w:tcW w:w="4283" w:type="dxa"/>
            <w:tcBorders>
              <w:top w:val="nil"/>
              <w:left w:val="nil"/>
              <w:bottom w:val="single" w:sz="4" w:space="0" w:color="auto"/>
              <w:right w:val="single" w:sz="4" w:space="0" w:color="auto"/>
            </w:tcBorders>
            <w:shd w:val="clear" w:color="auto" w:fill="C6EFCE"/>
            <w:noWrap/>
            <w:vAlign w:val="center"/>
          </w:tcPr>
          <w:p w14:paraId="4CBB13E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9-3.2. Haridus, kutseharidus ja -koolitus ning oskused – 16676_Hariduse digitaalne ümberkujundamine</w:t>
            </w:r>
          </w:p>
        </w:tc>
        <w:tc>
          <w:tcPr>
            <w:tcW w:w="1692" w:type="dxa"/>
            <w:tcBorders>
              <w:top w:val="nil"/>
              <w:left w:val="nil"/>
              <w:bottom w:val="single" w:sz="4" w:space="0" w:color="auto"/>
              <w:right w:val="single" w:sz="4" w:space="0" w:color="auto"/>
            </w:tcBorders>
            <w:shd w:val="clear" w:color="auto" w:fill="C6EFCE"/>
            <w:noWrap/>
            <w:vAlign w:val="center"/>
          </w:tcPr>
          <w:p w14:paraId="3FF72FA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08EAFB8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Interaktiivsete süsteemide paigaldamise lõpuleviimine</w:t>
            </w:r>
          </w:p>
        </w:tc>
      </w:tr>
      <w:tr w:rsidR="006E0EA2" w:rsidRPr="003B132A" w14:paraId="5181CFF7"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F6E95D9"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175a</w:t>
            </w:r>
          </w:p>
        </w:tc>
        <w:tc>
          <w:tcPr>
            <w:tcW w:w="4283" w:type="dxa"/>
            <w:tcBorders>
              <w:top w:val="nil"/>
              <w:left w:val="nil"/>
              <w:bottom w:val="single" w:sz="4" w:space="0" w:color="auto"/>
              <w:right w:val="single" w:sz="4" w:space="0" w:color="auto"/>
            </w:tcBorders>
            <w:shd w:val="clear" w:color="auto" w:fill="C6EFCE"/>
            <w:noWrap/>
            <w:vAlign w:val="center"/>
          </w:tcPr>
          <w:p w14:paraId="00778DFD"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Parem juurdepääs tõhusale ja kaasavale sotsiaalpoliitikale – 16726 Sotsiaalhüvitiste optimeerimine</w:t>
            </w:r>
          </w:p>
        </w:tc>
        <w:tc>
          <w:tcPr>
            <w:tcW w:w="1692" w:type="dxa"/>
            <w:tcBorders>
              <w:top w:val="nil"/>
              <w:left w:val="nil"/>
              <w:bottom w:val="single" w:sz="4" w:space="0" w:color="auto"/>
              <w:right w:val="single" w:sz="4" w:space="0" w:color="auto"/>
            </w:tcBorders>
            <w:shd w:val="clear" w:color="auto" w:fill="C6EFCE"/>
            <w:noWrap/>
            <w:vAlign w:val="center"/>
          </w:tcPr>
          <w:p w14:paraId="058EC29C"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50CC87C7"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Sotsiaaltoetuste optimeerimise ettemaksekaardid</w:t>
            </w:r>
          </w:p>
        </w:tc>
      </w:tr>
      <w:tr w:rsidR="006E0EA2" w:rsidRPr="003B132A" w14:paraId="7C4963FA"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C141C2E"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176</w:t>
            </w:r>
          </w:p>
        </w:tc>
        <w:tc>
          <w:tcPr>
            <w:tcW w:w="4283" w:type="dxa"/>
            <w:tcBorders>
              <w:top w:val="nil"/>
              <w:left w:val="nil"/>
              <w:bottom w:val="single" w:sz="4" w:space="0" w:color="auto"/>
              <w:right w:val="single" w:sz="4" w:space="0" w:color="auto"/>
            </w:tcBorders>
            <w:shd w:val="clear" w:color="auto" w:fill="C6EFCE"/>
            <w:noWrap/>
            <w:vAlign w:val="center"/>
          </w:tcPr>
          <w:p w14:paraId="2A8A0EAB"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16904_puue</w:t>
            </w:r>
          </w:p>
        </w:tc>
        <w:tc>
          <w:tcPr>
            <w:tcW w:w="1692" w:type="dxa"/>
            <w:tcBorders>
              <w:top w:val="nil"/>
              <w:left w:val="nil"/>
              <w:bottom w:val="single" w:sz="4" w:space="0" w:color="auto"/>
              <w:right w:val="single" w:sz="4" w:space="0" w:color="auto"/>
            </w:tcBorders>
            <w:shd w:val="clear" w:color="auto" w:fill="C6EFCE"/>
            <w:noWrap/>
            <w:vAlign w:val="center"/>
          </w:tcPr>
          <w:p w14:paraId="0D6176A3"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6F110DC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Isikliku abistaja puude hindamise teise etapi lõpuleviimine</w:t>
            </w:r>
          </w:p>
        </w:tc>
      </w:tr>
      <w:tr w:rsidR="006E0EA2" w:rsidRPr="003B132A" w14:paraId="5E98BE26"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68D56F2"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177</w:t>
            </w:r>
          </w:p>
        </w:tc>
        <w:tc>
          <w:tcPr>
            <w:tcW w:w="4283" w:type="dxa"/>
            <w:tcBorders>
              <w:top w:val="nil"/>
              <w:left w:val="nil"/>
              <w:bottom w:val="single" w:sz="4" w:space="0" w:color="auto"/>
              <w:right w:val="single" w:sz="4" w:space="0" w:color="auto"/>
            </w:tcBorders>
            <w:shd w:val="clear" w:color="auto" w:fill="C6EFCE"/>
            <w:noWrap/>
            <w:vAlign w:val="center"/>
          </w:tcPr>
          <w:p w14:paraId="174D55C3"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16919 – Laste kaitse</w:t>
            </w:r>
          </w:p>
        </w:tc>
        <w:tc>
          <w:tcPr>
            <w:tcW w:w="1692" w:type="dxa"/>
            <w:tcBorders>
              <w:top w:val="nil"/>
              <w:left w:val="nil"/>
              <w:bottom w:val="single" w:sz="4" w:space="0" w:color="auto"/>
              <w:right w:val="single" w:sz="4" w:space="0" w:color="auto"/>
            </w:tcBorders>
            <w:shd w:val="clear" w:color="auto" w:fill="C6EFCE"/>
            <w:noWrap/>
            <w:vAlign w:val="center"/>
          </w:tcPr>
          <w:p w14:paraId="0CDFD722"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024CFD29" w14:textId="77777777" w:rsidR="00B430F0" w:rsidRPr="002001BC"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Alaealiste deinstitutsionaliseerimine: puudega elukutselise kasuhooldaja läbimine</w:t>
            </w:r>
          </w:p>
        </w:tc>
      </w:tr>
      <w:tr w:rsidR="006E0EA2" w:rsidRPr="003B132A" w14:paraId="77B1AF39"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4C390C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178</w:t>
            </w:r>
          </w:p>
        </w:tc>
        <w:tc>
          <w:tcPr>
            <w:tcW w:w="4283" w:type="dxa"/>
            <w:tcBorders>
              <w:top w:val="nil"/>
              <w:left w:val="nil"/>
              <w:bottom w:val="single" w:sz="4" w:space="0" w:color="auto"/>
              <w:right w:val="single" w:sz="4" w:space="0" w:color="auto"/>
            </w:tcBorders>
            <w:shd w:val="clear" w:color="auto" w:fill="C6EFCE"/>
            <w:noWrap/>
            <w:vAlign w:val="center"/>
          </w:tcPr>
          <w:p w14:paraId="7D94D12A"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16919 – Laste kaitse</w:t>
            </w:r>
          </w:p>
        </w:tc>
        <w:tc>
          <w:tcPr>
            <w:tcW w:w="1692" w:type="dxa"/>
            <w:tcBorders>
              <w:top w:val="nil"/>
              <w:left w:val="nil"/>
              <w:bottom w:val="single" w:sz="4" w:space="0" w:color="auto"/>
              <w:right w:val="single" w:sz="4" w:space="0" w:color="auto"/>
            </w:tcBorders>
            <w:shd w:val="clear" w:color="auto" w:fill="C6EFCE"/>
            <w:noWrap/>
            <w:vAlign w:val="center"/>
          </w:tcPr>
          <w:p w14:paraId="51293A08"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35A435D3"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Iseseisva eluga korterid kuni 26-aastaste isikute deinstitutsionaliseerimiseks </w:t>
            </w:r>
          </w:p>
        </w:tc>
      </w:tr>
      <w:tr w:rsidR="4FAB0B34" w:rsidRPr="003B132A" w14:paraId="759A2290"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69C1A29" w14:textId="77777777" w:rsidR="4FAB0B34" w:rsidRPr="00275DFC" w:rsidRDefault="4FAB0B34" w:rsidP="00275DFC">
            <w:pPr>
              <w:keepNext/>
              <w:spacing w:before="40" w:after="0" w:line="240" w:lineRule="auto"/>
              <w:jc w:val="both"/>
              <w:rPr>
                <w:rFonts w:ascii="Times New Roman" w:hAnsi="Times New Roman"/>
                <w:noProof/>
                <w:sz w:val="18"/>
              </w:rPr>
            </w:pPr>
            <w:r>
              <w:rPr>
                <w:rFonts w:ascii="Times New Roman" w:hAnsi="Times New Roman"/>
                <w:noProof/>
                <w:sz w:val="18"/>
              </w:rPr>
              <w:t>181a</w:t>
            </w:r>
          </w:p>
        </w:tc>
        <w:tc>
          <w:tcPr>
            <w:tcW w:w="4283" w:type="dxa"/>
            <w:tcBorders>
              <w:top w:val="nil"/>
              <w:left w:val="nil"/>
              <w:bottom w:val="single" w:sz="4" w:space="0" w:color="auto"/>
              <w:right w:val="single" w:sz="4" w:space="0" w:color="auto"/>
            </w:tcBorders>
            <w:shd w:val="clear" w:color="auto" w:fill="C6EFCE"/>
            <w:noWrap/>
            <w:vAlign w:val="center"/>
          </w:tcPr>
          <w:p w14:paraId="5DA48BDB" w14:textId="77777777" w:rsidR="4FAB0B34" w:rsidRPr="00275DFC" w:rsidRDefault="00F8216C" w:rsidP="00275DFC">
            <w:pPr>
              <w:keepNext/>
              <w:spacing w:before="40" w:after="0" w:line="240" w:lineRule="auto"/>
              <w:jc w:val="both"/>
              <w:rPr>
                <w:rFonts w:ascii="Times New Roman" w:hAnsi="Times New Roman"/>
                <w:noProof/>
                <w:sz w:val="18"/>
              </w:rPr>
            </w:pPr>
            <w:r>
              <w:rPr>
                <w:rFonts w:ascii="Times New Roman" w:hAnsi="Times New Roman"/>
                <w:noProof/>
                <w:sz w:val="18"/>
              </w:rPr>
              <w:t>11–3.4. Parem juurdepääs tõhusale ja kaasavale sotsiaalpoliitikale – 16402_Sotsiaaleluruumid ja taskukohased eluasemed</w:t>
            </w:r>
          </w:p>
        </w:tc>
        <w:tc>
          <w:tcPr>
            <w:tcW w:w="1692" w:type="dxa"/>
            <w:tcBorders>
              <w:top w:val="nil"/>
              <w:left w:val="nil"/>
              <w:bottom w:val="single" w:sz="4" w:space="0" w:color="auto"/>
              <w:right w:val="single" w:sz="4" w:space="0" w:color="auto"/>
            </w:tcBorders>
            <w:shd w:val="clear" w:color="auto" w:fill="C6EFCE"/>
            <w:noWrap/>
            <w:vAlign w:val="center"/>
          </w:tcPr>
          <w:p w14:paraId="0C963F3B" w14:textId="77777777" w:rsidR="4FAB0B34" w:rsidRPr="00275DFC" w:rsidRDefault="4FAB0B34" w:rsidP="00275DFC">
            <w:pPr>
              <w:keepNext/>
              <w:spacing w:before="40" w:after="0" w:line="240" w:lineRule="auto"/>
              <w:jc w:val="both"/>
              <w:rPr>
                <w:rFonts w:ascii="Times New Roman" w:hAnsi="Times New Roman"/>
                <w:noProof/>
                <w:sz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7B0478C5" w14:textId="77777777" w:rsidR="4FAB0B34" w:rsidRPr="00275DFC" w:rsidRDefault="4FAB0B34" w:rsidP="00275DFC">
            <w:pPr>
              <w:keepNext/>
              <w:spacing w:before="40" w:after="0"/>
              <w:jc w:val="both"/>
              <w:rPr>
                <w:rFonts w:ascii="Times New Roman" w:hAnsi="Times New Roman"/>
                <w:noProof/>
                <w:sz w:val="18"/>
              </w:rPr>
            </w:pPr>
            <w:r>
              <w:rPr>
                <w:rFonts w:ascii="Times New Roman" w:hAnsi="Times New Roman"/>
                <w:noProof/>
                <w:sz w:val="18"/>
              </w:rPr>
              <w:t xml:space="preserve">Seadust 5006/2022 muutva õigusakti jõustumine.  </w:t>
            </w:r>
          </w:p>
        </w:tc>
      </w:tr>
      <w:tr w:rsidR="006E0EA2" w:rsidRPr="003B132A" w14:paraId="4F4A11F8"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52CD80A"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184</w:t>
            </w:r>
          </w:p>
        </w:tc>
        <w:tc>
          <w:tcPr>
            <w:tcW w:w="4283" w:type="dxa"/>
            <w:tcBorders>
              <w:top w:val="nil"/>
              <w:left w:val="nil"/>
              <w:bottom w:val="single" w:sz="4" w:space="0" w:color="auto"/>
              <w:right w:val="single" w:sz="4" w:space="0" w:color="auto"/>
            </w:tcBorders>
            <w:shd w:val="clear" w:color="auto" w:fill="C6EFCE"/>
            <w:noWrap/>
            <w:vAlign w:val="center"/>
          </w:tcPr>
          <w:p w14:paraId="1468B68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16685 – Mitmekesisuse teadvustamine</w:t>
            </w:r>
          </w:p>
        </w:tc>
        <w:tc>
          <w:tcPr>
            <w:tcW w:w="1692" w:type="dxa"/>
            <w:tcBorders>
              <w:top w:val="nil"/>
              <w:left w:val="nil"/>
              <w:bottom w:val="single" w:sz="4" w:space="0" w:color="auto"/>
              <w:right w:val="single" w:sz="4" w:space="0" w:color="auto"/>
            </w:tcBorders>
            <w:shd w:val="clear" w:color="auto" w:fill="C6EFCE"/>
            <w:noWrap/>
            <w:vAlign w:val="center"/>
          </w:tcPr>
          <w:p w14:paraId="102E0F3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5209713D"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Mitmekesisuse teadvustamise valdkonna juhtide koolituse läbimine eesliinil</w:t>
            </w:r>
          </w:p>
        </w:tc>
      </w:tr>
      <w:tr w:rsidR="006E0EA2" w:rsidRPr="00E02B5D" w14:paraId="6C22724D"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7A024A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185</w:t>
            </w:r>
          </w:p>
        </w:tc>
        <w:tc>
          <w:tcPr>
            <w:tcW w:w="4283" w:type="dxa"/>
            <w:tcBorders>
              <w:top w:val="nil"/>
              <w:left w:val="nil"/>
              <w:bottom w:val="single" w:sz="4" w:space="0" w:color="auto"/>
              <w:right w:val="single" w:sz="4" w:space="0" w:color="auto"/>
            </w:tcBorders>
            <w:shd w:val="clear" w:color="auto" w:fill="C6EFCE"/>
            <w:noWrap/>
            <w:vAlign w:val="center"/>
          </w:tcPr>
          <w:p w14:paraId="05AAA7B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11-3.4. Parandada juurdepääsu tõhusale ja kaasavale sotsiaalpoliitikale – 16763_Sotsiaaltoetussüsteemi digitaalne ümberkujundamine</w:t>
            </w:r>
          </w:p>
        </w:tc>
        <w:tc>
          <w:tcPr>
            <w:tcW w:w="1692" w:type="dxa"/>
            <w:tcBorders>
              <w:top w:val="nil"/>
              <w:left w:val="nil"/>
              <w:bottom w:val="single" w:sz="4" w:space="0" w:color="auto"/>
              <w:right w:val="single" w:sz="4" w:space="0" w:color="auto"/>
            </w:tcBorders>
            <w:shd w:val="clear" w:color="auto" w:fill="C6EFCE"/>
            <w:noWrap/>
            <w:vAlign w:val="center"/>
          </w:tcPr>
          <w:p w14:paraId="7EF0957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6EA28703" w14:textId="77777777" w:rsidR="00B430F0" w:rsidRPr="0028343E"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Rändealase varjupaigasüsteemi digitaliseerimise lõpuleviimine</w:t>
            </w:r>
          </w:p>
        </w:tc>
      </w:tr>
      <w:tr w:rsidR="006E0EA2" w:rsidRPr="00E02B5D" w14:paraId="7BC1F70F"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0087E9B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195a</w:t>
            </w:r>
          </w:p>
        </w:tc>
        <w:tc>
          <w:tcPr>
            <w:tcW w:w="4283" w:type="dxa"/>
            <w:tcBorders>
              <w:top w:val="nil"/>
              <w:left w:val="nil"/>
              <w:bottom w:val="single" w:sz="4" w:space="0" w:color="auto"/>
              <w:right w:val="single" w:sz="4" w:space="0" w:color="auto"/>
            </w:tcBorders>
            <w:shd w:val="clear" w:color="auto" w:fill="C6EFCE"/>
            <w:noWrap/>
          </w:tcPr>
          <w:p w14:paraId="791CC632"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12-4.1. Maksude muutmine majanduskasvu soodustavamaks ning maksuhalduse ja maksude kogumise parandamine – 16291_Maksu- ja tolliameti digitaalne ümberkujundamine</w:t>
            </w:r>
          </w:p>
        </w:tc>
        <w:tc>
          <w:tcPr>
            <w:tcW w:w="1692" w:type="dxa"/>
            <w:tcBorders>
              <w:top w:val="nil"/>
              <w:left w:val="nil"/>
              <w:bottom w:val="single" w:sz="4" w:space="0" w:color="auto"/>
              <w:right w:val="single" w:sz="4" w:space="0" w:color="auto"/>
            </w:tcBorders>
            <w:shd w:val="clear" w:color="auto" w:fill="C6EFCE"/>
            <w:noWrap/>
          </w:tcPr>
          <w:p w14:paraId="5FEC7462"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tcPr>
          <w:p w14:paraId="0D39C186"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Allprojektide rakendamine</w:t>
            </w:r>
          </w:p>
        </w:tc>
      </w:tr>
      <w:tr w:rsidR="006E0EA2" w:rsidRPr="00E02B5D" w14:paraId="581B41E0"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5B30024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235</w:t>
            </w:r>
          </w:p>
        </w:tc>
        <w:tc>
          <w:tcPr>
            <w:tcW w:w="4283" w:type="dxa"/>
            <w:tcBorders>
              <w:top w:val="nil"/>
              <w:left w:val="nil"/>
              <w:bottom w:val="single" w:sz="4" w:space="0" w:color="auto"/>
              <w:right w:val="single" w:sz="4" w:space="0" w:color="auto"/>
            </w:tcBorders>
            <w:shd w:val="clear" w:color="auto" w:fill="C6EFCE"/>
            <w:noWrap/>
            <w:vAlign w:val="center"/>
          </w:tcPr>
          <w:p w14:paraId="5BD4DD3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16733_Kutseoskused ja digioskused kohtunike ja kohtutöötajate jaoks (kohtutöötajad)</w:t>
            </w:r>
          </w:p>
        </w:tc>
        <w:tc>
          <w:tcPr>
            <w:tcW w:w="1692" w:type="dxa"/>
            <w:tcBorders>
              <w:top w:val="nil"/>
              <w:left w:val="nil"/>
              <w:bottom w:val="single" w:sz="4" w:space="0" w:color="auto"/>
              <w:right w:val="single" w:sz="4" w:space="0" w:color="auto"/>
            </w:tcBorders>
            <w:shd w:val="clear" w:color="auto" w:fill="C6EFCE"/>
            <w:noWrap/>
            <w:vAlign w:val="center"/>
          </w:tcPr>
          <w:p w14:paraId="1037B5B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4442F76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Koolitus – kohtunikud ja kantseleitöötajad</w:t>
            </w:r>
          </w:p>
        </w:tc>
      </w:tr>
      <w:tr w:rsidR="006E0EA2" w:rsidRPr="00E02B5D" w14:paraId="04BC3E83"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8BB257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236</w:t>
            </w:r>
          </w:p>
        </w:tc>
        <w:tc>
          <w:tcPr>
            <w:tcW w:w="4283" w:type="dxa"/>
            <w:tcBorders>
              <w:top w:val="nil"/>
              <w:left w:val="nil"/>
              <w:bottom w:val="single" w:sz="4" w:space="0" w:color="auto"/>
              <w:right w:val="single" w:sz="4" w:space="0" w:color="auto"/>
            </w:tcBorders>
            <w:shd w:val="clear" w:color="auto" w:fill="C6EFCE"/>
            <w:noWrap/>
            <w:vAlign w:val="center"/>
          </w:tcPr>
          <w:p w14:paraId="2E98053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16575 Õigusmõistmise kiirendamine</w:t>
            </w:r>
          </w:p>
        </w:tc>
        <w:tc>
          <w:tcPr>
            <w:tcW w:w="1692" w:type="dxa"/>
            <w:tcBorders>
              <w:top w:val="nil"/>
              <w:left w:val="nil"/>
              <w:bottom w:val="single" w:sz="4" w:space="0" w:color="auto"/>
              <w:right w:val="single" w:sz="4" w:space="0" w:color="auto"/>
            </w:tcBorders>
            <w:shd w:val="clear" w:color="auto" w:fill="C6EFCE"/>
            <w:noWrap/>
            <w:vAlign w:val="center"/>
          </w:tcPr>
          <w:p w14:paraId="190CEC6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1FD68BC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Kohtukaardi läbivaatamine – edusammud </w:t>
            </w:r>
          </w:p>
        </w:tc>
      </w:tr>
      <w:tr w:rsidR="006E0EA2" w:rsidRPr="003B132A" w14:paraId="01C880F2"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44B6E16F"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247a</w:t>
            </w:r>
          </w:p>
        </w:tc>
        <w:tc>
          <w:tcPr>
            <w:tcW w:w="4283" w:type="dxa"/>
            <w:tcBorders>
              <w:top w:val="nil"/>
              <w:left w:val="nil"/>
              <w:bottom w:val="single" w:sz="4" w:space="0" w:color="auto"/>
              <w:right w:val="single" w:sz="4" w:space="0" w:color="auto"/>
            </w:tcBorders>
            <w:shd w:val="clear" w:color="auto" w:fill="C6EFCE"/>
            <w:noWrap/>
            <w:vAlign w:val="center"/>
          </w:tcPr>
          <w:p w14:paraId="36F341DB"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16-4.5. Teadusuuringute ja innovatsiooni edendamine – 16624_Creation – Laiendamine – Teadusuuringute ja innovatsiooni peasekretariaadi (GSRI) järelevalve all olevate uurimiskeskuste infrastruktuuride ajakohastamine</w:t>
            </w:r>
          </w:p>
        </w:tc>
        <w:tc>
          <w:tcPr>
            <w:tcW w:w="1692" w:type="dxa"/>
            <w:tcBorders>
              <w:top w:val="nil"/>
              <w:left w:val="nil"/>
              <w:bottom w:val="single" w:sz="4" w:space="0" w:color="auto"/>
              <w:right w:val="single" w:sz="4" w:space="0" w:color="auto"/>
            </w:tcBorders>
            <w:shd w:val="clear" w:color="auto" w:fill="C6EFCE"/>
            <w:noWrap/>
            <w:vAlign w:val="center"/>
          </w:tcPr>
          <w:p w14:paraId="2D3242EE"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7C3E6C2A"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Uurimiskeskuste lepingud – seadmed ja muud teenused</w:t>
            </w:r>
          </w:p>
        </w:tc>
      </w:tr>
      <w:tr w:rsidR="006E0EA2" w:rsidRPr="003B132A" w14:paraId="6597D391"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040776CB"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280</w:t>
            </w:r>
          </w:p>
        </w:tc>
        <w:tc>
          <w:tcPr>
            <w:tcW w:w="4283" w:type="dxa"/>
            <w:tcBorders>
              <w:top w:val="nil"/>
              <w:left w:val="nil"/>
              <w:bottom w:val="single" w:sz="4" w:space="0" w:color="auto"/>
              <w:right w:val="single" w:sz="4" w:space="0" w:color="auto"/>
            </w:tcBorders>
            <w:shd w:val="clear" w:color="auto" w:fill="C6EFCE"/>
            <w:noWrap/>
            <w:vAlign w:val="center"/>
          </w:tcPr>
          <w:p w14:paraId="2D650A0A"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16293_Kultuur kui majanduskasvu liikumapanev jõud</w:t>
            </w:r>
          </w:p>
        </w:tc>
        <w:tc>
          <w:tcPr>
            <w:tcW w:w="1692" w:type="dxa"/>
            <w:tcBorders>
              <w:top w:val="nil"/>
              <w:left w:val="nil"/>
              <w:bottom w:val="single" w:sz="4" w:space="0" w:color="auto"/>
              <w:right w:val="single" w:sz="4" w:space="0" w:color="auto"/>
            </w:tcBorders>
            <w:shd w:val="clear" w:color="auto" w:fill="C6EFCE"/>
            <w:noWrap/>
            <w:vAlign w:val="center"/>
          </w:tcPr>
          <w:p w14:paraId="183EE643"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40144B41"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Nüüdisaegne Kreeka kultuurimärk ja -platvorm</w:t>
            </w:r>
          </w:p>
        </w:tc>
      </w:tr>
      <w:tr w:rsidR="006E0EA2" w:rsidRPr="003B132A" w14:paraId="43320A2F" w14:textId="77777777" w:rsidTr="4FAB0B34">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0C9C46D5"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333</w:t>
            </w:r>
          </w:p>
        </w:tc>
        <w:tc>
          <w:tcPr>
            <w:tcW w:w="4283" w:type="dxa"/>
            <w:tcBorders>
              <w:top w:val="nil"/>
              <w:left w:val="nil"/>
              <w:bottom w:val="single" w:sz="4" w:space="0" w:color="auto"/>
              <w:right w:val="single" w:sz="4" w:space="0" w:color="auto"/>
            </w:tcBorders>
            <w:shd w:val="clear" w:color="auto" w:fill="C6EFCE"/>
            <w:noWrap/>
          </w:tcPr>
          <w:p w14:paraId="62561518"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5-2.1. Ühendamine – 16844_ üleminek 5G-tehnoloogiale, mis hõlbustab uuenduslike kaugteenuste arendamist</w:t>
            </w:r>
          </w:p>
        </w:tc>
        <w:tc>
          <w:tcPr>
            <w:tcW w:w="1692" w:type="dxa"/>
            <w:tcBorders>
              <w:top w:val="nil"/>
              <w:left w:val="nil"/>
              <w:bottom w:val="single" w:sz="4" w:space="0" w:color="auto"/>
              <w:right w:val="single" w:sz="4" w:space="0" w:color="auto"/>
            </w:tcBorders>
            <w:shd w:val="clear" w:color="auto" w:fill="C6EFCE"/>
            <w:noWrap/>
          </w:tcPr>
          <w:p w14:paraId="1B743102"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tcPr>
          <w:p w14:paraId="5388D3CC"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5G tehnoloogiareformi jõustumine</w:t>
            </w:r>
          </w:p>
        </w:tc>
      </w:tr>
      <w:tr w:rsidR="00B430F0" w:rsidRPr="003B132A" w14:paraId="560F5FEA" w14:textId="77777777" w:rsidTr="00CB4E2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71BD7514"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340</w:t>
            </w:r>
          </w:p>
        </w:tc>
        <w:tc>
          <w:tcPr>
            <w:tcW w:w="4283" w:type="dxa"/>
            <w:tcBorders>
              <w:top w:val="single" w:sz="4" w:space="0" w:color="auto"/>
              <w:left w:val="nil"/>
              <w:bottom w:val="single" w:sz="4" w:space="0" w:color="auto"/>
              <w:right w:val="single" w:sz="4" w:space="0" w:color="auto"/>
            </w:tcBorders>
            <w:shd w:val="clear" w:color="auto" w:fill="C6EFCE"/>
            <w:noWrap/>
          </w:tcPr>
          <w:p w14:paraId="0C416F76"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16985_Kreeka maksupoliitika raamistiku muutmine</w:t>
            </w:r>
          </w:p>
        </w:tc>
        <w:tc>
          <w:tcPr>
            <w:tcW w:w="1692" w:type="dxa"/>
            <w:tcBorders>
              <w:top w:val="single" w:sz="4" w:space="0" w:color="auto"/>
              <w:left w:val="nil"/>
              <w:bottom w:val="single" w:sz="4" w:space="0" w:color="auto"/>
              <w:right w:val="single" w:sz="4" w:space="0" w:color="auto"/>
            </w:tcBorders>
            <w:shd w:val="clear" w:color="auto" w:fill="C6EFCE"/>
            <w:noWrap/>
          </w:tcPr>
          <w:p w14:paraId="455DCA9F"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single" w:sz="4" w:space="0" w:color="auto"/>
              <w:left w:val="nil"/>
              <w:bottom w:val="single" w:sz="4" w:space="0" w:color="auto"/>
              <w:right w:val="single" w:sz="4" w:space="0" w:color="auto"/>
            </w:tcBorders>
            <w:shd w:val="clear" w:color="auto" w:fill="C6EFCE"/>
            <w:noWrap/>
          </w:tcPr>
          <w:p w14:paraId="3A331DEA"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Võidelda maksudest kõrvalehoidumise vastu, kasutades tulumaksuga maksustamisel MyDATAt</w:t>
            </w:r>
          </w:p>
        </w:tc>
      </w:tr>
      <w:tr w:rsidR="00B430F0" w:rsidRPr="003B132A" w14:paraId="7EFA0BC8" w14:textId="77777777" w:rsidTr="00CB4E2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6DF7FE8"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268a</w:t>
            </w: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673AB056"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16982_Raudteesektori organisatsioonireform</w:t>
            </w: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518BB0E7"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single" w:sz="4" w:space="0" w:color="auto"/>
              <w:left w:val="nil"/>
              <w:bottom w:val="single" w:sz="4" w:space="0" w:color="auto"/>
              <w:right w:val="single" w:sz="4" w:space="0" w:color="auto"/>
            </w:tcBorders>
            <w:shd w:val="clear" w:color="auto" w:fill="C6EFCE"/>
            <w:noWrap/>
            <w:vAlign w:val="bottom"/>
          </w:tcPr>
          <w:p w14:paraId="770E69B4"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Õigusaktid uute OSEde ja rahvusvaheliste hangete kohta</w:t>
            </w:r>
          </w:p>
        </w:tc>
      </w:tr>
      <w:tr w:rsidR="007B4D63" w:rsidRPr="003B132A" w14:paraId="03BA9E6A" w14:textId="77777777" w:rsidTr="00CB4E2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59A2FF5A" w14:textId="77777777" w:rsidR="00B430F0" w:rsidRPr="00E02B5D" w:rsidRDefault="00B430F0" w:rsidP="0092204B">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353</w:t>
            </w:r>
          </w:p>
        </w:tc>
        <w:tc>
          <w:tcPr>
            <w:tcW w:w="4283" w:type="dxa"/>
            <w:tcBorders>
              <w:top w:val="single" w:sz="4" w:space="0" w:color="auto"/>
              <w:left w:val="nil"/>
              <w:bottom w:val="single" w:sz="4" w:space="0" w:color="auto"/>
              <w:right w:val="single" w:sz="4" w:space="0" w:color="auto"/>
            </w:tcBorders>
            <w:shd w:val="clear" w:color="auto" w:fill="C6EFCE"/>
            <w:noWrap/>
          </w:tcPr>
          <w:p w14:paraId="5D2AF7BC" w14:textId="77777777" w:rsidR="00B430F0" w:rsidRPr="00E02B5D" w:rsidRDefault="00B430F0" w:rsidP="0092204B">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20-5.1. REPowerEU reformid – 16989_Maa- ja mereruumi kasutamise optimeerimine taastuvate energiaallikate ja avamere tuuleenergia arendamiseks</w:t>
            </w:r>
          </w:p>
        </w:tc>
        <w:tc>
          <w:tcPr>
            <w:tcW w:w="1692" w:type="dxa"/>
            <w:tcBorders>
              <w:top w:val="single" w:sz="4" w:space="0" w:color="auto"/>
              <w:left w:val="nil"/>
              <w:bottom w:val="single" w:sz="4" w:space="0" w:color="auto"/>
              <w:right w:val="single" w:sz="4" w:space="0" w:color="auto"/>
            </w:tcBorders>
            <w:shd w:val="clear" w:color="auto" w:fill="C6EFCE"/>
            <w:noWrap/>
          </w:tcPr>
          <w:p w14:paraId="546ED18B" w14:textId="77777777" w:rsidR="00B430F0" w:rsidRPr="00E02B5D" w:rsidRDefault="00B430F0" w:rsidP="0092204B">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single" w:sz="4" w:space="0" w:color="auto"/>
              <w:left w:val="nil"/>
              <w:bottom w:val="single" w:sz="4" w:space="0" w:color="auto"/>
              <w:right w:val="single" w:sz="4" w:space="0" w:color="auto"/>
            </w:tcBorders>
            <w:shd w:val="clear" w:color="auto" w:fill="C6EFCE"/>
            <w:noWrap/>
          </w:tcPr>
          <w:p w14:paraId="3A69B111" w14:textId="77777777" w:rsidR="00B430F0" w:rsidRPr="00E02B5D" w:rsidRDefault="00B430F0" w:rsidP="0092204B">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Uuring, mille eesmärk on teha kindlaks optimaalsed valdkonnad taastuvate energiaallikate arendamiseks ja poliitikaraamistiku jõustumine põllumajanduslikuks kasutamiseks ja fotogalvaanilise päikeseenergia tootmiseks</w:t>
            </w:r>
          </w:p>
        </w:tc>
      </w:tr>
      <w:tr w:rsidR="00B430F0" w:rsidRPr="003B132A" w14:paraId="5788C06F" w14:textId="77777777" w:rsidTr="00CB4E2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295BF5B1"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359</w:t>
            </w:r>
          </w:p>
        </w:tc>
        <w:tc>
          <w:tcPr>
            <w:tcW w:w="4283" w:type="dxa"/>
            <w:tcBorders>
              <w:top w:val="single" w:sz="4" w:space="0" w:color="auto"/>
              <w:left w:val="nil"/>
              <w:bottom w:val="single" w:sz="4" w:space="0" w:color="auto"/>
              <w:right w:val="single" w:sz="4" w:space="0" w:color="auto"/>
            </w:tcBorders>
            <w:shd w:val="clear" w:color="auto" w:fill="C6EFCE"/>
            <w:noWrap/>
          </w:tcPr>
          <w:p w14:paraId="47ED4F15"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20-5.1. REPowerEU reformid – 16991_Regulatiivne raamistik aruka võrgu suunas liikumiseks</w:t>
            </w:r>
          </w:p>
        </w:tc>
        <w:tc>
          <w:tcPr>
            <w:tcW w:w="1692" w:type="dxa"/>
            <w:tcBorders>
              <w:top w:val="single" w:sz="4" w:space="0" w:color="auto"/>
              <w:left w:val="nil"/>
              <w:bottom w:val="single" w:sz="4" w:space="0" w:color="auto"/>
              <w:right w:val="single" w:sz="4" w:space="0" w:color="auto"/>
            </w:tcBorders>
            <w:shd w:val="clear" w:color="auto" w:fill="C6EFCE"/>
            <w:noWrap/>
          </w:tcPr>
          <w:p w14:paraId="75FFB2EA"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 xml:space="preserve">Eesmärk </w:t>
            </w:r>
          </w:p>
        </w:tc>
        <w:tc>
          <w:tcPr>
            <w:tcW w:w="1757" w:type="dxa"/>
            <w:tcBorders>
              <w:top w:val="single" w:sz="4" w:space="0" w:color="auto"/>
              <w:left w:val="nil"/>
              <w:bottom w:val="single" w:sz="4" w:space="0" w:color="auto"/>
              <w:right w:val="single" w:sz="4" w:space="0" w:color="auto"/>
            </w:tcBorders>
            <w:shd w:val="clear" w:color="auto" w:fill="C6EFCE"/>
            <w:noWrap/>
          </w:tcPr>
          <w:p w14:paraId="6D7FB67D"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 xml:space="preserve">Dünaamilise hinnakujunduse lepingute raamistik </w:t>
            </w:r>
          </w:p>
        </w:tc>
      </w:tr>
      <w:tr w:rsidR="00D82707" w:rsidRPr="003B132A" w14:paraId="2CFBBE29" w14:textId="77777777" w:rsidTr="00CB4E2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344B593D" w14:textId="77777777" w:rsidR="00D82707" w:rsidRPr="00E02B5D" w:rsidRDefault="00D82707" w:rsidP="00D82707">
            <w:pPr>
              <w:keepNext/>
              <w:spacing w:before="40" w:after="0" w:line="259" w:lineRule="auto"/>
              <w:jc w:val="both"/>
              <w:rPr>
                <w:rFonts w:ascii="Times New Roman" w:hAnsi="Times New Roman" w:cs="Times New Roman"/>
                <w:noProof/>
                <w:sz w:val="18"/>
              </w:rPr>
            </w:pPr>
            <w:r>
              <w:rPr>
                <w:rFonts w:ascii="Times New Roman" w:hAnsi="Times New Roman"/>
                <w:noProof/>
                <w:sz w:val="18"/>
              </w:rPr>
              <w:t>368</w:t>
            </w:r>
          </w:p>
        </w:tc>
        <w:tc>
          <w:tcPr>
            <w:tcW w:w="4283" w:type="dxa"/>
            <w:tcBorders>
              <w:top w:val="single" w:sz="4" w:space="0" w:color="auto"/>
              <w:left w:val="nil"/>
              <w:bottom w:val="single" w:sz="4" w:space="0" w:color="auto"/>
              <w:right w:val="single" w:sz="4" w:space="0" w:color="auto"/>
            </w:tcBorders>
            <w:shd w:val="clear" w:color="auto" w:fill="C6EFCE"/>
            <w:noWrap/>
          </w:tcPr>
          <w:p w14:paraId="49AB36C0" w14:textId="77777777" w:rsidR="00D82707" w:rsidRPr="00E02B5D" w:rsidRDefault="00D82707" w:rsidP="00D82707">
            <w:pPr>
              <w:keepNext/>
              <w:spacing w:before="40" w:after="0" w:line="259" w:lineRule="auto"/>
              <w:jc w:val="both"/>
              <w:rPr>
                <w:rFonts w:ascii="Times New Roman" w:hAnsi="Times New Roman" w:cs="Times New Roman"/>
                <w:noProof/>
                <w:sz w:val="18"/>
              </w:rPr>
            </w:pPr>
            <w:r>
              <w:rPr>
                <w:rFonts w:ascii="Times New Roman" w:hAnsi="Times New Roman"/>
                <w:noProof/>
                <w:sz w:val="18"/>
              </w:rPr>
              <w:t>21–5.2. REPowerEU investeeringud – 16994_Energiatõhusus ja taastuvate energiaallikate edendamine oma tarbeks</w:t>
            </w:r>
          </w:p>
        </w:tc>
        <w:tc>
          <w:tcPr>
            <w:tcW w:w="1692" w:type="dxa"/>
            <w:tcBorders>
              <w:top w:val="single" w:sz="4" w:space="0" w:color="auto"/>
              <w:left w:val="nil"/>
              <w:bottom w:val="single" w:sz="4" w:space="0" w:color="auto"/>
              <w:right w:val="single" w:sz="4" w:space="0" w:color="auto"/>
            </w:tcBorders>
            <w:shd w:val="clear" w:color="auto" w:fill="C6EFCE"/>
            <w:noWrap/>
          </w:tcPr>
          <w:p w14:paraId="4860496D" w14:textId="77777777" w:rsidR="00D82707" w:rsidRPr="00E02B5D" w:rsidRDefault="00D82707" w:rsidP="00D82707">
            <w:pPr>
              <w:keepNext/>
              <w:spacing w:before="40" w:after="0" w:line="259" w:lineRule="auto"/>
              <w:jc w:val="both"/>
              <w:rPr>
                <w:rFonts w:ascii="Times New Roman" w:hAnsi="Times New Roman" w:cs="Times New Roman"/>
                <w:noProof/>
                <w:sz w:val="18"/>
              </w:rPr>
            </w:pPr>
            <w:r>
              <w:rPr>
                <w:rFonts w:ascii="Times New Roman" w:hAnsi="Times New Roman"/>
                <w:noProof/>
                <w:sz w:val="18"/>
              </w:rPr>
              <w:t>Siht</w:t>
            </w:r>
          </w:p>
        </w:tc>
        <w:tc>
          <w:tcPr>
            <w:tcW w:w="1757" w:type="dxa"/>
            <w:tcBorders>
              <w:top w:val="single" w:sz="4" w:space="0" w:color="auto"/>
              <w:left w:val="nil"/>
              <w:bottom w:val="single" w:sz="4" w:space="0" w:color="auto"/>
              <w:right w:val="single" w:sz="4" w:space="0" w:color="auto"/>
            </w:tcBorders>
            <w:shd w:val="clear" w:color="auto" w:fill="C6EFCE"/>
            <w:noWrap/>
          </w:tcPr>
          <w:p w14:paraId="30EDC718" w14:textId="77777777" w:rsidR="00D82707" w:rsidRPr="00E02B5D" w:rsidRDefault="00D82707" w:rsidP="00D82707">
            <w:pPr>
              <w:keepNext/>
              <w:spacing w:before="40" w:after="0" w:line="259" w:lineRule="auto"/>
              <w:jc w:val="both"/>
              <w:rPr>
                <w:rFonts w:ascii="Times New Roman" w:hAnsi="Times New Roman" w:cs="Times New Roman"/>
                <w:noProof/>
                <w:sz w:val="18"/>
              </w:rPr>
            </w:pPr>
            <w:r>
              <w:rPr>
                <w:rFonts w:ascii="Times New Roman" w:hAnsi="Times New Roman"/>
                <w:noProof/>
                <w:sz w:val="18"/>
              </w:rPr>
              <w:t>Omatarbeks mõeldud fotogalvaaniliste süsteemide toetusprogrammi lõpuleviimine</w:t>
            </w:r>
          </w:p>
        </w:tc>
      </w:tr>
      <w:tr w:rsidR="007B4D63" w:rsidRPr="003B132A" w14:paraId="4B038DB8" w14:textId="77777777" w:rsidTr="00CB4E2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50BAE796" w14:textId="77777777" w:rsidR="00B430F0" w:rsidRPr="00E02B5D" w:rsidRDefault="00B430F0" w:rsidP="0092204B">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370</w:t>
            </w:r>
          </w:p>
        </w:tc>
        <w:tc>
          <w:tcPr>
            <w:tcW w:w="4283" w:type="dxa"/>
            <w:tcBorders>
              <w:top w:val="single" w:sz="4" w:space="0" w:color="auto"/>
              <w:left w:val="nil"/>
              <w:bottom w:val="single" w:sz="4" w:space="0" w:color="auto"/>
              <w:right w:val="single" w:sz="4" w:space="0" w:color="auto"/>
            </w:tcBorders>
            <w:shd w:val="clear" w:color="auto" w:fill="C6EFCE"/>
            <w:noWrap/>
          </w:tcPr>
          <w:p w14:paraId="2D534447" w14:textId="77777777" w:rsidR="00B430F0" w:rsidRPr="00E02B5D" w:rsidRDefault="00B430F0" w:rsidP="0092204B">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21–5.2. REPowerEU investeeringud – 16995_Biometaani ja taastuvallikatest toodetud vesiniku tootmise katseprojektid</w:t>
            </w:r>
          </w:p>
        </w:tc>
        <w:tc>
          <w:tcPr>
            <w:tcW w:w="1692" w:type="dxa"/>
            <w:tcBorders>
              <w:top w:val="single" w:sz="4" w:space="0" w:color="auto"/>
              <w:left w:val="nil"/>
              <w:bottom w:val="single" w:sz="4" w:space="0" w:color="auto"/>
              <w:right w:val="single" w:sz="4" w:space="0" w:color="auto"/>
            </w:tcBorders>
            <w:shd w:val="clear" w:color="auto" w:fill="C6EFCE"/>
            <w:noWrap/>
          </w:tcPr>
          <w:p w14:paraId="6E6F2903" w14:textId="77777777" w:rsidR="00B430F0" w:rsidRPr="00E02B5D" w:rsidRDefault="00B430F0" w:rsidP="0092204B">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single" w:sz="4" w:space="0" w:color="auto"/>
              <w:left w:val="nil"/>
              <w:bottom w:val="single" w:sz="4" w:space="0" w:color="auto"/>
              <w:right w:val="single" w:sz="4" w:space="0" w:color="auto"/>
            </w:tcBorders>
            <w:shd w:val="clear" w:color="auto" w:fill="C6EFCE"/>
            <w:noWrap/>
          </w:tcPr>
          <w:p w14:paraId="39855466" w14:textId="77777777" w:rsidR="00B430F0" w:rsidRPr="00E02B5D" w:rsidRDefault="00B430F0" w:rsidP="0092204B">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 xml:space="preserve">Projektide edukaks tunnistamise lepingu(te) allkirjastamine </w:t>
            </w:r>
          </w:p>
        </w:tc>
      </w:tr>
      <w:tr w:rsidR="00B430F0" w:rsidRPr="00E02B5D" w14:paraId="0CBBD273" w14:textId="77777777" w:rsidTr="00CB4E2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2609C51"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2F59AC6A"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1E3821F2"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757" w:type="dxa"/>
            <w:tcBorders>
              <w:top w:val="single" w:sz="4" w:space="0" w:color="auto"/>
              <w:left w:val="nil"/>
              <w:bottom w:val="single" w:sz="4" w:space="0" w:color="auto"/>
              <w:right w:val="single" w:sz="4" w:space="0" w:color="auto"/>
            </w:tcBorders>
            <w:shd w:val="clear" w:color="auto" w:fill="C6EFCE"/>
            <w:noWrap/>
            <w:vAlign w:val="bottom"/>
          </w:tcPr>
          <w:p w14:paraId="6A7B06AC" w14:textId="60CCFC24" w:rsidR="00B430F0" w:rsidRPr="00E02B5D" w:rsidRDefault="00B430F0" w:rsidP="0070159A">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1 948 335 236 eurot</w:t>
            </w:r>
          </w:p>
        </w:tc>
      </w:tr>
    </w:tbl>
    <w:p w14:paraId="1C8530B7" w14:textId="77777777" w:rsidR="00B430F0" w:rsidRPr="00E02B5D" w:rsidRDefault="00B430F0" w:rsidP="00645BC7">
      <w:pPr>
        <w:keepNext/>
        <w:spacing w:before="40" w:line="259" w:lineRule="auto"/>
        <w:jc w:val="both"/>
        <w:rPr>
          <w:rFonts w:eastAsia="Times New Roman"/>
          <w:i/>
          <w:noProof/>
          <w:color w:val="4F81BD"/>
          <w:lang w:val="en-GB"/>
        </w:rPr>
      </w:pPr>
    </w:p>
    <w:p w14:paraId="3CAA9307"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Kaheksas osamakse (tagastamatu toetus) </w:t>
      </w:r>
    </w:p>
    <w:tbl>
      <w:tblPr>
        <w:tblW w:w="9536" w:type="dxa"/>
        <w:jc w:val="center"/>
        <w:tblLayout w:type="fixed"/>
        <w:tblLook w:val="04A0" w:firstRow="1" w:lastRow="0" w:firstColumn="1" w:lastColumn="0" w:noHBand="0" w:noVBand="1"/>
      </w:tblPr>
      <w:tblGrid>
        <w:gridCol w:w="1804"/>
        <w:gridCol w:w="4283"/>
        <w:gridCol w:w="1692"/>
        <w:gridCol w:w="1757"/>
      </w:tblGrid>
      <w:tr w:rsidR="006E0EA2" w:rsidRPr="005622B6" w14:paraId="4B6EB1EA" w14:textId="77777777" w:rsidTr="005622B6">
        <w:trPr>
          <w:trHeight w:val="906"/>
          <w:tblHeader/>
          <w:jc w:val="center"/>
        </w:trPr>
        <w:tc>
          <w:tcPr>
            <w:tcW w:w="18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D7565F"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196AC1"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214BD9"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67A696"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1E217021" w14:textId="77777777" w:rsidTr="005622B6">
        <w:trPr>
          <w:trHeight w:val="990"/>
          <w:jc w:val="center"/>
        </w:trPr>
        <w:tc>
          <w:tcPr>
            <w:tcW w:w="1804" w:type="dxa"/>
            <w:vMerge/>
            <w:tcBorders>
              <w:top w:val="single" w:sz="4" w:space="0" w:color="auto"/>
              <w:left w:val="single" w:sz="4" w:space="0" w:color="auto"/>
              <w:bottom w:val="single" w:sz="4" w:space="0" w:color="auto"/>
              <w:right w:val="single" w:sz="4" w:space="0" w:color="auto"/>
            </w:tcBorders>
            <w:vAlign w:val="center"/>
            <w:hideMark/>
          </w:tcPr>
          <w:p w14:paraId="70AC4DA6"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14:paraId="1D2BCBDF"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14:paraId="3438F983"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08C8E5B8"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6E0EA2" w:rsidRPr="003B132A" w14:paraId="1B5A8CE7" w14:textId="77777777" w:rsidTr="005622B6">
        <w:trPr>
          <w:trHeight w:val="302"/>
          <w:jc w:val="center"/>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3D762E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2</w:t>
            </w:r>
          </w:p>
        </w:tc>
        <w:tc>
          <w:tcPr>
            <w:tcW w:w="4283" w:type="dxa"/>
            <w:tcBorders>
              <w:top w:val="single" w:sz="4" w:space="0" w:color="auto"/>
              <w:left w:val="nil"/>
              <w:bottom w:val="single" w:sz="4" w:space="0" w:color="auto"/>
              <w:right w:val="single" w:sz="4" w:space="0" w:color="auto"/>
            </w:tcBorders>
            <w:shd w:val="clear" w:color="auto" w:fill="C6EFCE"/>
            <w:noWrap/>
            <w:vAlign w:val="center"/>
          </w:tcPr>
          <w:p w14:paraId="78F910C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16870_Sekkumised saarte elektrivõrkude ühendamiseks ja elektrivõrgu ajakohastamiseks</w:t>
            </w:r>
          </w:p>
        </w:tc>
        <w:tc>
          <w:tcPr>
            <w:tcW w:w="1692" w:type="dxa"/>
            <w:tcBorders>
              <w:top w:val="single" w:sz="4" w:space="0" w:color="auto"/>
              <w:left w:val="nil"/>
              <w:bottom w:val="single" w:sz="4" w:space="0" w:color="auto"/>
              <w:right w:val="single" w:sz="4" w:space="0" w:color="auto"/>
            </w:tcBorders>
            <w:shd w:val="clear" w:color="auto" w:fill="C6EFCE"/>
            <w:noWrap/>
            <w:vAlign w:val="center"/>
          </w:tcPr>
          <w:p w14:paraId="06048CB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57" w:type="dxa"/>
            <w:tcBorders>
              <w:top w:val="single" w:sz="4" w:space="0" w:color="auto"/>
              <w:left w:val="nil"/>
              <w:bottom w:val="single" w:sz="4" w:space="0" w:color="auto"/>
              <w:right w:val="single" w:sz="4" w:space="0" w:color="auto"/>
            </w:tcBorders>
            <w:shd w:val="clear" w:color="auto" w:fill="C6EFCE"/>
            <w:noWrap/>
            <w:vAlign w:val="center"/>
          </w:tcPr>
          <w:p w14:paraId="7797F33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Saarte ühendamine – tööde edenemine</w:t>
            </w:r>
          </w:p>
        </w:tc>
      </w:tr>
      <w:tr w:rsidR="006E0EA2" w:rsidRPr="003B132A" w14:paraId="29DD3367"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hideMark/>
          </w:tcPr>
          <w:p w14:paraId="7BDC409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8</w:t>
            </w:r>
          </w:p>
        </w:tc>
        <w:tc>
          <w:tcPr>
            <w:tcW w:w="4283" w:type="dxa"/>
            <w:tcBorders>
              <w:top w:val="nil"/>
              <w:left w:val="nil"/>
              <w:bottom w:val="single" w:sz="4" w:space="0" w:color="auto"/>
              <w:right w:val="single" w:sz="4" w:space="0" w:color="auto"/>
            </w:tcBorders>
            <w:shd w:val="clear" w:color="auto" w:fill="C6EFCE"/>
            <w:noWrap/>
            <w:vAlign w:val="center"/>
          </w:tcPr>
          <w:p w14:paraId="4BA62C4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16865_Restruktureerimine ja taastuvate energiaallikate koostootmiskonto tulude suurendamine</w:t>
            </w:r>
          </w:p>
        </w:tc>
        <w:tc>
          <w:tcPr>
            <w:tcW w:w="1692" w:type="dxa"/>
            <w:tcBorders>
              <w:top w:val="nil"/>
              <w:left w:val="nil"/>
              <w:bottom w:val="single" w:sz="4" w:space="0" w:color="auto"/>
              <w:right w:val="single" w:sz="4" w:space="0" w:color="auto"/>
            </w:tcBorders>
            <w:shd w:val="clear" w:color="auto" w:fill="C6EFCE"/>
            <w:noWrap/>
            <w:vAlign w:val="center"/>
          </w:tcPr>
          <w:p w14:paraId="40FCA65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3785FA3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Taastuvate energiaallikate konto – võimsuse suurendamise eesmärk 3 </w:t>
            </w:r>
          </w:p>
        </w:tc>
      </w:tr>
      <w:tr w:rsidR="006E0EA2" w:rsidRPr="00E51C50" w14:paraId="51974A9E"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609AFF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113</w:t>
            </w:r>
          </w:p>
        </w:tc>
        <w:tc>
          <w:tcPr>
            <w:tcW w:w="4283" w:type="dxa"/>
            <w:tcBorders>
              <w:top w:val="nil"/>
              <w:left w:val="nil"/>
              <w:bottom w:val="single" w:sz="4" w:space="0" w:color="auto"/>
              <w:right w:val="single" w:sz="4" w:space="0" w:color="auto"/>
            </w:tcBorders>
            <w:shd w:val="clear" w:color="auto" w:fill="C6EFCE"/>
            <w:noWrap/>
            <w:vAlign w:val="center"/>
          </w:tcPr>
          <w:p w14:paraId="5CB05D63" w14:textId="77777777" w:rsidR="00B430F0" w:rsidRPr="002001BC"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16738_ Keskne dokumendihaldussüsteem</w:t>
            </w:r>
          </w:p>
        </w:tc>
        <w:tc>
          <w:tcPr>
            <w:tcW w:w="1692" w:type="dxa"/>
            <w:tcBorders>
              <w:top w:val="nil"/>
              <w:left w:val="nil"/>
              <w:bottom w:val="single" w:sz="4" w:space="0" w:color="auto"/>
              <w:right w:val="single" w:sz="4" w:space="0" w:color="auto"/>
            </w:tcBorders>
            <w:shd w:val="clear" w:color="auto" w:fill="C6EFCE"/>
            <w:noWrap/>
            <w:vAlign w:val="center"/>
          </w:tcPr>
          <w:p w14:paraId="74FB83D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6FFCD57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Keskse dokumendihaldussüsteemi projekti lõpuleviimine </w:t>
            </w:r>
          </w:p>
        </w:tc>
      </w:tr>
      <w:tr w:rsidR="006E0EA2" w:rsidRPr="003B132A" w14:paraId="5AE00E46"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416756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114</w:t>
            </w:r>
          </w:p>
        </w:tc>
        <w:tc>
          <w:tcPr>
            <w:tcW w:w="4283" w:type="dxa"/>
            <w:tcBorders>
              <w:top w:val="nil"/>
              <w:left w:val="nil"/>
              <w:bottom w:val="single" w:sz="4" w:space="0" w:color="auto"/>
              <w:right w:val="single" w:sz="4" w:space="0" w:color="auto"/>
            </w:tcBorders>
            <w:shd w:val="clear" w:color="auto" w:fill="C6EFCE"/>
            <w:noWrap/>
            <w:vAlign w:val="center"/>
          </w:tcPr>
          <w:p w14:paraId="5CA1C5E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16742_välisministeeriumi digitaalne ümberkujundamine</w:t>
            </w:r>
          </w:p>
        </w:tc>
        <w:tc>
          <w:tcPr>
            <w:tcW w:w="1692" w:type="dxa"/>
            <w:tcBorders>
              <w:top w:val="nil"/>
              <w:left w:val="nil"/>
              <w:bottom w:val="single" w:sz="4" w:space="0" w:color="auto"/>
              <w:right w:val="single" w:sz="4" w:space="0" w:color="auto"/>
            </w:tcBorders>
            <w:shd w:val="clear" w:color="auto" w:fill="C6EFCE"/>
            <w:noWrap/>
            <w:vAlign w:val="center"/>
          </w:tcPr>
          <w:p w14:paraId="4531390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0C66B2A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Välisministeeriumi digiülemineku lõpuleviimine</w:t>
            </w:r>
          </w:p>
        </w:tc>
      </w:tr>
      <w:tr w:rsidR="006E0EA2" w:rsidRPr="003B132A" w14:paraId="2502548E"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090855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115</w:t>
            </w:r>
          </w:p>
        </w:tc>
        <w:tc>
          <w:tcPr>
            <w:tcW w:w="4283" w:type="dxa"/>
            <w:tcBorders>
              <w:top w:val="nil"/>
              <w:left w:val="nil"/>
              <w:bottom w:val="single" w:sz="4" w:space="0" w:color="auto"/>
              <w:right w:val="single" w:sz="4" w:space="0" w:color="auto"/>
            </w:tcBorders>
            <w:shd w:val="clear" w:color="auto" w:fill="C6EFCE"/>
            <w:noWrap/>
            <w:vAlign w:val="center"/>
          </w:tcPr>
          <w:p w14:paraId="2357783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16791_Kreeka riikliku turismiorganisatsiooni digiüleminek</w:t>
            </w:r>
          </w:p>
        </w:tc>
        <w:tc>
          <w:tcPr>
            <w:tcW w:w="1692" w:type="dxa"/>
            <w:tcBorders>
              <w:top w:val="nil"/>
              <w:left w:val="nil"/>
              <w:bottom w:val="single" w:sz="4" w:space="0" w:color="auto"/>
              <w:right w:val="single" w:sz="4" w:space="0" w:color="auto"/>
            </w:tcBorders>
            <w:shd w:val="clear" w:color="auto" w:fill="C6EFCE"/>
            <w:noWrap/>
            <w:vAlign w:val="center"/>
          </w:tcPr>
          <w:p w14:paraId="6DAC0FF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7CECD70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Kreeka riikliku turismiorganisatsiooni digiülemineku lõpuleviimine </w:t>
            </w:r>
          </w:p>
        </w:tc>
      </w:tr>
      <w:tr w:rsidR="006E0EA2" w:rsidRPr="003B132A" w14:paraId="5DE1061E"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5728EC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116</w:t>
            </w:r>
          </w:p>
        </w:tc>
        <w:tc>
          <w:tcPr>
            <w:tcW w:w="4283" w:type="dxa"/>
            <w:tcBorders>
              <w:top w:val="nil"/>
              <w:left w:val="nil"/>
              <w:bottom w:val="single" w:sz="4" w:space="0" w:color="auto"/>
              <w:right w:val="single" w:sz="4" w:space="0" w:color="auto"/>
            </w:tcBorders>
            <w:shd w:val="clear" w:color="auto" w:fill="C6EFCE"/>
            <w:noWrap/>
            <w:vAlign w:val="center"/>
          </w:tcPr>
          <w:p w14:paraId="76DCFF53"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16964_järgmise põlvkonna koostalitlusvõime keskus (KED)</w:t>
            </w:r>
          </w:p>
        </w:tc>
        <w:tc>
          <w:tcPr>
            <w:tcW w:w="1692" w:type="dxa"/>
            <w:tcBorders>
              <w:top w:val="nil"/>
              <w:left w:val="nil"/>
              <w:bottom w:val="single" w:sz="4" w:space="0" w:color="auto"/>
              <w:right w:val="single" w:sz="4" w:space="0" w:color="auto"/>
            </w:tcBorders>
            <w:shd w:val="clear" w:color="auto" w:fill="C6EFCE"/>
            <w:noWrap/>
            <w:vAlign w:val="center"/>
          </w:tcPr>
          <w:p w14:paraId="173BFD7A"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7378019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Järgmise põlvkonna koostalitlusvõime keskuse tegevuse lõpuleviimine</w:t>
            </w:r>
          </w:p>
        </w:tc>
      </w:tr>
      <w:tr w:rsidR="006E0EA2" w:rsidRPr="003B132A" w14:paraId="76CC0A37"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1CB4A33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117</w:t>
            </w:r>
          </w:p>
        </w:tc>
        <w:tc>
          <w:tcPr>
            <w:tcW w:w="4283" w:type="dxa"/>
            <w:tcBorders>
              <w:top w:val="nil"/>
              <w:left w:val="nil"/>
              <w:bottom w:val="single" w:sz="4" w:space="0" w:color="auto"/>
              <w:right w:val="single" w:sz="4" w:space="0" w:color="auto"/>
            </w:tcBorders>
            <w:shd w:val="clear" w:color="auto" w:fill="C6EFCE"/>
            <w:noWrap/>
            <w:vAlign w:val="center"/>
          </w:tcPr>
          <w:p w14:paraId="58E6213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16785_Turismiregister e-MHTE</w:t>
            </w:r>
          </w:p>
        </w:tc>
        <w:tc>
          <w:tcPr>
            <w:tcW w:w="1692" w:type="dxa"/>
            <w:tcBorders>
              <w:top w:val="nil"/>
              <w:left w:val="nil"/>
              <w:bottom w:val="single" w:sz="4" w:space="0" w:color="auto"/>
              <w:right w:val="single" w:sz="4" w:space="0" w:color="auto"/>
            </w:tcBorders>
            <w:shd w:val="clear" w:color="auto" w:fill="C6EFCE"/>
            <w:noWrap/>
            <w:vAlign w:val="center"/>
          </w:tcPr>
          <w:p w14:paraId="0F940EB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3E05925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Digitaalse turismi registri lõpuleviimine </w:t>
            </w:r>
          </w:p>
        </w:tc>
      </w:tr>
      <w:tr w:rsidR="006E0EA2" w:rsidRPr="00E02B5D" w14:paraId="10053BD8"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0CB0CE6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118</w:t>
            </w:r>
          </w:p>
        </w:tc>
        <w:tc>
          <w:tcPr>
            <w:tcW w:w="4283" w:type="dxa"/>
            <w:tcBorders>
              <w:top w:val="nil"/>
              <w:left w:val="nil"/>
              <w:bottom w:val="single" w:sz="4" w:space="0" w:color="auto"/>
              <w:right w:val="single" w:sz="4" w:space="0" w:color="auto"/>
            </w:tcBorders>
            <w:shd w:val="clear" w:color="auto" w:fill="C6EFCE"/>
            <w:noWrap/>
            <w:vAlign w:val="center"/>
          </w:tcPr>
          <w:p w14:paraId="75EBFB8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16826_Digioskuste täiendamise programmid ajateenijatele</w:t>
            </w:r>
          </w:p>
        </w:tc>
        <w:tc>
          <w:tcPr>
            <w:tcW w:w="1692" w:type="dxa"/>
            <w:tcBorders>
              <w:top w:val="nil"/>
              <w:left w:val="nil"/>
              <w:bottom w:val="single" w:sz="4" w:space="0" w:color="auto"/>
              <w:right w:val="single" w:sz="4" w:space="0" w:color="auto"/>
            </w:tcBorders>
            <w:shd w:val="clear" w:color="auto" w:fill="C6EFCE"/>
            <w:noWrap/>
            <w:vAlign w:val="center"/>
          </w:tcPr>
          <w:p w14:paraId="791DFC6D"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0E69E866"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Koolitatud ajateenijate arv</w:t>
            </w:r>
          </w:p>
        </w:tc>
      </w:tr>
      <w:tr w:rsidR="006E0EA2" w:rsidRPr="003B132A" w14:paraId="5EA9F5C3"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3D57615"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131</w:t>
            </w:r>
          </w:p>
        </w:tc>
        <w:tc>
          <w:tcPr>
            <w:tcW w:w="4283" w:type="dxa"/>
            <w:tcBorders>
              <w:top w:val="nil"/>
              <w:left w:val="nil"/>
              <w:bottom w:val="single" w:sz="4" w:space="0" w:color="auto"/>
              <w:right w:val="single" w:sz="4" w:space="0" w:color="auto"/>
            </w:tcBorders>
            <w:shd w:val="clear" w:color="auto" w:fill="C6EFCE"/>
            <w:noWrap/>
            <w:vAlign w:val="center"/>
          </w:tcPr>
          <w:p w14:paraId="1F1FC85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7-2.3. Ettevõtete digitaliseerimine – 16706_VKEde digitaalne ümberkujundamine</w:t>
            </w:r>
          </w:p>
        </w:tc>
        <w:tc>
          <w:tcPr>
            <w:tcW w:w="1692" w:type="dxa"/>
            <w:tcBorders>
              <w:top w:val="nil"/>
              <w:left w:val="nil"/>
              <w:bottom w:val="single" w:sz="4" w:space="0" w:color="auto"/>
              <w:right w:val="single" w:sz="4" w:space="0" w:color="auto"/>
            </w:tcBorders>
            <w:shd w:val="clear" w:color="auto" w:fill="C6EFCE"/>
            <w:noWrap/>
            <w:vAlign w:val="center"/>
          </w:tcPr>
          <w:p w14:paraId="21557ABD"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675262E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VKEde digiüleminek – toodete ja teenuste pakkumine</w:t>
            </w:r>
          </w:p>
        </w:tc>
      </w:tr>
      <w:tr w:rsidR="006E0EA2" w:rsidRPr="003B132A" w14:paraId="145529E9"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946279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132</w:t>
            </w:r>
          </w:p>
        </w:tc>
        <w:tc>
          <w:tcPr>
            <w:tcW w:w="4283" w:type="dxa"/>
            <w:tcBorders>
              <w:top w:val="nil"/>
              <w:left w:val="nil"/>
              <w:bottom w:val="single" w:sz="4" w:space="0" w:color="auto"/>
              <w:right w:val="single" w:sz="4" w:space="0" w:color="auto"/>
            </w:tcBorders>
            <w:shd w:val="clear" w:color="auto" w:fill="C6EFCE"/>
            <w:noWrap/>
            <w:vAlign w:val="center"/>
          </w:tcPr>
          <w:p w14:paraId="536A697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7-2.3. Ettevõtete digiteerimine – 16973_Digitaalse ettevõtluse ökosüsteemi loomine ja maksusoodustuste kehtestamine VKEde digiülemineku hõlbustamiseks</w:t>
            </w:r>
          </w:p>
        </w:tc>
        <w:tc>
          <w:tcPr>
            <w:tcW w:w="1692" w:type="dxa"/>
            <w:tcBorders>
              <w:top w:val="nil"/>
              <w:left w:val="nil"/>
              <w:bottom w:val="single" w:sz="4" w:space="0" w:color="auto"/>
              <w:right w:val="single" w:sz="4" w:space="0" w:color="auto"/>
            </w:tcBorders>
            <w:shd w:val="clear" w:color="auto" w:fill="C6EFCE"/>
            <w:noWrap/>
            <w:vAlign w:val="center"/>
          </w:tcPr>
          <w:p w14:paraId="345D7D6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01A0E3F0"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VKEde digiüleminek: seadusandlik reform, et stimuleerida tehnoloogiate kasutuselevõttu</w:t>
            </w:r>
          </w:p>
        </w:tc>
      </w:tr>
      <w:tr w:rsidR="006E0EA2" w:rsidRPr="003B132A" w14:paraId="16A53E29"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2357A35"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136</w:t>
            </w:r>
          </w:p>
        </w:tc>
        <w:tc>
          <w:tcPr>
            <w:tcW w:w="4283" w:type="dxa"/>
            <w:tcBorders>
              <w:top w:val="nil"/>
              <w:left w:val="nil"/>
              <w:bottom w:val="single" w:sz="4" w:space="0" w:color="auto"/>
              <w:right w:val="single" w:sz="4" w:space="0" w:color="auto"/>
            </w:tcBorders>
            <w:shd w:val="clear" w:color="auto" w:fill="C6EFCE"/>
            <w:noWrap/>
            <w:vAlign w:val="center"/>
          </w:tcPr>
          <w:p w14:paraId="789E08D2"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8-3.1. Edendada töökohtade loomist ja tööturul osalemist – 16750_Töösüsteemide digitaalne ümberkujundamine</w:t>
            </w:r>
          </w:p>
        </w:tc>
        <w:tc>
          <w:tcPr>
            <w:tcW w:w="1692" w:type="dxa"/>
            <w:tcBorders>
              <w:top w:val="nil"/>
              <w:left w:val="nil"/>
              <w:bottom w:val="single" w:sz="4" w:space="0" w:color="auto"/>
              <w:right w:val="single" w:sz="4" w:space="0" w:color="auto"/>
            </w:tcBorders>
            <w:shd w:val="clear" w:color="auto" w:fill="C6EFCE"/>
            <w:noWrap/>
            <w:vAlign w:val="center"/>
          </w:tcPr>
          <w:p w14:paraId="61C5665F"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6CF53954"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Atlase pensionisüsteemi lõpuleviimine</w:t>
            </w:r>
          </w:p>
        </w:tc>
      </w:tr>
      <w:tr w:rsidR="006E0EA2" w:rsidRPr="003B132A" w14:paraId="44028F05"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tcPr>
          <w:p w14:paraId="5C4E5B12"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148a</w:t>
            </w:r>
          </w:p>
        </w:tc>
        <w:tc>
          <w:tcPr>
            <w:tcW w:w="4283" w:type="dxa"/>
            <w:tcBorders>
              <w:top w:val="nil"/>
              <w:left w:val="nil"/>
              <w:bottom w:val="single" w:sz="4" w:space="0" w:color="auto"/>
              <w:right w:val="single" w:sz="4" w:space="0" w:color="auto"/>
            </w:tcBorders>
            <w:shd w:val="clear" w:color="auto" w:fill="C6EFCE"/>
            <w:noWrap/>
          </w:tcPr>
          <w:p w14:paraId="4508B9E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9-3.2. Haridus, kutseharidus ja -koolitus ning oskused – 16676_Hariduse digitaalne ümberkujundamine</w:t>
            </w:r>
          </w:p>
        </w:tc>
        <w:tc>
          <w:tcPr>
            <w:tcW w:w="1692" w:type="dxa"/>
            <w:tcBorders>
              <w:top w:val="nil"/>
              <w:left w:val="nil"/>
              <w:bottom w:val="single" w:sz="4" w:space="0" w:color="auto"/>
              <w:right w:val="single" w:sz="4" w:space="0" w:color="auto"/>
            </w:tcBorders>
            <w:shd w:val="clear" w:color="auto" w:fill="C6EFCE"/>
            <w:noWrap/>
          </w:tcPr>
          <w:p w14:paraId="7ACF9545"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tcPr>
          <w:p w14:paraId="089E828A"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Õppekavade ajakohastamise, teenuste ratsionaliseerimise ja haridustulemuste jälgimise strateegia</w:t>
            </w:r>
          </w:p>
        </w:tc>
      </w:tr>
      <w:tr w:rsidR="006E0EA2" w:rsidRPr="00E02B5D" w14:paraId="1AF8AC26"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135971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157</w:t>
            </w:r>
          </w:p>
        </w:tc>
        <w:tc>
          <w:tcPr>
            <w:tcW w:w="4283" w:type="dxa"/>
            <w:tcBorders>
              <w:top w:val="nil"/>
              <w:left w:val="nil"/>
              <w:bottom w:val="single" w:sz="4" w:space="0" w:color="auto"/>
              <w:right w:val="single" w:sz="4" w:space="0" w:color="auto"/>
            </w:tcBorders>
            <w:shd w:val="clear" w:color="auto" w:fill="C6EFCE"/>
            <w:noWrap/>
            <w:vAlign w:val="center"/>
          </w:tcPr>
          <w:p w14:paraId="6FF168B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Tervishoiusüsteemi vastupanuvõime, juurdepääsetavuse ja jätkusuutlikkuse parandamine – 16816_Reformid ja investeeringute kiirendamine tervishoiusektoris – tagasinõude vähendamine ja tervishoiukulude ratsionaliseerimine</w:t>
            </w:r>
          </w:p>
        </w:tc>
        <w:tc>
          <w:tcPr>
            <w:tcW w:w="1692" w:type="dxa"/>
            <w:tcBorders>
              <w:top w:val="nil"/>
              <w:left w:val="nil"/>
              <w:bottom w:val="single" w:sz="4" w:space="0" w:color="auto"/>
              <w:right w:val="single" w:sz="4" w:space="0" w:color="auto"/>
            </w:tcBorders>
            <w:shd w:val="clear" w:color="auto" w:fill="C6EFCE"/>
            <w:noWrap/>
            <w:vAlign w:val="center"/>
          </w:tcPr>
          <w:p w14:paraId="1B4B8396"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3B03C711" w14:textId="2B460575"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Tagasinõudmine väheneb 300 000 000 võrra – 3. etapp</w:t>
            </w:r>
          </w:p>
        </w:tc>
      </w:tr>
      <w:tr w:rsidR="006E0EA2" w:rsidRPr="003B132A" w14:paraId="6A57C8C9"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50F0E08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163</w:t>
            </w:r>
          </w:p>
        </w:tc>
        <w:tc>
          <w:tcPr>
            <w:tcW w:w="4283" w:type="dxa"/>
            <w:tcBorders>
              <w:top w:val="nil"/>
              <w:left w:val="nil"/>
              <w:bottom w:val="single" w:sz="4" w:space="0" w:color="auto"/>
              <w:right w:val="single" w:sz="4" w:space="0" w:color="auto"/>
            </w:tcBorders>
            <w:shd w:val="clear" w:color="auto" w:fill="C6EFCE"/>
            <w:noWrap/>
            <w:vAlign w:val="center"/>
          </w:tcPr>
          <w:p w14:paraId="43E29A1F" w14:textId="65AEF4E4"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xml:space="preserve">10-3.3. Tervishoiusüsteemi vastupanuvõime, juurdepääsetavuse ja jätkusuutlikkuse parandamine – 16756_Tervishoiusüsteemi organisatsioonilised reformid </w:t>
            </w:r>
          </w:p>
        </w:tc>
        <w:tc>
          <w:tcPr>
            <w:tcW w:w="1692" w:type="dxa"/>
            <w:tcBorders>
              <w:top w:val="nil"/>
              <w:left w:val="nil"/>
              <w:bottom w:val="single" w:sz="4" w:space="0" w:color="auto"/>
              <w:right w:val="single" w:sz="4" w:space="0" w:color="auto"/>
            </w:tcBorders>
            <w:shd w:val="clear" w:color="auto" w:fill="C6EFCE"/>
            <w:noWrap/>
            <w:vAlign w:val="center"/>
          </w:tcPr>
          <w:p w14:paraId="673F737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083EBFF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Tervishoiusüsteem – finaliseerida Kreeka DRG instituut KETEKNY ja uus tervishoiu kvaliteedi tagamise amet ODIPY (v. a koolitus)</w:t>
            </w:r>
          </w:p>
        </w:tc>
      </w:tr>
      <w:tr w:rsidR="006E0EA2" w:rsidRPr="003B132A" w14:paraId="7F011813"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44BEC79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164</w:t>
            </w:r>
          </w:p>
        </w:tc>
        <w:tc>
          <w:tcPr>
            <w:tcW w:w="4283" w:type="dxa"/>
            <w:tcBorders>
              <w:top w:val="nil"/>
              <w:left w:val="nil"/>
              <w:bottom w:val="single" w:sz="4" w:space="0" w:color="auto"/>
              <w:right w:val="single" w:sz="4" w:space="0" w:color="auto"/>
            </w:tcBorders>
            <w:shd w:val="clear" w:color="auto" w:fill="C6EFCE"/>
            <w:noWrap/>
            <w:vAlign w:val="center"/>
          </w:tcPr>
          <w:p w14:paraId="65FC06BB" w14:textId="03F5AF7D"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xml:space="preserve">10-3.3. Tervishoiusüsteemi vastupanuvõime, juurdepääsetavuse ja jätkusuutlikkuse parandamine – 16756_Tervishoiusüsteemi organisatsioonilised reformid </w:t>
            </w:r>
          </w:p>
        </w:tc>
        <w:tc>
          <w:tcPr>
            <w:tcW w:w="1692" w:type="dxa"/>
            <w:tcBorders>
              <w:top w:val="nil"/>
              <w:left w:val="nil"/>
              <w:bottom w:val="single" w:sz="4" w:space="0" w:color="auto"/>
              <w:right w:val="single" w:sz="4" w:space="0" w:color="auto"/>
            </w:tcBorders>
            <w:shd w:val="clear" w:color="auto" w:fill="C6EFCE"/>
            <w:noWrap/>
            <w:vAlign w:val="center"/>
          </w:tcPr>
          <w:p w14:paraId="109B1F16"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2A0438B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Tervishoiusüsteem – KETEKNY ODIPY läbinud koolituse</w:t>
            </w:r>
          </w:p>
        </w:tc>
      </w:tr>
      <w:tr w:rsidR="006E0EA2" w:rsidRPr="00E51C50" w14:paraId="6759C216"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8058F4E"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168</w:t>
            </w:r>
          </w:p>
        </w:tc>
        <w:tc>
          <w:tcPr>
            <w:tcW w:w="4283" w:type="dxa"/>
            <w:tcBorders>
              <w:top w:val="nil"/>
              <w:left w:val="nil"/>
              <w:bottom w:val="single" w:sz="4" w:space="0" w:color="auto"/>
              <w:right w:val="single" w:sz="4" w:space="0" w:color="auto"/>
            </w:tcBorders>
            <w:shd w:val="clear" w:color="auto" w:fill="C6EFCE"/>
            <w:noWrap/>
            <w:vAlign w:val="center"/>
          </w:tcPr>
          <w:p w14:paraId="38578DA9"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10-3.3. Tervishoiu vastupanuvõime, juurdepääsetavuse ja jätkusuutlikkuse parandamine – 16752_Tervise digitaalne ümberkujundamine (DigHealth)</w:t>
            </w:r>
          </w:p>
        </w:tc>
        <w:tc>
          <w:tcPr>
            <w:tcW w:w="1692" w:type="dxa"/>
            <w:tcBorders>
              <w:top w:val="nil"/>
              <w:left w:val="nil"/>
              <w:bottom w:val="single" w:sz="4" w:space="0" w:color="auto"/>
              <w:right w:val="single" w:sz="4" w:space="0" w:color="auto"/>
            </w:tcBorders>
            <w:shd w:val="clear" w:color="auto" w:fill="C6EFCE"/>
            <w:noWrap/>
            <w:vAlign w:val="center"/>
          </w:tcPr>
          <w:p w14:paraId="11E25C92"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34060E27"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Digiüleminek – vähi digiprogramm – 2. allprojekt</w:t>
            </w:r>
          </w:p>
        </w:tc>
      </w:tr>
      <w:tr w:rsidR="006E0EA2" w:rsidRPr="003B132A" w14:paraId="72B8A4F9"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977B09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169</w:t>
            </w:r>
          </w:p>
        </w:tc>
        <w:tc>
          <w:tcPr>
            <w:tcW w:w="4283" w:type="dxa"/>
            <w:tcBorders>
              <w:top w:val="nil"/>
              <w:left w:val="nil"/>
              <w:bottom w:val="single" w:sz="4" w:space="0" w:color="auto"/>
              <w:right w:val="single" w:sz="4" w:space="0" w:color="auto"/>
            </w:tcBorders>
            <w:shd w:val="clear" w:color="auto" w:fill="C6EFCE"/>
            <w:noWrap/>
            <w:vAlign w:val="center"/>
          </w:tcPr>
          <w:p w14:paraId="7FBF6314"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Tervishoiusüsteemi vastupidavuse, juurdepääsetavuse ja jätkusuutlikkuse parandamine – 16753 – Koduhooldus ja koduhaigla süsteemid</w:t>
            </w:r>
          </w:p>
        </w:tc>
        <w:tc>
          <w:tcPr>
            <w:tcW w:w="1692" w:type="dxa"/>
            <w:tcBorders>
              <w:top w:val="nil"/>
              <w:left w:val="nil"/>
              <w:bottom w:val="single" w:sz="4" w:space="0" w:color="auto"/>
              <w:right w:val="single" w:sz="4" w:space="0" w:color="auto"/>
            </w:tcBorders>
            <w:shd w:val="clear" w:color="auto" w:fill="C6EFCE"/>
            <w:noWrap/>
            <w:vAlign w:val="center"/>
          </w:tcPr>
          <w:p w14:paraId="6C48F3C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45BCAFF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Koduhooldus – üksuste avamine</w:t>
            </w:r>
          </w:p>
        </w:tc>
      </w:tr>
      <w:tr w:rsidR="006E0EA2" w:rsidRPr="003B132A" w14:paraId="6FDABF7B"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09DCE68"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179</w:t>
            </w:r>
          </w:p>
        </w:tc>
        <w:tc>
          <w:tcPr>
            <w:tcW w:w="4283" w:type="dxa"/>
            <w:tcBorders>
              <w:top w:val="nil"/>
              <w:left w:val="nil"/>
              <w:bottom w:val="single" w:sz="4" w:space="0" w:color="auto"/>
              <w:right w:val="single" w:sz="4" w:space="0" w:color="auto"/>
            </w:tcBorders>
            <w:shd w:val="clear" w:color="auto" w:fill="C6EFCE"/>
            <w:noWrap/>
            <w:vAlign w:val="center"/>
          </w:tcPr>
          <w:p w14:paraId="31043FA1"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16904_puue</w:t>
            </w:r>
          </w:p>
        </w:tc>
        <w:tc>
          <w:tcPr>
            <w:tcW w:w="1692" w:type="dxa"/>
            <w:tcBorders>
              <w:top w:val="nil"/>
              <w:left w:val="nil"/>
              <w:bottom w:val="single" w:sz="4" w:space="0" w:color="auto"/>
              <w:right w:val="single" w:sz="4" w:space="0" w:color="auto"/>
            </w:tcBorders>
            <w:shd w:val="clear" w:color="auto" w:fill="C6EFCE"/>
            <w:noWrap/>
            <w:vAlign w:val="center"/>
          </w:tcPr>
          <w:p w14:paraId="0B09C0C8"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10358277"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Personaalse abi puudega inimeste kava riiklik kasutuselevõtt.</w:t>
            </w:r>
          </w:p>
        </w:tc>
      </w:tr>
      <w:tr w:rsidR="006E0EA2" w:rsidRPr="00E02B5D" w14:paraId="3809F58A"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5F0D0FD" w14:textId="77777777" w:rsidR="00B430F0" w:rsidRPr="00E02B5D" w:rsidRDefault="00B430F0" w:rsidP="00D16F13">
            <w:pPr>
              <w:keepNext/>
              <w:spacing w:before="40" w:after="0" w:line="240" w:lineRule="auto"/>
              <w:jc w:val="both"/>
              <w:rPr>
                <w:rFonts w:ascii="Times New Roman" w:hAnsi="Times New Roman" w:cs="Times New Roman"/>
                <w:noProof/>
                <w:sz w:val="18"/>
              </w:rPr>
            </w:pPr>
            <w:r>
              <w:rPr>
                <w:rFonts w:ascii="Times New Roman" w:hAnsi="Times New Roman"/>
                <w:noProof/>
                <w:sz w:val="18"/>
              </w:rPr>
              <w:t>180</w:t>
            </w:r>
          </w:p>
        </w:tc>
        <w:tc>
          <w:tcPr>
            <w:tcW w:w="4283" w:type="dxa"/>
            <w:tcBorders>
              <w:top w:val="nil"/>
              <w:left w:val="nil"/>
              <w:bottom w:val="single" w:sz="4" w:space="0" w:color="auto"/>
              <w:right w:val="single" w:sz="4" w:space="0" w:color="auto"/>
            </w:tcBorders>
            <w:shd w:val="clear" w:color="auto" w:fill="C6EFCE"/>
            <w:noWrap/>
            <w:vAlign w:val="center"/>
          </w:tcPr>
          <w:p w14:paraId="728E44C3" w14:textId="77777777" w:rsidR="00B430F0" w:rsidRPr="00E02B5D" w:rsidRDefault="00B430F0" w:rsidP="00D16F13">
            <w:pPr>
              <w:keepNext/>
              <w:spacing w:before="40" w:after="0" w:line="240" w:lineRule="auto"/>
              <w:jc w:val="both"/>
              <w:rPr>
                <w:rFonts w:ascii="Times New Roman" w:hAnsi="Times New Roman" w:cs="Times New Roman"/>
                <w:noProof/>
                <w:sz w:val="18"/>
              </w:rPr>
            </w:pPr>
            <w:r>
              <w:rPr>
                <w:rFonts w:ascii="Times New Roman" w:hAnsi="Times New Roman"/>
                <w:noProof/>
                <w:sz w:val="18"/>
              </w:rPr>
              <w:t>11-3.4. Parandada juurdepääsu tõhusale ja kaasavale sotsiaalpoliitikale – 16919 – Laste kaitse</w:t>
            </w:r>
          </w:p>
        </w:tc>
        <w:tc>
          <w:tcPr>
            <w:tcW w:w="1692" w:type="dxa"/>
            <w:tcBorders>
              <w:top w:val="nil"/>
              <w:left w:val="nil"/>
              <w:bottom w:val="single" w:sz="4" w:space="0" w:color="auto"/>
              <w:right w:val="single" w:sz="4" w:space="0" w:color="auto"/>
            </w:tcBorders>
            <w:shd w:val="clear" w:color="auto" w:fill="C6EFCE"/>
            <w:noWrap/>
            <w:vAlign w:val="center"/>
          </w:tcPr>
          <w:p w14:paraId="56F0D849" w14:textId="77777777" w:rsidR="00B430F0" w:rsidRPr="00E02B5D" w:rsidRDefault="00B430F0" w:rsidP="00D16F13">
            <w:pPr>
              <w:keepNext/>
              <w:spacing w:before="40" w:after="0" w:line="240" w:lineRule="auto"/>
              <w:jc w:val="both"/>
              <w:rPr>
                <w:rFonts w:ascii="Times New Roman" w:hAnsi="Times New Roman" w:cs="Times New Roman"/>
                <w:noProof/>
                <w:sz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70A654A3" w14:textId="77777777" w:rsidR="00B430F0" w:rsidRPr="00E02B5D" w:rsidRDefault="00B430F0" w:rsidP="00D16F13">
            <w:pPr>
              <w:keepNext/>
              <w:spacing w:before="40" w:after="0" w:line="240" w:lineRule="auto"/>
              <w:jc w:val="both"/>
              <w:rPr>
                <w:rFonts w:ascii="Times New Roman" w:hAnsi="Times New Roman" w:cs="Times New Roman"/>
                <w:noProof/>
                <w:sz w:val="18"/>
              </w:rPr>
            </w:pPr>
            <w:r>
              <w:rPr>
                <w:rFonts w:ascii="Times New Roman" w:hAnsi="Times New Roman"/>
                <w:noProof/>
                <w:sz w:val="18"/>
              </w:rPr>
              <w:t xml:space="preserve">Lastehoiukeskuste personali komplekteerimine </w:t>
            </w:r>
          </w:p>
        </w:tc>
      </w:tr>
      <w:tr w:rsidR="006E0EA2" w:rsidRPr="003B132A" w14:paraId="455BEB70"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tcPr>
          <w:p w14:paraId="711D8094"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184a</w:t>
            </w:r>
          </w:p>
        </w:tc>
        <w:tc>
          <w:tcPr>
            <w:tcW w:w="4283" w:type="dxa"/>
            <w:tcBorders>
              <w:top w:val="nil"/>
              <w:left w:val="nil"/>
              <w:bottom w:val="single" w:sz="4" w:space="0" w:color="auto"/>
              <w:right w:val="single" w:sz="4" w:space="0" w:color="auto"/>
            </w:tcBorders>
            <w:shd w:val="clear" w:color="auto" w:fill="C6EFCE"/>
            <w:noWrap/>
          </w:tcPr>
          <w:p w14:paraId="13DA989E"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16685 – Mitmekesisuse teadvustamine</w:t>
            </w:r>
          </w:p>
        </w:tc>
        <w:tc>
          <w:tcPr>
            <w:tcW w:w="1692" w:type="dxa"/>
            <w:tcBorders>
              <w:top w:val="nil"/>
              <w:left w:val="nil"/>
              <w:bottom w:val="single" w:sz="4" w:space="0" w:color="auto"/>
              <w:right w:val="single" w:sz="4" w:space="0" w:color="auto"/>
            </w:tcBorders>
            <w:shd w:val="clear" w:color="auto" w:fill="C6EFCE"/>
            <w:noWrap/>
          </w:tcPr>
          <w:p w14:paraId="441D99C6"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tcPr>
          <w:p w14:paraId="3EA1197F"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Võrdõiguslikkuse ja diskrimineerimise mehhanism, võrdõiguslikkuse vaatluskeskus, auhinnasüsteem</w:t>
            </w:r>
          </w:p>
        </w:tc>
      </w:tr>
      <w:tr w:rsidR="006E0EA2" w:rsidRPr="003B132A" w14:paraId="558D6836"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263FA68"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186</w:t>
            </w:r>
          </w:p>
        </w:tc>
        <w:tc>
          <w:tcPr>
            <w:tcW w:w="4283" w:type="dxa"/>
            <w:tcBorders>
              <w:top w:val="nil"/>
              <w:left w:val="nil"/>
              <w:bottom w:val="single" w:sz="4" w:space="0" w:color="auto"/>
              <w:right w:val="single" w:sz="4" w:space="0" w:color="auto"/>
            </w:tcBorders>
            <w:shd w:val="clear" w:color="auto" w:fill="C6EFCE"/>
            <w:noWrap/>
            <w:vAlign w:val="center"/>
          </w:tcPr>
          <w:p w14:paraId="008A5601"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16922_Sotsiaalne integratsioon</w:t>
            </w:r>
          </w:p>
        </w:tc>
        <w:tc>
          <w:tcPr>
            <w:tcW w:w="1692" w:type="dxa"/>
            <w:tcBorders>
              <w:top w:val="nil"/>
              <w:left w:val="nil"/>
              <w:bottom w:val="single" w:sz="4" w:space="0" w:color="auto"/>
              <w:right w:val="single" w:sz="4" w:space="0" w:color="auto"/>
            </w:tcBorders>
            <w:shd w:val="clear" w:color="auto" w:fill="C6EFCE"/>
            <w:noWrap/>
            <w:vAlign w:val="center"/>
          </w:tcPr>
          <w:p w14:paraId="56121F55"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1048D7D9"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Sotsiaalkorterite renoveerimise lõpuleviimine </w:t>
            </w:r>
          </w:p>
        </w:tc>
      </w:tr>
      <w:tr w:rsidR="006E0EA2" w:rsidRPr="003B132A" w14:paraId="70850409"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CE3CB4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213</w:t>
            </w:r>
          </w:p>
        </w:tc>
        <w:tc>
          <w:tcPr>
            <w:tcW w:w="4283" w:type="dxa"/>
            <w:tcBorders>
              <w:top w:val="nil"/>
              <w:left w:val="nil"/>
              <w:bottom w:val="single" w:sz="4" w:space="0" w:color="auto"/>
              <w:right w:val="single" w:sz="4" w:space="0" w:color="auto"/>
            </w:tcBorders>
            <w:shd w:val="clear" w:color="auto" w:fill="C6EFCE"/>
            <w:noWrap/>
            <w:vAlign w:val="center"/>
          </w:tcPr>
          <w:p w14:paraId="39FAB06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16703_Võitlus ebaseadusliku kaubanduse vastu ja intellektuaalomandi kaitse</w:t>
            </w:r>
          </w:p>
        </w:tc>
        <w:tc>
          <w:tcPr>
            <w:tcW w:w="1692" w:type="dxa"/>
            <w:tcBorders>
              <w:top w:val="nil"/>
              <w:left w:val="nil"/>
              <w:bottom w:val="single" w:sz="4" w:space="0" w:color="auto"/>
              <w:right w:val="single" w:sz="4" w:space="0" w:color="auto"/>
            </w:tcBorders>
            <w:shd w:val="clear" w:color="auto" w:fill="C6EFCE"/>
            <w:noWrap/>
            <w:vAlign w:val="center"/>
          </w:tcPr>
          <w:p w14:paraId="614DFCB7"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07E4D326"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Võitlus ebaseadusliku kaubanduse vastu – IT-süsteem ja kontrolljaamad</w:t>
            </w:r>
          </w:p>
        </w:tc>
      </w:tr>
      <w:tr w:rsidR="006E0EA2" w:rsidRPr="003B132A" w14:paraId="428C73F4"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9F8C60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217</w:t>
            </w:r>
          </w:p>
        </w:tc>
        <w:tc>
          <w:tcPr>
            <w:tcW w:w="4283" w:type="dxa"/>
            <w:tcBorders>
              <w:top w:val="nil"/>
              <w:left w:val="nil"/>
              <w:bottom w:val="single" w:sz="4" w:space="0" w:color="auto"/>
              <w:right w:val="single" w:sz="4" w:space="0" w:color="auto"/>
            </w:tcBorders>
            <w:shd w:val="clear" w:color="auto" w:fill="C6EFCE"/>
            <w:noWrap/>
            <w:vAlign w:val="center"/>
          </w:tcPr>
          <w:p w14:paraId="17D2D96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16940_Kreeka saadetiste hoiu- ja laenufondi moderniseerimine </w:t>
            </w:r>
          </w:p>
        </w:tc>
        <w:tc>
          <w:tcPr>
            <w:tcW w:w="1692" w:type="dxa"/>
            <w:tcBorders>
              <w:top w:val="nil"/>
              <w:left w:val="nil"/>
              <w:bottom w:val="single" w:sz="4" w:space="0" w:color="auto"/>
              <w:right w:val="single" w:sz="4" w:space="0" w:color="auto"/>
            </w:tcBorders>
            <w:shd w:val="clear" w:color="auto" w:fill="C6EFCE"/>
            <w:noWrap/>
            <w:vAlign w:val="center"/>
          </w:tcPr>
          <w:p w14:paraId="0EEC42B5"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18C7C2E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Kreeka saadetiste hoiu- ja laenufondi Kreeka saadetiste ja hoiu- ja laenufondikõigi allprojektide lõpuleviimine</w:t>
            </w:r>
          </w:p>
        </w:tc>
      </w:tr>
      <w:tr w:rsidR="006E0EA2" w:rsidRPr="003B132A" w14:paraId="388D6DB1"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1492A4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261</w:t>
            </w:r>
          </w:p>
        </w:tc>
        <w:tc>
          <w:tcPr>
            <w:tcW w:w="4283" w:type="dxa"/>
            <w:tcBorders>
              <w:top w:val="nil"/>
              <w:left w:val="nil"/>
              <w:bottom w:val="single" w:sz="4" w:space="0" w:color="auto"/>
              <w:right w:val="single" w:sz="4" w:space="0" w:color="auto"/>
            </w:tcBorders>
            <w:shd w:val="clear" w:color="auto" w:fill="C6EFCE"/>
            <w:noWrap/>
            <w:vAlign w:val="center"/>
          </w:tcPr>
          <w:p w14:paraId="0EE819C6"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16630_Kreeta põhjakiirtee (Β. Ο. Α. Κ. )</w:t>
            </w:r>
          </w:p>
        </w:tc>
        <w:tc>
          <w:tcPr>
            <w:tcW w:w="1692" w:type="dxa"/>
            <w:tcBorders>
              <w:top w:val="nil"/>
              <w:left w:val="nil"/>
              <w:bottom w:val="single" w:sz="4" w:space="0" w:color="auto"/>
              <w:right w:val="single" w:sz="4" w:space="0" w:color="auto"/>
            </w:tcBorders>
            <w:shd w:val="clear" w:color="auto" w:fill="C6EFCE"/>
            <w:noWrap/>
            <w:vAlign w:val="center"/>
          </w:tcPr>
          <w:p w14:paraId="79317FF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vAlign w:val="center"/>
          </w:tcPr>
          <w:p w14:paraId="7B06378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BOAKi ehitustööde edenemine</w:t>
            </w:r>
          </w:p>
        </w:tc>
      </w:tr>
      <w:tr w:rsidR="006E0EA2" w:rsidRPr="003B132A" w14:paraId="17FC8F56"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4B600EF"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268b</w:t>
            </w:r>
          </w:p>
        </w:tc>
        <w:tc>
          <w:tcPr>
            <w:tcW w:w="4283" w:type="dxa"/>
            <w:tcBorders>
              <w:top w:val="nil"/>
              <w:left w:val="nil"/>
              <w:bottom w:val="single" w:sz="4" w:space="0" w:color="auto"/>
              <w:right w:val="single" w:sz="4" w:space="0" w:color="auto"/>
            </w:tcBorders>
            <w:shd w:val="clear" w:color="auto" w:fill="C6EFCE"/>
            <w:noWrap/>
            <w:vAlign w:val="center"/>
          </w:tcPr>
          <w:p w14:paraId="754E9E4C"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16982_Raudteesektori organisatsioonireform</w:t>
            </w:r>
          </w:p>
        </w:tc>
        <w:tc>
          <w:tcPr>
            <w:tcW w:w="1692" w:type="dxa"/>
            <w:tcBorders>
              <w:top w:val="nil"/>
              <w:left w:val="nil"/>
              <w:bottom w:val="single" w:sz="4" w:space="0" w:color="auto"/>
              <w:right w:val="single" w:sz="4" w:space="0" w:color="auto"/>
            </w:tcBorders>
            <w:shd w:val="clear" w:color="auto" w:fill="C6EFCE"/>
            <w:noWrap/>
            <w:vAlign w:val="center"/>
          </w:tcPr>
          <w:p w14:paraId="641BC2C4"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180BCE78"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Mitmeaastase investeerimisprogrammi vastuvõtmine, uue täitmislepingu allkirjastamine</w:t>
            </w:r>
          </w:p>
        </w:tc>
      </w:tr>
      <w:tr w:rsidR="006E0EA2" w:rsidRPr="003B132A" w14:paraId="46D22CDA"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4F13A37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294</w:t>
            </w:r>
          </w:p>
        </w:tc>
        <w:tc>
          <w:tcPr>
            <w:tcW w:w="4283" w:type="dxa"/>
            <w:tcBorders>
              <w:top w:val="nil"/>
              <w:left w:val="nil"/>
              <w:bottom w:val="single" w:sz="4" w:space="0" w:color="auto"/>
              <w:right w:val="single" w:sz="4" w:space="0" w:color="auto"/>
            </w:tcBorders>
            <w:shd w:val="clear" w:color="auto" w:fill="C6EFCE"/>
            <w:noWrap/>
            <w:vAlign w:val="center"/>
          </w:tcPr>
          <w:p w14:paraId="3F73FD0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16944_Kreeka reisilaevastiku uuendamise üldkava</w:t>
            </w:r>
          </w:p>
        </w:tc>
        <w:tc>
          <w:tcPr>
            <w:tcW w:w="1692" w:type="dxa"/>
            <w:tcBorders>
              <w:top w:val="nil"/>
              <w:left w:val="nil"/>
              <w:bottom w:val="single" w:sz="4" w:space="0" w:color="auto"/>
              <w:right w:val="single" w:sz="4" w:space="0" w:color="auto"/>
            </w:tcBorders>
            <w:shd w:val="clear" w:color="auto" w:fill="C6EFCE"/>
            <w:noWrap/>
            <w:vAlign w:val="center"/>
          </w:tcPr>
          <w:p w14:paraId="5FBED0BB"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365A71F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Kreeka reisilaevanduse üldkava</w:t>
            </w:r>
          </w:p>
        </w:tc>
      </w:tr>
      <w:tr w:rsidR="006E0EA2" w:rsidRPr="003B132A" w14:paraId="40B09710"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080F7C2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313</w:t>
            </w:r>
          </w:p>
        </w:tc>
        <w:tc>
          <w:tcPr>
            <w:tcW w:w="4283" w:type="dxa"/>
            <w:tcBorders>
              <w:top w:val="nil"/>
              <w:left w:val="nil"/>
              <w:bottom w:val="single" w:sz="4" w:space="0" w:color="auto"/>
              <w:right w:val="single" w:sz="4" w:space="0" w:color="auto"/>
            </w:tcBorders>
            <w:shd w:val="clear" w:color="auto" w:fill="C6EFCE"/>
            <w:noWrap/>
            <w:vAlign w:val="center"/>
          </w:tcPr>
          <w:p w14:paraId="551B305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17-4.6. Peamiste majandussektorite ajakohastamine ja vastupanuvõime parandamine – 16653_Digitaalne ümberkujundamine põllumajandus- ja toiduainesektoris</w:t>
            </w:r>
          </w:p>
        </w:tc>
        <w:tc>
          <w:tcPr>
            <w:tcW w:w="1692" w:type="dxa"/>
            <w:tcBorders>
              <w:top w:val="nil"/>
              <w:left w:val="nil"/>
              <w:bottom w:val="single" w:sz="4" w:space="0" w:color="auto"/>
              <w:right w:val="single" w:sz="4" w:space="0" w:color="auto"/>
            </w:tcBorders>
            <w:shd w:val="clear" w:color="auto" w:fill="C6EFCE"/>
            <w:noWrap/>
            <w:vAlign w:val="center"/>
          </w:tcPr>
          <w:p w14:paraId="0F1A9F0D"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vAlign w:val="center"/>
          </w:tcPr>
          <w:p w14:paraId="0B546B9A"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Põllumajanduse digitehnoloogiale ülemineku projekti lõpuleviimine</w:t>
            </w:r>
          </w:p>
        </w:tc>
      </w:tr>
      <w:tr w:rsidR="006E0EA2" w:rsidRPr="003B132A" w14:paraId="0AA1C32C"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tcPr>
          <w:p w14:paraId="51A0096B"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332</w:t>
            </w:r>
          </w:p>
        </w:tc>
        <w:tc>
          <w:tcPr>
            <w:tcW w:w="4283" w:type="dxa"/>
            <w:tcBorders>
              <w:top w:val="nil"/>
              <w:left w:val="nil"/>
              <w:bottom w:val="single" w:sz="4" w:space="0" w:color="auto"/>
              <w:right w:val="single" w:sz="4" w:space="0" w:color="auto"/>
            </w:tcBorders>
            <w:shd w:val="clear" w:color="auto" w:fill="C6EFCE"/>
            <w:noWrap/>
          </w:tcPr>
          <w:p w14:paraId="03962817"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4-1.4. Ressursside säästev kasutamine, vastupanuvõime kliimamuutustele ja keskkonnakaitse – Üldkasutatavate hoonete seismilisuse esialgne ülevaatus</w:t>
            </w:r>
          </w:p>
        </w:tc>
        <w:tc>
          <w:tcPr>
            <w:tcW w:w="1692" w:type="dxa"/>
            <w:tcBorders>
              <w:top w:val="nil"/>
              <w:left w:val="nil"/>
              <w:bottom w:val="single" w:sz="4" w:space="0" w:color="auto"/>
              <w:right w:val="single" w:sz="4" w:space="0" w:color="auto"/>
            </w:tcBorders>
            <w:shd w:val="clear" w:color="auto" w:fill="C6EFCE"/>
            <w:noWrap/>
          </w:tcPr>
          <w:p w14:paraId="328CA225"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tcPr>
          <w:p w14:paraId="58352A39"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Esialgsete seismiliste kontrollide lõpuleviimine</w:t>
            </w:r>
          </w:p>
        </w:tc>
      </w:tr>
      <w:tr w:rsidR="006E0EA2" w:rsidRPr="00E51C50" w14:paraId="215834C4"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tcPr>
          <w:p w14:paraId="7AC92920" w14:textId="77777777" w:rsidR="00B430F0" w:rsidRPr="00E02B5D" w:rsidRDefault="00B430F0" w:rsidP="00D82707">
            <w:pPr>
              <w:keepNext/>
              <w:spacing w:before="40" w:after="0" w:line="259" w:lineRule="auto"/>
              <w:jc w:val="both"/>
              <w:rPr>
                <w:rFonts w:ascii="Times New Roman" w:hAnsi="Times New Roman" w:cs="Times New Roman"/>
                <w:noProof/>
                <w:sz w:val="18"/>
              </w:rPr>
            </w:pPr>
            <w:r>
              <w:rPr>
                <w:rFonts w:ascii="Times New Roman" w:hAnsi="Times New Roman"/>
                <w:noProof/>
                <w:sz w:val="18"/>
              </w:rPr>
              <w:t>336</w:t>
            </w:r>
          </w:p>
        </w:tc>
        <w:tc>
          <w:tcPr>
            <w:tcW w:w="4283" w:type="dxa"/>
            <w:tcBorders>
              <w:top w:val="nil"/>
              <w:left w:val="nil"/>
              <w:bottom w:val="single" w:sz="4" w:space="0" w:color="auto"/>
              <w:right w:val="single" w:sz="4" w:space="0" w:color="auto"/>
            </w:tcBorders>
            <w:shd w:val="clear" w:color="auto" w:fill="C6EFCE"/>
            <w:noWrap/>
          </w:tcPr>
          <w:p w14:paraId="123BAF08" w14:textId="77777777" w:rsidR="00B430F0" w:rsidRPr="00E02B5D" w:rsidRDefault="00B430F0" w:rsidP="00D82707">
            <w:pPr>
              <w:keepNext/>
              <w:spacing w:before="40" w:after="0" w:line="259" w:lineRule="auto"/>
              <w:jc w:val="both"/>
              <w:rPr>
                <w:rFonts w:ascii="Times New Roman" w:hAnsi="Times New Roman" w:cs="Times New Roman"/>
                <w:noProof/>
                <w:sz w:val="18"/>
              </w:rPr>
            </w:pPr>
            <w:r>
              <w:rPr>
                <w:rFonts w:ascii="Times New Roman" w:hAnsi="Times New Roman"/>
                <w:noProof/>
                <w:sz w:val="18"/>
              </w:rPr>
              <w:t>10-3.3. Parandada tervishoiu vastupanuvõimet, kättesaadavust ja jätkusuutlikkust – 16984_Üldarstide refrom</w:t>
            </w:r>
          </w:p>
        </w:tc>
        <w:tc>
          <w:tcPr>
            <w:tcW w:w="1692" w:type="dxa"/>
            <w:tcBorders>
              <w:top w:val="nil"/>
              <w:left w:val="nil"/>
              <w:bottom w:val="single" w:sz="4" w:space="0" w:color="auto"/>
              <w:right w:val="single" w:sz="4" w:space="0" w:color="auto"/>
            </w:tcBorders>
            <w:shd w:val="clear" w:color="auto" w:fill="C6EFCE"/>
            <w:noWrap/>
          </w:tcPr>
          <w:p w14:paraId="16B689DE" w14:textId="77777777" w:rsidR="00B430F0" w:rsidRPr="00E02B5D" w:rsidRDefault="00B430F0" w:rsidP="00D82707">
            <w:pPr>
              <w:keepNext/>
              <w:spacing w:before="40" w:after="0" w:line="259" w:lineRule="auto"/>
              <w:jc w:val="both"/>
              <w:rPr>
                <w:rFonts w:ascii="Times New Roman" w:hAnsi="Times New Roman" w:cs="Times New Roman"/>
                <w:noProof/>
                <w:sz w:val="18"/>
              </w:rPr>
            </w:pPr>
            <w:r>
              <w:rPr>
                <w:rFonts w:ascii="Times New Roman" w:hAnsi="Times New Roman"/>
                <w:noProof/>
                <w:sz w:val="18"/>
              </w:rPr>
              <w:t>Eesmärk</w:t>
            </w:r>
          </w:p>
        </w:tc>
        <w:tc>
          <w:tcPr>
            <w:tcW w:w="1757" w:type="dxa"/>
            <w:tcBorders>
              <w:top w:val="nil"/>
              <w:left w:val="nil"/>
              <w:bottom w:val="single" w:sz="4" w:space="0" w:color="auto"/>
              <w:right w:val="single" w:sz="4" w:space="0" w:color="auto"/>
            </w:tcBorders>
            <w:shd w:val="clear" w:color="auto" w:fill="C6EFCE"/>
            <w:noWrap/>
          </w:tcPr>
          <w:p w14:paraId="73D3D9D2" w14:textId="77777777" w:rsidR="00B430F0" w:rsidRPr="00E02B5D" w:rsidRDefault="00B430F0" w:rsidP="00D82707">
            <w:pPr>
              <w:keepNext/>
              <w:spacing w:before="40" w:after="0" w:line="259" w:lineRule="auto"/>
              <w:jc w:val="both"/>
              <w:rPr>
                <w:rFonts w:ascii="Times New Roman" w:hAnsi="Times New Roman" w:cs="Times New Roman"/>
                <w:noProof/>
                <w:sz w:val="18"/>
              </w:rPr>
            </w:pPr>
            <w:r>
              <w:rPr>
                <w:rFonts w:ascii="Times New Roman" w:hAnsi="Times New Roman"/>
                <w:noProof/>
                <w:sz w:val="18"/>
              </w:rPr>
              <w:t xml:space="preserve">Üldarstide refrom – rahvastiku registreerimine </w:t>
            </w:r>
          </w:p>
        </w:tc>
      </w:tr>
      <w:tr w:rsidR="006E0EA2" w:rsidRPr="00E02B5D" w14:paraId="7176D30B" w14:textId="77777777" w:rsidTr="5A02F5D5">
        <w:trPr>
          <w:trHeight w:val="302"/>
          <w:jc w:val="center"/>
        </w:trPr>
        <w:tc>
          <w:tcPr>
            <w:tcW w:w="1804" w:type="dxa"/>
            <w:tcBorders>
              <w:top w:val="nil"/>
              <w:left w:val="single" w:sz="4" w:space="0" w:color="auto"/>
              <w:bottom w:val="single" w:sz="4" w:space="0" w:color="auto"/>
              <w:right w:val="single" w:sz="4" w:space="0" w:color="auto"/>
            </w:tcBorders>
            <w:shd w:val="clear" w:color="auto" w:fill="C6EFCE"/>
            <w:noWrap/>
          </w:tcPr>
          <w:p w14:paraId="4FED1732" w14:textId="77777777" w:rsidR="00B430F0" w:rsidRPr="00E02B5D" w:rsidRDefault="00B430F0" w:rsidP="004E35AC">
            <w:pPr>
              <w:keepNext/>
              <w:spacing w:before="40" w:after="0" w:line="259" w:lineRule="auto"/>
              <w:jc w:val="both"/>
              <w:rPr>
                <w:rFonts w:ascii="Times New Roman" w:hAnsi="Times New Roman" w:cs="Times New Roman"/>
                <w:noProof/>
                <w:sz w:val="18"/>
              </w:rPr>
            </w:pPr>
            <w:r>
              <w:rPr>
                <w:rFonts w:ascii="Times New Roman" w:hAnsi="Times New Roman"/>
                <w:noProof/>
                <w:sz w:val="18"/>
              </w:rPr>
              <w:t>344</w:t>
            </w:r>
          </w:p>
        </w:tc>
        <w:tc>
          <w:tcPr>
            <w:tcW w:w="4283" w:type="dxa"/>
            <w:tcBorders>
              <w:top w:val="nil"/>
              <w:left w:val="nil"/>
              <w:bottom w:val="single" w:sz="4" w:space="0" w:color="auto"/>
              <w:right w:val="single" w:sz="4" w:space="0" w:color="auto"/>
            </w:tcBorders>
            <w:shd w:val="clear" w:color="auto" w:fill="C6EFCE"/>
            <w:noWrap/>
          </w:tcPr>
          <w:p w14:paraId="559FCAC1" w14:textId="77777777" w:rsidR="00B430F0" w:rsidRPr="00E02B5D" w:rsidRDefault="00B430F0" w:rsidP="004E35AC">
            <w:pPr>
              <w:keepNext/>
              <w:spacing w:before="40" w:after="0" w:line="259" w:lineRule="auto"/>
              <w:jc w:val="both"/>
              <w:rPr>
                <w:rFonts w:ascii="Times New Roman" w:hAnsi="Times New Roman" w:cs="Times New Roman"/>
                <w:noProof/>
                <w:sz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16986_Riikliku katastri lõpuleviimine</w:t>
            </w:r>
          </w:p>
        </w:tc>
        <w:tc>
          <w:tcPr>
            <w:tcW w:w="1692" w:type="dxa"/>
            <w:tcBorders>
              <w:top w:val="nil"/>
              <w:left w:val="nil"/>
              <w:bottom w:val="single" w:sz="4" w:space="0" w:color="auto"/>
              <w:right w:val="single" w:sz="4" w:space="0" w:color="auto"/>
            </w:tcBorders>
            <w:shd w:val="clear" w:color="auto" w:fill="C6EFCE"/>
            <w:noWrap/>
          </w:tcPr>
          <w:p w14:paraId="6E323609" w14:textId="77777777" w:rsidR="00B430F0" w:rsidRPr="00E02B5D" w:rsidRDefault="00B430F0" w:rsidP="004E35AC">
            <w:pPr>
              <w:keepNext/>
              <w:spacing w:before="40" w:after="0" w:line="259" w:lineRule="auto"/>
              <w:jc w:val="both"/>
              <w:rPr>
                <w:rFonts w:ascii="Times New Roman" w:hAnsi="Times New Roman" w:cs="Times New Roman"/>
                <w:noProof/>
                <w:sz w:val="18"/>
              </w:rPr>
            </w:pPr>
            <w:r>
              <w:rPr>
                <w:rFonts w:ascii="Times New Roman" w:hAnsi="Times New Roman"/>
                <w:noProof/>
                <w:sz w:val="18"/>
              </w:rPr>
              <w:t>Siht</w:t>
            </w:r>
          </w:p>
        </w:tc>
        <w:tc>
          <w:tcPr>
            <w:tcW w:w="1757" w:type="dxa"/>
            <w:tcBorders>
              <w:top w:val="nil"/>
              <w:left w:val="nil"/>
              <w:bottom w:val="single" w:sz="4" w:space="0" w:color="auto"/>
              <w:right w:val="single" w:sz="4" w:space="0" w:color="auto"/>
            </w:tcBorders>
            <w:shd w:val="clear" w:color="auto" w:fill="C6EFCE"/>
            <w:noWrap/>
          </w:tcPr>
          <w:p w14:paraId="174FF501" w14:textId="77777777" w:rsidR="00B430F0" w:rsidRPr="00E02B5D" w:rsidRDefault="00B430F0" w:rsidP="004E35AC">
            <w:pPr>
              <w:keepNext/>
              <w:spacing w:before="40" w:after="0" w:line="259" w:lineRule="auto"/>
              <w:jc w:val="both"/>
              <w:rPr>
                <w:rFonts w:ascii="Times New Roman" w:hAnsi="Times New Roman" w:cs="Times New Roman"/>
                <w:noProof/>
                <w:sz w:val="18"/>
              </w:rPr>
            </w:pPr>
            <w:r>
              <w:rPr>
                <w:rFonts w:ascii="Times New Roman" w:hAnsi="Times New Roman"/>
                <w:noProof/>
                <w:sz w:val="18"/>
              </w:rPr>
              <w:t>Katastriüksuste kaardistamine – täielik lõpuleviimine</w:t>
            </w:r>
          </w:p>
        </w:tc>
      </w:tr>
      <w:tr w:rsidR="00B430F0" w:rsidRPr="003B132A" w14:paraId="11904E14" w14:textId="77777777" w:rsidTr="00230F85">
        <w:trPr>
          <w:trHeight w:val="302"/>
          <w:jc w:val="center"/>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768B4939"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345</w:t>
            </w:r>
          </w:p>
        </w:tc>
        <w:tc>
          <w:tcPr>
            <w:tcW w:w="4283" w:type="dxa"/>
            <w:tcBorders>
              <w:top w:val="single" w:sz="4" w:space="0" w:color="auto"/>
              <w:left w:val="nil"/>
              <w:bottom w:val="single" w:sz="4" w:space="0" w:color="auto"/>
              <w:right w:val="single" w:sz="4" w:space="0" w:color="auto"/>
            </w:tcBorders>
            <w:shd w:val="clear" w:color="auto" w:fill="C6EFCE"/>
            <w:noWrap/>
          </w:tcPr>
          <w:p w14:paraId="58851634"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16986_Riikliku katastri lõpuleviimine</w:t>
            </w:r>
          </w:p>
        </w:tc>
        <w:tc>
          <w:tcPr>
            <w:tcW w:w="1692" w:type="dxa"/>
            <w:tcBorders>
              <w:top w:val="single" w:sz="4" w:space="0" w:color="auto"/>
              <w:left w:val="nil"/>
              <w:bottom w:val="single" w:sz="4" w:space="0" w:color="auto"/>
              <w:right w:val="single" w:sz="4" w:space="0" w:color="auto"/>
            </w:tcBorders>
            <w:shd w:val="clear" w:color="auto" w:fill="C6EFCE"/>
            <w:noWrap/>
          </w:tcPr>
          <w:p w14:paraId="04B1A488"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Eesmärk</w:t>
            </w:r>
          </w:p>
        </w:tc>
        <w:tc>
          <w:tcPr>
            <w:tcW w:w="1757" w:type="dxa"/>
            <w:tcBorders>
              <w:top w:val="single" w:sz="4" w:space="0" w:color="auto"/>
              <w:left w:val="nil"/>
              <w:bottom w:val="single" w:sz="4" w:space="0" w:color="auto"/>
              <w:right w:val="single" w:sz="4" w:space="0" w:color="auto"/>
            </w:tcBorders>
            <w:shd w:val="clear" w:color="auto" w:fill="C6EFCE"/>
            <w:noWrap/>
          </w:tcPr>
          <w:p w14:paraId="2E01AE81"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Üleminek Kreeka katastri uuele organisatsioonilisele struktuurile – täielik lõpuleviimine</w:t>
            </w:r>
          </w:p>
        </w:tc>
      </w:tr>
      <w:tr w:rsidR="00B430F0" w:rsidRPr="003B132A" w14:paraId="67B271E6" w14:textId="77777777" w:rsidTr="00230F85">
        <w:trPr>
          <w:trHeight w:val="302"/>
          <w:jc w:val="center"/>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6810061E"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354</w:t>
            </w:r>
          </w:p>
        </w:tc>
        <w:tc>
          <w:tcPr>
            <w:tcW w:w="4283" w:type="dxa"/>
            <w:tcBorders>
              <w:top w:val="single" w:sz="4" w:space="0" w:color="auto"/>
              <w:left w:val="nil"/>
              <w:bottom w:val="single" w:sz="4" w:space="0" w:color="auto"/>
              <w:right w:val="single" w:sz="4" w:space="0" w:color="auto"/>
            </w:tcBorders>
            <w:shd w:val="clear" w:color="auto" w:fill="C6EFCE"/>
            <w:noWrap/>
          </w:tcPr>
          <w:p w14:paraId="49C79739" w14:textId="77777777" w:rsidR="00B430F0" w:rsidRPr="00E02B5D" w:rsidRDefault="00B430F0" w:rsidP="00D16F13">
            <w:pPr>
              <w:keepNext/>
              <w:spacing w:before="40" w:after="0" w:line="259" w:lineRule="auto"/>
              <w:jc w:val="both"/>
              <w:rPr>
                <w:rFonts w:ascii="Times New Roman" w:eastAsia="Times New Roman" w:hAnsi="Times New Roman" w:cs="Times New Roman"/>
                <w:noProof/>
                <w:color w:val="006100"/>
                <w:sz w:val="18"/>
                <w:szCs w:val="18"/>
              </w:rPr>
            </w:pPr>
            <w:r>
              <w:rPr>
                <w:rFonts w:ascii="Times New Roman" w:hAnsi="Times New Roman"/>
                <w:noProof/>
                <w:sz w:val="18"/>
              </w:rPr>
              <w:t>20-5.1. REPowerEU reformid – 16989_Maa- ja mereruumi kasutamise optimeerimine taastuvate energiaallikate ja avamere tuuleenergia arendamiseks</w:t>
            </w:r>
          </w:p>
        </w:tc>
        <w:tc>
          <w:tcPr>
            <w:tcW w:w="1692" w:type="dxa"/>
            <w:tcBorders>
              <w:top w:val="single" w:sz="4" w:space="0" w:color="auto"/>
              <w:left w:val="nil"/>
              <w:bottom w:val="single" w:sz="4" w:space="0" w:color="auto"/>
              <w:right w:val="single" w:sz="4" w:space="0" w:color="auto"/>
            </w:tcBorders>
            <w:shd w:val="clear" w:color="auto" w:fill="C6EFCE"/>
            <w:noWrap/>
          </w:tcPr>
          <w:p w14:paraId="090135E2"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single" w:sz="4" w:space="0" w:color="auto"/>
              <w:left w:val="nil"/>
              <w:bottom w:val="single" w:sz="4" w:space="0" w:color="auto"/>
              <w:right w:val="single" w:sz="4" w:space="0" w:color="auto"/>
            </w:tcBorders>
            <w:shd w:val="clear" w:color="auto" w:fill="C6EFCE"/>
            <w:noWrap/>
          </w:tcPr>
          <w:p w14:paraId="0E7CE038" w14:textId="77777777" w:rsidR="00B430F0" w:rsidRPr="00E02B5D" w:rsidRDefault="00B430F0" w:rsidP="00D16F13">
            <w:pPr>
              <w:keepNext/>
              <w:spacing w:before="40" w:after="0" w:line="259" w:lineRule="auto"/>
              <w:jc w:val="both"/>
              <w:rPr>
                <w:rFonts w:ascii="Times New Roman" w:eastAsia="Times New Roman" w:hAnsi="Times New Roman" w:cs="Times New Roman"/>
                <w:noProof/>
                <w:color w:val="006100"/>
                <w:sz w:val="18"/>
                <w:szCs w:val="18"/>
              </w:rPr>
            </w:pPr>
            <w:r>
              <w:rPr>
                <w:rFonts w:ascii="Times New Roman" w:hAnsi="Times New Roman"/>
                <w:noProof/>
                <w:sz w:val="18"/>
              </w:rPr>
              <w:t>Jõustub presidendi dekreet, millega määratakse avamere tuuleenergia projektide jaoks esimene rühm alasid</w:t>
            </w:r>
          </w:p>
        </w:tc>
      </w:tr>
      <w:tr w:rsidR="00B430F0" w:rsidRPr="003B132A" w14:paraId="58C354AE" w14:textId="77777777" w:rsidTr="00230F85">
        <w:trPr>
          <w:trHeight w:val="302"/>
          <w:jc w:val="center"/>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43C86F2E"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357</w:t>
            </w:r>
          </w:p>
        </w:tc>
        <w:tc>
          <w:tcPr>
            <w:tcW w:w="4283" w:type="dxa"/>
            <w:tcBorders>
              <w:top w:val="single" w:sz="4" w:space="0" w:color="auto"/>
              <w:left w:val="nil"/>
              <w:bottom w:val="single" w:sz="4" w:space="0" w:color="auto"/>
              <w:right w:val="single" w:sz="4" w:space="0" w:color="auto"/>
            </w:tcBorders>
            <w:shd w:val="clear" w:color="auto" w:fill="C6EFCE"/>
            <w:noWrap/>
          </w:tcPr>
          <w:p w14:paraId="7B5DFD64"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20-5.1. Kava „REPowerEU“ reformid – 16990_Grid ja hoiustamisvõimsus – hoidlatesse tehtavate investeeringute edendamine</w:t>
            </w:r>
          </w:p>
        </w:tc>
        <w:tc>
          <w:tcPr>
            <w:tcW w:w="1692" w:type="dxa"/>
            <w:tcBorders>
              <w:top w:val="single" w:sz="4" w:space="0" w:color="auto"/>
              <w:left w:val="nil"/>
              <w:bottom w:val="single" w:sz="4" w:space="0" w:color="auto"/>
              <w:right w:val="single" w:sz="4" w:space="0" w:color="auto"/>
            </w:tcBorders>
            <w:shd w:val="clear" w:color="auto" w:fill="C6EFCE"/>
            <w:noWrap/>
          </w:tcPr>
          <w:p w14:paraId="5FCEE2AE"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 xml:space="preserve">Eesmärk </w:t>
            </w:r>
          </w:p>
        </w:tc>
        <w:tc>
          <w:tcPr>
            <w:tcW w:w="1757" w:type="dxa"/>
            <w:tcBorders>
              <w:top w:val="single" w:sz="4" w:space="0" w:color="auto"/>
              <w:left w:val="nil"/>
              <w:bottom w:val="single" w:sz="4" w:space="0" w:color="auto"/>
              <w:right w:val="single" w:sz="4" w:space="0" w:color="auto"/>
            </w:tcBorders>
            <w:shd w:val="clear" w:color="auto" w:fill="C6EFCE"/>
            <w:noWrap/>
          </w:tcPr>
          <w:p w14:paraId="1EDB2912" w14:textId="77777777" w:rsidR="00B430F0" w:rsidRPr="00E02B5D" w:rsidRDefault="00B430F0" w:rsidP="00D16F13">
            <w:pPr>
              <w:keepNext/>
              <w:spacing w:before="40" w:after="0" w:line="259" w:lineRule="auto"/>
              <w:jc w:val="both"/>
              <w:rPr>
                <w:rFonts w:ascii="Times New Roman" w:hAnsi="Times New Roman" w:cs="Times New Roman"/>
                <w:noProof/>
                <w:sz w:val="18"/>
              </w:rPr>
            </w:pPr>
            <w:r>
              <w:rPr>
                <w:rFonts w:ascii="Times New Roman" w:hAnsi="Times New Roman"/>
                <w:noProof/>
                <w:sz w:val="18"/>
              </w:rPr>
              <w:t>Toetuskava jõustumine.</w:t>
            </w:r>
          </w:p>
        </w:tc>
      </w:tr>
      <w:tr w:rsidR="00B430F0" w:rsidRPr="003B132A" w14:paraId="717F0EA3" w14:textId="77777777" w:rsidTr="00230F85">
        <w:trPr>
          <w:trHeight w:val="302"/>
          <w:jc w:val="center"/>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58947971"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362</w:t>
            </w:r>
          </w:p>
        </w:tc>
        <w:tc>
          <w:tcPr>
            <w:tcW w:w="4283" w:type="dxa"/>
            <w:tcBorders>
              <w:top w:val="single" w:sz="4" w:space="0" w:color="auto"/>
              <w:left w:val="nil"/>
              <w:bottom w:val="single" w:sz="4" w:space="0" w:color="auto"/>
              <w:right w:val="single" w:sz="4" w:space="0" w:color="auto"/>
            </w:tcBorders>
            <w:shd w:val="clear" w:color="auto" w:fill="C6EFCE"/>
            <w:noWrap/>
          </w:tcPr>
          <w:p w14:paraId="5303C2E9"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20-5. REPowerEU reformid – 16992_vahendid energia jagamise, omatarbimise ja taastuvenergiakogukondade edendamiseks</w:t>
            </w:r>
          </w:p>
        </w:tc>
        <w:tc>
          <w:tcPr>
            <w:tcW w:w="1692" w:type="dxa"/>
            <w:tcBorders>
              <w:top w:val="single" w:sz="4" w:space="0" w:color="auto"/>
              <w:left w:val="nil"/>
              <w:bottom w:val="single" w:sz="4" w:space="0" w:color="auto"/>
              <w:right w:val="single" w:sz="4" w:space="0" w:color="auto"/>
            </w:tcBorders>
            <w:shd w:val="clear" w:color="auto" w:fill="C6EFCE"/>
            <w:noWrap/>
          </w:tcPr>
          <w:p w14:paraId="52593CD6"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single" w:sz="4" w:space="0" w:color="auto"/>
              <w:left w:val="nil"/>
              <w:bottom w:val="single" w:sz="4" w:space="0" w:color="auto"/>
              <w:right w:val="single" w:sz="4" w:space="0" w:color="auto"/>
            </w:tcBorders>
            <w:shd w:val="clear" w:color="auto" w:fill="C6EFCE"/>
            <w:noWrap/>
            <w:vAlign w:val="bottom"/>
          </w:tcPr>
          <w:p w14:paraId="447FAF90"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Isetarbijate registri loomine ja tehniline abi energiakogukondadele</w:t>
            </w:r>
          </w:p>
        </w:tc>
      </w:tr>
      <w:tr w:rsidR="00B430F0" w:rsidRPr="003B132A" w14:paraId="52CA55AD" w14:textId="77777777" w:rsidTr="00230F85">
        <w:trPr>
          <w:trHeight w:val="302"/>
          <w:jc w:val="center"/>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32616F90"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364</w:t>
            </w:r>
          </w:p>
        </w:tc>
        <w:tc>
          <w:tcPr>
            <w:tcW w:w="4283" w:type="dxa"/>
            <w:tcBorders>
              <w:top w:val="single" w:sz="4" w:space="0" w:color="auto"/>
              <w:left w:val="nil"/>
              <w:bottom w:val="single" w:sz="4" w:space="0" w:color="auto"/>
              <w:right w:val="single" w:sz="4" w:space="0" w:color="auto"/>
            </w:tcBorders>
            <w:shd w:val="clear" w:color="auto" w:fill="C6EFCE"/>
            <w:noWrap/>
          </w:tcPr>
          <w:p w14:paraId="5F01B3F6"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rPr>
            </w:pPr>
            <w:r>
              <w:rPr>
                <w:rFonts w:ascii="Times New Roman" w:hAnsi="Times New Roman"/>
                <w:noProof/>
                <w:sz w:val="18"/>
              </w:rPr>
              <w:t>20-5. REPowerEU reformid – 16993_Innovatiivsete energiatõhususe meetmete tegevuskava ja uute rahastamisvahendite kindlaksmääramine</w:t>
            </w:r>
          </w:p>
        </w:tc>
        <w:tc>
          <w:tcPr>
            <w:tcW w:w="1692" w:type="dxa"/>
            <w:tcBorders>
              <w:top w:val="single" w:sz="4" w:space="0" w:color="auto"/>
              <w:left w:val="nil"/>
              <w:bottom w:val="single" w:sz="4" w:space="0" w:color="auto"/>
              <w:right w:val="single" w:sz="4" w:space="0" w:color="auto"/>
            </w:tcBorders>
            <w:shd w:val="clear" w:color="auto" w:fill="C6EFCE"/>
            <w:noWrap/>
          </w:tcPr>
          <w:p w14:paraId="5F61DD99"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1757" w:type="dxa"/>
            <w:tcBorders>
              <w:top w:val="single" w:sz="4" w:space="0" w:color="auto"/>
              <w:left w:val="nil"/>
              <w:bottom w:val="single" w:sz="4" w:space="0" w:color="auto"/>
              <w:right w:val="single" w:sz="4" w:space="0" w:color="auto"/>
            </w:tcBorders>
            <w:shd w:val="clear" w:color="auto" w:fill="C6EFCE"/>
            <w:noWrap/>
          </w:tcPr>
          <w:p w14:paraId="487F32BD"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Toetuseta rahastamisvahendi käivitamine</w:t>
            </w:r>
          </w:p>
        </w:tc>
      </w:tr>
      <w:tr w:rsidR="00B430F0" w:rsidRPr="00E02B5D" w14:paraId="48CF2989" w14:textId="77777777" w:rsidTr="00230F85">
        <w:trPr>
          <w:trHeight w:val="302"/>
          <w:jc w:val="center"/>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7459F98"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05086A95"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2EED79DF"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757" w:type="dxa"/>
            <w:tcBorders>
              <w:top w:val="single" w:sz="4" w:space="0" w:color="auto"/>
              <w:left w:val="nil"/>
              <w:bottom w:val="single" w:sz="4" w:space="0" w:color="auto"/>
              <w:right w:val="single" w:sz="4" w:space="0" w:color="auto"/>
            </w:tcBorders>
            <w:shd w:val="clear" w:color="auto" w:fill="C6EFCE"/>
            <w:noWrap/>
            <w:vAlign w:val="bottom"/>
          </w:tcPr>
          <w:p w14:paraId="67692C23" w14:textId="320BF82E" w:rsidR="00B430F0" w:rsidRPr="00E02B5D" w:rsidRDefault="00B430F0" w:rsidP="00E6168E">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1 696 474 735 eurot</w:t>
            </w:r>
          </w:p>
        </w:tc>
      </w:tr>
    </w:tbl>
    <w:p w14:paraId="4E79390C" w14:textId="77777777" w:rsidR="00B430F0" w:rsidRPr="00E02B5D" w:rsidRDefault="00B430F0" w:rsidP="00645BC7">
      <w:pPr>
        <w:keepNext/>
        <w:spacing w:before="40" w:after="0" w:line="259" w:lineRule="auto"/>
        <w:jc w:val="both"/>
        <w:rPr>
          <w:rFonts w:ascii="Times New Roman" w:eastAsia="Times New Roman" w:hAnsi="Times New Roman" w:cs="Times New Roman"/>
          <w:bCs/>
          <w:noProof/>
          <w:sz w:val="24"/>
          <w:szCs w:val="26"/>
          <w:lang w:val="en-GB"/>
        </w:rPr>
      </w:pPr>
    </w:p>
    <w:p w14:paraId="1B8E57C1"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Üheksas osamakse (tagastamatu toetus): </w:t>
      </w:r>
    </w:p>
    <w:p w14:paraId="3EC94B26" w14:textId="77777777" w:rsidR="00A70BCF" w:rsidRDefault="00A70BCF" w:rsidP="00A70BCF">
      <w:pPr>
        <w:keepNext/>
        <w:spacing w:before="40" w:after="160" w:line="259" w:lineRule="auto"/>
        <w:contextualSpacing/>
        <w:jc w:val="both"/>
        <w:rPr>
          <w:rFonts w:ascii="Times New Roman" w:eastAsia="Times New Roman" w:hAnsi="Times New Roman" w:cs="Times New Roman"/>
          <w:noProof/>
          <w:sz w:val="24"/>
          <w:lang w:val="en-GB"/>
        </w:rPr>
      </w:pPr>
    </w:p>
    <w:tbl>
      <w:tblPr>
        <w:tblW w:w="9820" w:type="dxa"/>
        <w:tblLook w:val="04A0" w:firstRow="1" w:lastRow="0" w:firstColumn="1" w:lastColumn="0" w:noHBand="0" w:noVBand="1"/>
      </w:tblPr>
      <w:tblGrid>
        <w:gridCol w:w="1803"/>
        <w:gridCol w:w="4281"/>
        <w:gridCol w:w="1690"/>
        <w:gridCol w:w="2301"/>
      </w:tblGrid>
      <w:tr w:rsidR="006E0EA2" w:rsidRPr="005622B6" w14:paraId="6E97D91E" w14:textId="77777777" w:rsidTr="005622B6">
        <w:trPr>
          <w:trHeight w:val="906"/>
          <w:tblHeader/>
        </w:trPr>
        <w:tc>
          <w:tcPr>
            <w:tcW w:w="180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B54C7F2" w14:textId="77777777" w:rsidR="00275DFC" w:rsidRPr="005622B6" w:rsidRDefault="00275DFC" w:rsidP="006E0EA2">
            <w:pPr>
              <w:keepNext/>
              <w:spacing w:before="40" w:after="0" w:line="256"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E877246" w14:textId="77777777" w:rsidR="00275DFC" w:rsidRPr="005622B6" w:rsidRDefault="00275DFC" w:rsidP="006E0EA2">
            <w:pPr>
              <w:keepNext/>
              <w:spacing w:before="40" w:after="0" w:line="256"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37955B" w14:textId="77777777" w:rsidR="00275DFC" w:rsidRPr="005622B6" w:rsidRDefault="00275DFC" w:rsidP="006E0EA2">
            <w:pPr>
              <w:keepNext/>
              <w:spacing w:before="40" w:after="0" w:line="256"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20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69D186" w14:textId="77777777" w:rsidR="00275DFC" w:rsidRPr="005622B6" w:rsidRDefault="00275DFC" w:rsidP="006E0EA2">
            <w:pPr>
              <w:keepNext/>
              <w:spacing w:before="40" w:after="0" w:line="256"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275DFC" w14:paraId="385E1E89" w14:textId="77777777" w:rsidTr="005622B6">
        <w:trPr>
          <w:trHeight w:val="990"/>
        </w:trPr>
        <w:tc>
          <w:tcPr>
            <w:tcW w:w="1803" w:type="dxa"/>
            <w:vMerge/>
            <w:tcBorders>
              <w:top w:val="single" w:sz="4" w:space="0" w:color="auto"/>
              <w:left w:val="single" w:sz="4" w:space="0" w:color="auto"/>
              <w:bottom w:val="single" w:sz="4" w:space="0" w:color="auto"/>
              <w:right w:val="single" w:sz="4" w:space="0" w:color="auto"/>
            </w:tcBorders>
            <w:vAlign w:val="center"/>
            <w:hideMark/>
          </w:tcPr>
          <w:p w14:paraId="52715320" w14:textId="77777777" w:rsidR="00275DFC" w:rsidRDefault="00275DFC" w:rsidP="006E0EA2">
            <w:pPr>
              <w:spacing w:after="0"/>
              <w:rPr>
                <w:rFonts w:ascii="Times New Roman" w:eastAsia="Times New Roman" w:hAnsi="Times New Roman" w:cs="Times New Roman"/>
                <w:noProof/>
                <w:sz w:val="18"/>
                <w:szCs w:val="18"/>
                <w:lang w:val="en-GB"/>
              </w:rPr>
            </w:pPr>
          </w:p>
        </w:tc>
        <w:tc>
          <w:tcPr>
            <w:tcW w:w="4281" w:type="dxa"/>
            <w:vMerge/>
            <w:tcBorders>
              <w:top w:val="single" w:sz="4" w:space="0" w:color="auto"/>
              <w:left w:val="single" w:sz="4" w:space="0" w:color="auto"/>
              <w:bottom w:val="single" w:sz="4" w:space="0" w:color="auto"/>
              <w:right w:val="single" w:sz="4" w:space="0" w:color="auto"/>
            </w:tcBorders>
            <w:vAlign w:val="center"/>
            <w:hideMark/>
          </w:tcPr>
          <w:p w14:paraId="608EDCF2" w14:textId="77777777" w:rsidR="00275DFC" w:rsidRDefault="00275DFC" w:rsidP="006E0EA2">
            <w:pPr>
              <w:spacing w:after="0"/>
              <w:rPr>
                <w:rFonts w:ascii="Times New Roman" w:eastAsia="Times New Roman" w:hAnsi="Times New Roman" w:cs="Times New Roman"/>
                <w:noProof/>
                <w:sz w:val="18"/>
                <w:szCs w:val="18"/>
                <w:lang w:val="en-GB"/>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3BF2673" w14:textId="77777777" w:rsidR="00275DFC" w:rsidRDefault="00275DFC" w:rsidP="006E0EA2">
            <w:pPr>
              <w:spacing w:after="0"/>
              <w:rPr>
                <w:rFonts w:ascii="Times New Roman" w:eastAsia="Times New Roman" w:hAnsi="Times New Roman" w:cs="Times New Roman"/>
                <w:noProof/>
                <w:sz w:val="18"/>
                <w:szCs w:val="18"/>
                <w:lang w:val="en-GB"/>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14:paraId="3732F141" w14:textId="77777777" w:rsidR="00275DFC" w:rsidRDefault="00275DFC" w:rsidP="006E0EA2">
            <w:pPr>
              <w:spacing w:after="0"/>
              <w:rPr>
                <w:rFonts w:ascii="Times New Roman" w:eastAsia="Times New Roman" w:hAnsi="Times New Roman" w:cs="Times New Roman"/>
                <w:noProof/>
                <w:sz w:val="18"/>
                <w:szCs w:val="18"/>
                <w:lang w:val="en-GB"/>
              </w:rPr>
            </w:pPr>
          </w:p>
        </w:tc>
      </w:tr>
      <w:tr w:rsidR="006E0EA2" w14:paraId="12923ECA" w14:textId="77777777" w:rsidTr="005622B6">
        <w:trPr>
          <w:trHeight w:val="302"/>
        </w:trPr>
        <w:tc>
          <w:tcPr>
            <w:tcW w:w="180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DC63208"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w:t>
            </w:r>
          </w:p>
        </w:tc>
        <w:tc>
          <w:tcPr>
            <w:tcW w:w="4281" w:type="dxa"/>
            <w:tcBorders>
              <w:top w:val="single" w:sz="4" w:space="0" w:color="auto"/>
              <w:left w:val="nil"/>
              <w:bottom w:val="single" w:sz="4" w:space="0" w:color="auto"/>
              <w:right w:val="single" w:sz="4" w:space="0" w:color="auto"/>
            </w:tcBorders>
            <w:shd w:val="clear" w:color="auto" w:fill="C6EFCE"/>
            <w:noWrap/>
            <w:vAlign w:val="center"/>
            <w:hideMark/>
          </w:tcPr>
          <w:p w14:paraId="077A2298"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1-1.1. Energeetika – 16870_Sekkumised saarte elektrivõrkude ühendamiseks ja elektrivõrgu ajakohastamiseks</w:t>
            </w:r>
          </w:p>
        </w:tc>
        <w:tc>
          <w:tcPr>
            <w:tcW w:w="1690" w:type="dxa"/>
            <w:tcBorders>
              <w:top w:val="single" w:sz="4" w:space="0" w:color="auto"/>
              <w:left w:val="nil"/>
              <w:bottom w:val="single" w:sz="4" w:space="0" w:color="auto"/>
              <w:right w:val="single" w:sz="4" w:space="0" w:color="auto"/>
            </w:tcBorders>
            <w:shd w:val="clear" w:color="auto" w:fill="C6EFCE"/>
            <w:noWrap/>
            <w:vAlign w:val="center"/>
            <w:hideMark/>
          </w:tcPr>
          <w:p w14:paraId="738DD1D8"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2046" w:type="dxa"/>
            <w:tcBorders>
              <w:top w:val="single" w:sz="4" w:space="0" w:color="auto"/>
              <w:left w:val="nil"/>
              <w:bottom w:val="single" w:sz="4" w:space="0" w:color="auto"/>
              <w:right w:val="single" w:sz="4" w:space="0" w:color="auto"/>
            </w:tcBorders>
            <w:shd w:val="clear" w:color="auto" w:fill="C6EFCE"/>
            <w:noWrap/>
            <w:vAlign w:val="center"/>
            <w:hideMark/>
          </w:tcPr>
          <w:p w14:paraId="22B84741"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Saarte ühendamine – lõpuleviimine</w:t>
            </w:r>
          </w:p>
        </w:tc>
      </w:tr>
      <w:tr w:rsidR="006E0EA2" w14:paraId="4FE1E2EE"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F7F8B60"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15</w:t>
            </w:r>
          </w:p>
        </w:tc>
        <w:tc>
          <w:tcPr>
            <w:tcW w:w="4281" w:type="dxa"/>
            <w:tcBorders>
              <w:top w:val="nil"/>
              <w:left w:val="nil"/>
              <w:bottom w:val="single" w:sz="4" w:space="0" w:color="auto"/>
              <w:right w:val="single" w:sz="4" w:space="0" w:color="auto"/>
            </w:tcBorders>
            <w:shd w:val="clear" w:color="auto" w:fill="C6EFCE"/>
            <w:noWrap/>
            <w:vAlign w:val="center"/>
            <w:hideMark/>
          </w:tcPr>
          <w:p w14:paraId="2B1299FF"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16871_Taaselustamismeetmed kõige enam mõjutatud territooriumidel (õiglase ülemineku piirkonnad)</w:t>
            </w:r>
          </w:p>
        </w:tc>
        <w:tc>
          <w:tcPr>
            <w:tcW w:w="1690" w:type="dxa"/>
            <w:tcBorders>
              <w:top w:val="nil"/>
              <w:left w:val="nil"/>
              <w:bottom w:val="single" w:sz="4" w:space="0" w:color="auto"/>
              <w:right w:val="single" w:sz="4" w:space="0" w:color="auto"/>
            </w:tcBorders>
            <w:shd w:val="clear" w:color="auto" w:fill="C6EFCE"/>
            <w:noWrap/>
            <w:vAlign w:val="center"/>
            <w:hideMark/>
          </w:tcPr>
          <w:p w14:paraId="03AAA75A"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44E2E7C2"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Maa taastamine – lõpuleviimine</w:t>
            </w:r>
          </w:p>
        </w:tc>
      </w:tr>
      <w:tr w:rsidR="006E0EA2" w14:paraId="6B88497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7CB9C0E"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16</w:t>
            </w:r>
          </w:p>
        </w:tc>
        <w:tc>
          <w:tcPr>
            <w:tcW w:w="4281" w:type="dxa"/>
            <w:tcBorders>
              <w:top w:val="nil"/>
              <w:left w:val="nil"/>
              <w:bottom w:val="single" w:sz="4" w:space="0" w:color="auto"/>
              <w:right w:val="single" w:sz="4" w:space="0" w:color="auto"/>
            </w:tcBorders>
            <w:shd w:val="clear" w:color="auto" w:fill="C6EFCE"/>
            <w:noWrap/>
            <w:vAlign w:val="center"/>
            <w:hideMark/>
          </w:tcPr>
          <w:p w14:paraId="492E8586"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16926_Salvestamissüsteemide paigaldamise toetamine taastuvate energiaallikate osakaalu suurendamiseks</w:t>
            </w:r>
          </w:p>
        </w:tc>
        <w:tc>
          <w:tcPr>
            <w:tcW w:w="1690" w:type="dxa"/>
            <w:tcBorders>
              <w:top w:val="nil"/>
              <w:left w:val="nil"/>
              <w:bottom w:val="single" w:sz="4" w:space="0" w:color="auto"/>
              <w:right w:val="single" w:sz="4" w:space="0" w:color="auto"/>
            </w:tcBorders>
            <w:shd w:val="clear" w:color="auto" w:fill="C6EFCE"/>
            <w:noWrap/>
            <w:vAlign w:val="center"/>
            <w:hideMark/>
          </w:tcPr>
          <w:p w14:paraId="18C5479D"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3591505"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Energia salvestamine – lõpuleviimine</w:t>
            </w:r>
          </w:p>
        </w:tc>
      </w:tr>
      <w:tr w:rsidR="006E0EA2" w14:paraId="7AD56202"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6783718"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w:t>
            </w:r>
          </w:p>
        </w:tc>
        <w:tc>
          <w:tcPr>
            <w:tcW w:w="4281" w:type="dxa"/>
            <w:tcBorders>
              <w:top w:val="nil"/>
              <w:left w:val="nil"/>
              <w:bottom w:val="single" w:sz="4" w:space="0" w:color="auto"/>
              <w:right w:val="single" w:sz="4" w:space="0" w:color="auto"/>
            </w:tcBorders>
            <w:shd w:val="clear" w:color="auto" w:fill="C6EFCE"/>
            <w:noWrap/>
            <w:vAlign w:val="center"/>
            <w:hideMark/>
          </w:tcPr>
          <w:p w14:paraId="2CE68922"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16901_HEDNO võrgu-uuendused, mille eesmärk on suurendada vastupidavust ja kaitsta keskkonda</w:t>
            </w:r>
          </w:p>
        </w:tc>
        <w:tc>
          <w:tcPr>
            <w:tcW w:w="1690" w:type="dxa"/>
            <w:tcBorders>
              <w:top w:val="nil"/>
              <w:left w:val="nil"/>
              <w:bottom w:val="single" w:sz="4" w:space="0" w:color="auto"/>
              <w:right w:val="single" w:sz="4" w:space="0" w:color="auto"/>
            </w:tcBorders>
            <w:shd w:val="clear" w:color="auto" w:fill="C6EFCE"/>
            <w:noWrap/>
            <w:vAlign w:val="center"/>
            <w:hideMark/>
          </w:tcPr>
          <w:p w14:paraId="2327A908"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438C5CEA"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HEDNO – 1. lõpetamine</w:t>
            </w:r>
          </w:p>
        </w:tc>
      </w:tr>
      <w:tr w:rsidR="006E0EA2" w14:paraId="07F40788"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71DE13B"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18</w:t>
            </w:r>
          </w:p>
        </w:tc>
        <w:tc>
          <w:tcPr>
            <w:tcW w:w="4281" w:type="dxa"/>
            <w:tcBorders>
              <w:top w:val="nil"/>
              <w:left w:val="nil"/>
              <w:bottom w:val="single" w:sz="4" w:space="0" w:color="auto"/>
              <w:right w:val="single" w:sz="4" w:space="0" w:color="auto"/>
            </w:tcBorders>
            <w:shd w:val="clear" w:color="auto" w:fill="C6EFCE"/>
            <w:noWrap/>
            <w:vAlign w:val="center"/>
            <w:hideMark/>
          </w:tcPr>
          <w:p w14:paraId="0056940A"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16900_HEDNO õhuliini uuendamine metsaaladel</w:t>
            </w:r>
          </w:p>
        </w:tc>
        <w:tc>
          <w:tcPr>
            <w:tcW w:w="1690" w:type="dxa"/>
            <w:tcBorders>
              <w:top w:val="nil"/>
              <w:left w:val="nil"/>
              <w:bottom w:val="single" w:sz="4" w:space="0" w:color="auto"/>
              <w:right w:val="single" w:sz="4" w:space="0" w:color="auto"/>
            </w:tcBorders>
            <w:shd w:val="clear" w:color="auto" w:fill="C6EFCE"/>
            <w:noWrap/>
            <w:vAlign w:val="center"/>
            <w:hideMark/>
          </w:tcPr>
          <w:p w14:paraId="147A03ED"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27F548BB"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HEDNO – 2. etapp</w:t>
            </w:r>
          </w:p>
        </w:tc>
      </w:tr>
      <w:tr w:rsidR="006E0EA2" w14:paraId="14EC82B6"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7D1B10B"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19</w:t>
            </w:r>
          </w:p>
        </w:tc>
        <w:tc>
          <w:tcPr>
            <w:tcW w:w="4281" w:type="dxa"/>
            <w:tcBorders>
              <w:top w:val="nil"/>
              <w:left w:val="nil"/>
              <w:bottom w:val="single" w:sz="4" w:space="0" w:color="auto"/>
              <w:right w:val="single" w:sz="4" w:space="0" w:color="auto"/>
            </w:tcBorders>
            <w:shd w:val="clear" w:color="auto" w:fill="C6EFCE"/>
            <w:noWrap/>
            <w:vAlign w:val="center"/>
            <w:hideMark/>
          </w:tcPr>
          <w:p w14:paraId="0281B529"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1-1.1. Energeetika – 16899_Ettevõtte Hellenic Electricity Distribution Network Operator (HEDNO) HV/MV alajaama võimsuse suurendamine uue taastuvenergia ühenduse jaoks</w:t>
            </w:r>
          </w:p>
        </w:tc>
        <w:tc>
          <w:tcPr>
            <w:tcW w:w="1690" w:type="dxa"/>
            <w:tcBorders>
              <w:top w:val="nil"/>
              <w:left w:val="nil"/>
              <w:bottom w:val="single" w:sz="4" w:space="0" w:color="auto"/>
              <w:right w:val="single" w:sz="4" w:space="0" w:color="auto"/>
            </w:tcBorders>
            <w:shd w:val="clear" w:color="auto" w:fill="C6EFCE"/>
            <w:noWrap/>
            <w:vAlign w:val="center"/>
            <w:hideMark/>
          </w:tcPr>
          <w:p w14:paraId="450FA848"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04B7A974"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HEDNO – 3. lõpetamine</w:t>
            </w:r>
          </w:p>
        </w:tc>
      </w:tr>
      <w:tr w:rsidR="006E0EA2" w:rsidRPr="003B132A" w14:paraId="66DDBB2C"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05F431A"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25</w:t>
            </w:r>
          </w:p>
        </w:tc>
        <w:tc>
          <w:tcPr>
            <w:tcW w:w="4281" w:type="dxa"/>
            <w:tcBorders>
              <w:top w:val="nil"/>
              <w:left w:val="nil"/>
              <w:bottom w:val="single" w:sz="4" w:space="0" w:color="auto"/>
              <w:right w:val="single" w:sz="4" w:space="0" w:color="auto"/>
            </w:tcBorders>
            <w:shd w:val="clear" w:color="auto" w:fill="C6EFCE"/>
            <w:noWrap/>
            <w:vAlign w:val="center"/>
            <w:hideMark/>
          </w:tcPr>
          <w:p w14:paraId="719E251E"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16872_Elamuhoonete renoveerimine</w:t>
            </w:r>
          </w:p>
        </w:tc>
        <w:tc>
          <w:tcPr>
            <w:tcW w:w="1690" w:type="dxa"/>
            <w:tcBorders>
              <w:top w:val="nil"/>
              <w:left w:val="nil"/>
              <w:bottom w:val="single" w:sz="4" w:space="0" w:color="auto"/>
              <w:right w:val="single" w:sz="4" w:space="0" w:color="auto"/>
            </w:tcBorders>
            <w:shd w:val="clear" w:color="auto" w:fill="C6EFCE"/>
            <w:noWrap/>
            <w:vAlign w:val="center"/>
            <w:hideMark/>
          </w:tcPr>
          <w:p w14:paraId="5B02E695"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1954D78B"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Elamute renoveerimine – energiaostuvõimetutele leibkondadele toodetud roheline energia</w:t>
            </w:r>
          </w:p>
        </w:tc>
      </w:tr>
      <w:tr w:rsidR="006E0EA2" w:rsidRPr="003B132A" w14:paraId="337F1C4E"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362725B"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26</w:t>
            </w:r>
          </w:p>
        </w:tc>
        <w:tc>
          <w:tcPr>
            <w:tcW w:w="4281" w:type="dxa"/>
            <w:tcBorders>
              <w:top w:val="nil"/>
              <w:left w:val="nil"/>
              <w:bottom w:val="single" w:sz="4" w:space="0" w:color="auto"/>
              <w:right w:val="single" w:sz="4" w:space="0" w:color="auto"/>
            </w:tcBorders>
            <w:shd w:val="clear" w:color="auto" w:fill="C6EFCE"/>
            <w:noWrap/>
            <w:vAlign w:val="center"/>
            <w:hideMark/>
          </w:tcPr>
          <w:p w14:paraId="52C9F210"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16872_Elamuhoonete renoveerimine</w:t>
            </w:r>
          </w:p>
        </w:tc>
        <w:tc>
          <w:tcPr>
            <w:tcW w:w="1690" w:type="dxa"/>
            <w:tcBorders>
              <w:top w:val="nil"/>
              <w:left w:val="nil"/>
              <w:bottom w:val="single" w:sz="4" w:space="0" w:color="auto"/>
              <w:right w:val="single" w:sz="4" w:space="0" w:color="auto"/>
            </w:tcBorders>
            <w:shd w:val="clear" w:color="auto" w:fill="C6EFCE"/>
            <w:noWrap/>
            <w:vAlign w:val="center"/>
            <w:hideMark/>
          </w:tcPr>
          <w:p w14:paraId="285823F5"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5868472B"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Elamute renoveerimine – elamute renoveerimine #3</w:t>
            </w:r>
          </w:p>
        </w:tc>
      </w:tr>
      <w:tr w:rsidR="006E0EA2" w14:paraId="27DECAF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E6DB474"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29</w:t>
            </w:r>
          </w:p>
        </w:tc>
        <w:tc>
          <w:tcPr>
            <w:tcW w:w="4281" w:type="dxa"/>
            <w:tcBorders>
              <w:top w:val="nil"/>
              <w:left w:val="nil"/>
              <w:bottom w:val="single" w:sz="4" w:space="0" w:color="auto"/>
              <w:right w:val="single" w:sz="4" w:space="0" w:color="auto"/>
            </w:tcBorders>
            <w:shd w:val="clear" w:color="auto" w:fill="C6EFCE"/>
            <w:noWrap/>
            <w:vAlign w:val="center"/>
            <w:hideMark/>
          </w:tcPr>
          <w:p w14:paraId="41B090FF"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16879_Linnaarengu kavade ettevalmistamine linnapoliitika reformi elluviimiseks</w:t>
            </w:r>
          </w:p>
        </w:tc>
        <w:tc>
          <w:tcPr>
            <w:tcW w:w="1690" w:type="dxa"/>
            <w:tcBorders>
              <w:top w:val="nil"/>
              <w:left w:val="nil"/>
              <w:bottom w:val="single" w:sz="4" w:space="0" w:color="auto"/>
              <w:right w:val="single" w:sz="4" w:space="0" w:color="auto"/>
            </w:tcBorders>
            <w:shd w:val="clear" w:color="auto" w:fill="C6EFCE"/>
            <w:noWrap/>
            <w:vAlign w:val="center"/>
            <w:hideMark/>
          </w:tcPr>
          <w:p w14:paraId="2DB74BB9" w14:textId="035A0E0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BE0BDD0"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Linnaplaneerimise lõpuleviimine</w:t>
            </w:r>
          </w:p>
        </w:tc>
      </w:tr>
      <w:tr w:rsidR="006E0EA2" w:rsidRPr="003B132A" w14:paraId="3FCAA1B7"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91CA5D2"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30</w:t>
            </w:r>
          </w:p>
        </w:tc>
        <w:tc>
          <w:tcPr>
            <w:tcW w:w="4281" w:type="dxa"/>
            <w:tcBorders>
              <w:top w:val="nil"/>
              <w:left w:val="nil"/>
              <w:bottom w:val="single" w:sz="4" w:space="0" w:color="auto"/>
              <w:right w:val="single" w:sz="4" w:space="0" w:color="auto"/>
            </w:tcBorders>
            <w:shd w:val="clear" w:color="auto" w:fill="C6EFCE"/>
            <w:noWrap/>
            <w:vAlign w:val="center"/>
            <w:hideMark/>
          </w:tcPr>
          <w:p w14:paraId="4B121F16"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16894_Taastuvate energiaallikate, tööstuse, turismi ja vesiviljeluse uue ruumilise planeerimise kehtestamine</w:t>
            </w:r>
          </w:p>
        </w:tc>
        <w:tc>
          <w:tcPr>
            <w:tcW w:w="1690" w:type="dxa"/>
            <w:tcBorders>
              <w:top w:val="nil"/>
              <w:left w:val="nil"/>
              <w:bottom w:val="single" w:sz="4" w:space="0" w:color="auto"/>
              <w:right w:val="single" w:sz="4" w:space="0" w:color="auto"/>
            </w:tcBorders>
            <w:shd w:val="clear" w:color="auto" w:fill="C6EFCE"/>
            <w:noWrap/>
            <w:vAlign w:val="center"/>
            <w:hideMark/>
          </w:tcPr>
          <w:p w14:paraId="113F78DE"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4B0CA960"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Ruumiliste eriraamistike vastuvõtmine</w:t>
            </w:r>
          </w:p>
        </w:tc>
      </w:tr>
      <w:tr w:rsidR="006E0EA2" w14:paraId="1C180F6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BAABB27"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w:t>
            </w:r>
          </w:p>
        </w:tc>
        <w:tc>
          <w:tcPr>
            <w:tcW w:w="4281" w:type="dxa"/>
            <w:tcBorders>
              <w:top w:val="nil"/>
              <w:left w:val="nil"/>
              <w:bottom w:val="single" w:sz="4" w:space="0" w:color="auto"/>
              <w:right w:val="single" w:sz="4" w:space="0" w:color="auto"/>
            </w:tcBorders>
            <w:shd w:val="clear" w:color="auto" w:fill="C6EFCE"/>
            <w:noWrap/>
            <w:vAlign w:val="center"/>
            <w:hideMark/>
          </w:tcPr>
          <w:p w14:paraId="3FDAA08F"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16891_Uue mereala ruumilise planeerimise kehtestamine</w:t>
            </w:r>
          </w:p>
        </w:tc>
        <w:tc>
          <w:tcPr>
            <w:tcW w:w="1690" w:type="dxa"/>
            <w:tcBorders>
              <w:top w:val="nil"/>
              <w:left w:val="nil"/>
              <w:bottom w:val="single" w:sz="4" w:space="0" w:color="auto"/>
              <w:right w:val="single" w:sz="4" w:space="0" w:color="auto"/>
            </w:tcBorders>
            <w:shd w:val="clear" w:color="auto" w:fill="C6EFCE"/>
            <w:noWrap/>
            <w:vAlign w:val="center"/>
            <w:hideMark/>
          </w:tcPr>
          <w:p w14:paraId="414E5C2D"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7632F619"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Merendusstrateegia vastuvõtmine</w:t>
            </w:r>
          </w:p>
        </w:tc>
      </w:tr>
      <w:tr w:rsidR="006E0EA2" w:rsidRPr="003B132A" w14:paraId="412A02A2"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2148344"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35</w:t>
            </w:r>
          </w:p>
        </w:tc>
        <w:tc>
          <w:tcPr>
            <w:tcW w:w="4281" w:type="dxa"/>
            <w:tcBorders>
              <w:top w:val="nil"/>
              <w:left w:val="nil"/>
              <w:bottom w:val="single" w:sz="4" w:space="0" w:color="auto"/>
              <w:right w:val="single" w:sz="4" w:space="0" w:color="auto"/>
            </w:tcBorders>
            <w:shd w:val="clear" w:color="auto" w:fill="C6EFCE"/>
            <w:noWrap/>
            <w:vAlign w:val="center"/>
            <w:hideMark/>
          </w:tcPr>
          <w:p w14:paraId="47FCAA29"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16876_Avaliku sektori hoonete energiatõhususe suurendamine</w:t>
            </w:r>
          </w:p>
        </w:tc>
        <w:tc>
          <w:tcPr>
            <w:tcW w:w="1690" w:type="dxa"/>
            <w:tcBorders>
              <w:top w:val="nil"/>
              <w:left w:val="nil"/>
              <w:bottom w:val="single" w:sz="4" w:space="0" w:color="auto"/>
              <w:right w:val="single" w:sz="4" w:space="0" w:color="auto"/>
            </w:tcBorders>
            <w:shd w:val="clear" w:color="auto" w:fill="C6EFCE"/>
            <w:noWrap/>
            <w:vAlign w:val="center"/>
            <w:hideMark/>
          </w:tcPr>
          <w:p w14:paraId="4318B44C"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25C99370"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Üldkasutatavate hoonete energiatõhusus – valmis</w:t>
            </w:r>
          </w:p>
        </w:tc>
      </w:tr>
      <w:tr w:rsidR="006E0EA2" w:rsidRPr="003B132A" w14:paraId="4C47DFAB"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3B3DD9E"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36</w:t>
            </w:r>
          </w:p>
        </w:tc>
        <w:tc>
          <w:tcPr>
            <w:tcW w:w="4281" w:type="dxa"/>
            <w:tcBorders>
              <w:top w:val="nil"/>
              <w:left w:val="nil"/>
              <w:bottom w:val="single" w:sz="4" w:space="0" w:color="auto"/>
              <w:right w:val="single" w:sz="4" w:space="0" w:color="auto"/>
            </w:tcBorders>
            <w:shd w:val="clear" w:color="auto" w:fill="C6EFCE"/>
            <w:noWrap/>
            <w:vAlign w:val="center"/>
            <w:hideMark/>
          </w:tcPr>
          <w:p w14:paraId="2649A4EE"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16874_Energeetika ja ettevõtlus</w:t>
            </w:r>
          </w:p>
        </w:tc>
        <w:tc>
          <w:tcPr>
            <w:tcW w:w="1690" w:type="dxa"/>
            <w:tcBorders>
              <w:top w:val="nil"/>
              <w:left w:val="nil"/>
              <w:bottom w:val="single" w:sz="4" w:space="0" w:color="auto"/>
              <w:right w:val="single" w:sz="4" w:space="0" w:color="auto"/>
            </w:tcBorders>
            <w:shd w:val="clear" w:color="auto" w:fill="C6EFCE"/>
            <w:noWrap/>
            <w:vAlign w:val="center"/>
            <w:hideMark/>
          </w:tcPr>
          <w:p w14:paraId="72491094"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780E00F6"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Energiatõhususe erasektor – lõpule viidud #2</w:t>
            </w:r>
          </w:p>
        </w:tc>
      </w:tr>
      <w:tr w:rsidR="006E0EA2" w14:paraId="3C3460B4"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7C5C7829"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39</w:t>
            </w:r>
          </w:p>
        </w:tc>
        <w:tc>
          <w:tcPr>
            <w:tcW w:w="4281" w:type="dxa"/>
            <w:tcBorders>
              <w:top w:val="nil"/>
              <w:left w:val="nil"/>
              <w:bottom w:val="single" w:sz="4" w:space="0" w:color="auto"/>
              <w:right w:val="single" w:sz="4" w:space="0" w:color="auto"/>
            </w:tcBorders>
            <w:shd w:val="clear" w:color="auto" w:fill="C6EFCE"/>
            <w:noWrap/>
            <w:vAlign w:val="center"/>
            <w:hideMark/>
          </w:tcPr>
          <w:p w14:paraId="027AC352"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2-1.2. Renoveerimine – 16932_Ateena olümpiaspordikeskus</w:t>
            </w:r>
          </w:p>
        </w:tc>
        <w:tc>
          <w:tcPr>
            <w:tcW w:w="1690" w:type="dxa"/>
            <w:tcBorders>
              <w:top w:val="nil"/>
              <w:left w:val="nil"/>
              <w:bottom w:val="single" w:sz="4" w:space="0" w:color="auto"/>
              <w:right w:val="single" w:sz="4" w:space="0" w:color="auto"/>
            </w:tcBorders>
            <w:shd w:val="clear" w:color="auto" w:fill="C6EFCE"/>
            <w:noWrap/>
            <w:vAlign w:val="center"/>
            <w:hideMark/>
          </w:tcPr>
          <w:p w14:paraId="3AA3CF2C"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94F8F2C"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OAKA – tööde lõpuleviimine </w:t>
            </w:r>
          </w:p>
        </w:tc>
      </w:tr>
      <w:tr w:rsidR="006E0EA2" w:rsidRPr="003B132A" w14:paraId="205CC05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406EAB70"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40</w:t>
            </w:r>
          </w:p>
        </w:tc>
        <w:tc>
          <w:tcPr>
            <w:tcW w:w="4281" w:type="dxa"/>
            <w:tcBorders>
              <w:top w:val="nil"/>
              <w:left w:val="nil"/>
              <w:bottom w:val="single" w:sz="4" w:space="0" w:color="auto"/>
              <w:right w:val="single" w:sz="4" w:space="0" w:color="auto"/>
            </w:tcBorders>
            <w:shd w:val="clear" w:color="auto" w:fill="C6EFCE"/>
            <w:noWrap/>
            <w:vAlign w:val="center"/>
            <w:hideMark/>
          </w:tcPr>
          <w:p w14:paraId="70B3BD8D"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16873_Sekkumised elamupiirkondades ja hoonefondis</w:t>
            </w:r>
          </w:p>
        </w:tc>
        <w:tc>
          <w:tcPr>
            <w:tcW w:w="1690" w:type="dxa"/>
            <w:tcBorders>
              <w:top w:val="nil"/>
              <w:left w:val="nil"/>
              <w:bottom w:val="single" w:sz="4" w:space="0" w:color="auto"/>
              <w:right w:val="single" w:sz="4" w:space="0" w:color="auto"/>
            </w:tcBorders>
            <w:shd w:val="clear" w:color="auto" w:fill="C6EFCE"/>
            <w:noWrap/>
            <w:vAlign w:val="center"/>
            <w:hideMark/>
          </w:tcPr>
          <w:p w14:paraId="3A7BD092"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AFD3EBE"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Linnadega seotud sekkumismeetmed – kõigi tööde lõpuleviimine</w:t>
            </w:r>
          </w:p>
        </w:tc>
      </w:tr>
      <w:tr w:rsidR="006E0EA2" w:rsidRPr="003B132A" w14:paraId="0B298F3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14C7240"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w:t>
            </w:r>
          </w:p>
        </w:tc>
        <w:tc>
          <w:tcPr>
            <w:tcW w:w="4281" w:type="dxa"/>
            <w:tcBorders>
              <w:top w:val="nil"/>
              <w:left w:val="nil"/>
              <w:bottom w:val="single" w:sz="4" w:space="0" w:color="auto"/>
              <w:right w:val="single" w:sz="4" w:space="0" w:color="auto"/>
            </w:tcBorders>
            <w:shd w:val="clear" w:color="auto" w:fill="C6EFCE"/>
            <w:noWrap/>
            <w:vAlign w:val="center"/>
            <w:hideMark/>
          </w:tcPr>
          <w:p w14:paraId="0CC7B926"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16875_Infrastruktuuri arendamine ja hoonete restaureerimine endises kuninglikus kinnisvaras Tatois</w:t>
            </w:r>
          </w:p>
        </w:tc>
        <w:tc>
          <w:tcPr>
            <w:tcW w:w="1690" w:type="dxa"/>
            <w:tcBorders>
              <w:top w:val="nil"/>
              <w:left w:val="nil"/>
              <w:bottom w:val="single" w:sz="4" w:space="0" w:color="auto"/>
              <w:right w:val="single" w:sz="4" w:space="0" w:color="auto"/>
            </w:tcBorders>
            <w:shd w:val="clear" w:color="auto" w:fill="C6EFCE"/>
            <w:noWrap/>
            <w:vAlign w:val="center"/>
            <w:hideMark/>
          </w:tcPr>
          <w:p w14:paraId="6516AD9C"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20F2C77"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Tatoi – kõigi tööde lõpetamine</w:t>
            </w:r>
          </w:p>
        </w:tc>
      </w:tr>
      <w:tr w:rsidR="006E0EA2" w:rsidRPr="003B132A" w14:paraId="70335378"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4675352" w14:textId="77777777" w:rsidR="00275DFC" w:rsidRDefault="00275DFC">
            <w:pPr>
              <w:keepNext/>
              <w:spacing w:before="40" w:after="0" w:line="240" w:lineRule="auto"/>
              <w:jc w:val="both"/>
              <w:rPr>
                <w:rFonts w:ascii="Times New Roman" w:hAnsi="Times New Roman"/>
                <w:noProof/>
                <w:sz w:val="18"/>
              </w:rPr>
            </w:pPr>
            <w:r>
              <w:rPr>
                <w:rFonts w:ascii="Times New Roman" w:hAnsi="Times New Roman"/>
                <w:noProof/>
                <w:sz w:val="18"/>
              </w:rPr>
              <w:t>52</w:t>
            </w:r>
          </w:p>
        </w:tc>
        <w:tc>
          <w:tcPr>
            <w:tcW w:w="4281" w:type="dxa"/>
            <w:tcBorders>
              <w:top w:val="nil"/>
              <w:left w:val="nil"/>
              <w:bottom w:val="single" w:sz="4" w:space="0" w:color="auto"/>
              <w:right w:val="single" w:sz="4" w:space="0" w:color="auto"/>
            </w:tcBorders>
            <w:shd w:val="clear" w:color="auto" w:fill="C6EFCE"/>
            <w:noWrap/>
            <w:vAlign w:val="center"/>
            <w:hideMark/>
          </w:tcPr>
          <w:p w14:paraId="1AF448AF" w14:textId="77777777" w:rsidR="00275DFC" w:rsidRDefault="00275DFC">
            <w:pPr>
              <w:keepNext/>
              <w:spacing w:before="40" w:after="0" w:line="240" w:lineRule="auto"/>
              <w:jc w:val="both"/>
              <w:rPr>
                <w:rFonts w:ascii="Times New Roman" w:hAnsi="Times New Roman"/>
                <w:noProof/>
                <w:sz w:val="18"/>
              </w:rPr>
            </w:pPr>
            <w:r>
              <w:rPr>
                <w:rFonts w:ascii="Times New Roman" w:hAnsi="Times New Roman"/>
                <w:noProof/>
                <w:sz w:val="18"/>
              </w:rPr>
              <w:t>3-1.3. Laadimine ja tankimine – 16924_ Elektromobiilsus</w:t>
            </w:r>
          </w:p>
        </w:tc>
        <w:tc>
          <w:tcPr>
            <w:tcW w:w="1690" w:type="dxa"/>
            <w:tcBorders>
              <w:top w:val="nil"/>
              <w:left w:val="nil"/>
              <w:bottom w:val="single" w:sz="4" w:space="0" w:color="auto"/>
              <w:right w:val="single" w:sz="4" w:space="0" w:color="auto"/>
            </w:tcBorders>
            <w:shd w:val="clear" w:color="auto" w:fill="C6EFCE"/>
            <w:noWrap/>
            <w:vAlign w:val="center"/>
            <w:hideMark/>
          </w:tcPr>
          <w:p w14:paraId="28951786" w14:textId="77777777" w:rsidR="00275DFC" w:rsidRDefault="00275DFC">
            <w:pPr>
              <w:keepNext/>
              <w:spacing w:before="40" w:after="0" w:line="240" w:lineRule="auto"/>
              <w:jc w:val="both"/>
              <w:rPr>
                <w:rFonts w:ascii="Times New Roman" w:hAnsi="Times New Roman"/>
                <w:noProof/>
                <w:sz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7AB44120" w14:textId="77777777" w:rsidR="00275DFC" w:rsidRDefault="00275DFC">
            <w:pPr>
              <w:keepNext/>
              <w:spacing w:before="40" w:after="0" w:line="240" w:lineRule="auto"/>
              <w:jc w:val="both"/>
              <w:rPr>
                <w:rFonts w:ascii="Times New Roman" w:hAnsi="Times New Roman"/>
                <w:noProof/>
                <w:sz w:val="18"/>
              </w:rPr>
            </w:pPr>
            <w:r>
              <w:rPr>
                <w:rFonts w:ascii="Times New Roman" w:hAnsi="Times New Roman"/>
                <w:noProof/>
                <w:sz w:val="18"/>
              </w:rPr>
              <w:t>Bussid ja taksod – asendamine elektriliste bussidega</w:t>
            </w:r>
          </w:p>
        </w:tc>
      </w:tr>
      <w:tr w:rsidR="006E0EA2" w14:paraId="77067DA2"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7C1623B1"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53</w:t>
            </w:r>
          </w:p>
        </w:tc>
        <w:tc>
          <w:tcPr>
            <w:tcW w:w="4281" w:type="dxa"/>
            <w:tcBorders>
              <w:top w:val="nil"/>
              <w:left w:val="nil"/>
              <w:bottom w:val="single" w:sz="4" w:space="0" w:color="auto"/>
              <w:right w:val="single" w:sz="4" w:space="0" w:color="auto"/>
            </w:tcBorders>
            <w:shd w:val="clear" w:color="auto" w:fill="C6EFCE"/>
            <w:noWrap/>
            <w:vAlign w:val="center"/>
            <w:hideMark/>
          </w:tcPr>
          <w:p w14:paraId="78643C4D"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3-1.3. Laadimine ja tankimine – 16831_Produc-E Green</w:t>
            </w:r>
          </w:p>
        </w:tc>
        <w:tc>
          <w:tcPr>
            <w:tcW w:w="1690" w:type="dxa"/>
            <w:tcBorders>
              <w:top w:val="nil"/>
              <w:left w:val="nil"/>
              <w:bottom w:val="single" w:sz="4" w:space="0" w:color="auto"/>
              <w:right w:val="single" w:sz="4" w:space="0" w:color="auto"/>
            </w:tcBorders>
            <w:shd w:val="clear" w:color="auto" w:fill="C6EFCE"/>
            <w:noWrap/>
            <w:vAlign w:val="center"/>
            <w:hideMark/>
          </w:tcPr>
          <w:p w14:paraId="386A51AE"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1CC55DA"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CCS – välja antud käitamissertifikaat </w:t>
            </w:r>
          </w:p>
        </w:tc>
      </w:tr>
      <w:tr w:rsidR="006E0EA2" w14:paraId="7D75B687"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4F0EB034"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54</w:t>
            </w:r>
          </w:p>
        </w:tc>
        <w:tc>
          <w:tcPr>
            <w:tcW w:w="4281" w:type="dxa"/>
            <w:tcBorders>
              <w:top w:val="nil"/>
              <w:left w:val="nil"/>
              <w:bottom w:val="single" w:sz="4" w:space="0" w:color="auto"/>
              <w:right w:val="single" w:sz="4" w:space="0" w:color="auto"/>
            </w:tcBorders>
            <w:shd w:val="clear" w:color="auto" w:fill="C6EFCE"/>
            <w:noWrap/>
            <w:vAlign w:val="center"/>
            <w:hideMark/>
          </w:tcPr>
          <w:p w14:paraId="018A9A94"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3-1.3. Laadimine ja tankimine – 16831_Produc-E Green</w:t>
            </w:r>
          </w:p>
        </w:tc>
        <w:tc>
          <w:tcPr>
            <w:tcW w:w="1690" w:type="dxa"/>
            <w:tcBorders>
              <w:top w:val="nil"/>
              <w:left w:val="nil"/>
              <w:bottom w:val="single" w:sz="4" w:space="0" w:color="auto"/>
              <w:right w:val="single" w:sz="4" w:space="0" w:color="auto"/>
            </w:tcBorders>
            <w:shd w:val="clear" w:color="auto" w:fill="C6EFCE"/>
            <w:noWrap/>
            <w:vAlign w:val="center"/>
            <w:hideMark/>
          </w:tcPr>
          <w:p w14:paraId="3D58D185"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136AA62D"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Tööstusüksused – </w:t>
            </w:r>
          </w:p>
        </w:tc>
      </w:tr>
      <w:tr w:rsidR="006E0EA2" w:rsidRPr="003B132A" w14:paraId="65B7B759"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7E8635D"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55</w:t>
            </w:r>
          </w:p>
        </w:tc>
        <w:tc>
          <w:tcPr>
            <w:tcW w:w="4281" w:type="dxa"/>
            <w:tcBorders>
              <w:top w:val="nil"/>
              <w:left w:val="nil"/>
              <w:bottom w:val="single" w:sz="4" w:space="0" w:color="auto"/>
              <w:right w:val="single" w:sz="4" w:space="0" w:color="auto"/>
            </w:tcBorders>
            <w:shd w:val="clear" w:color="auto" w:fill="C6EFCE"/>
            <w:noWrap/>
            <w:vAlign w:val="center"/>
            <w:hideMark/>
          </w:tcPr>
          <w:p w14:paraId="1938A641"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3-1.3. Laadimine ja tankimine – 16924_ Elektromobiilsus</w:t>
            </w:r>
          </w:p>
        </w:tc>
        <w:tc>
          <w:tcPr>
            <w:tcW w:w="1690" w:type="dxa"/>
            <w:tcBorders>
              <w:top w:val="nil"/>
              <w:left w:val="nil"/>
              <w:bottom w:val="single" w:sz="4" w:space="0" w:color="auto"/>
              <w:right w:val="single" w:sz="4" w:space="0" w:color="auto"/>
            </w:tcBorders>
            <w:shd w:val="clear" w:color="auto" w:fill="C6EFCE"/>
            <w:noWrap/>
            <w:vAlign w:val="center"/>
            <w:hideMark/>
          </w:tcPr>
          <w:p w14:paraId="2D4EB952"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402850FC"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Elektrisõidukite laadimispunktid – paigaldised on valmis</w:t>
            </w:r>
          </w:p>
        </w:tc>
      </w:tr>
      <w:tr w:rsidR="00275DFC" w:rsidRPr="003B132A" w14:paraId="0526F038"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401CF6F" w14:textId="77777777" w:rsidR="00275DFC" w:rsidRDefault="00275DFC">
            <w:pPr>
              <w:keepNext/>
              <w:spacing w:before="40" w:after="0" w:line="240" w:lineRule="auto"/>
              <w:jc w:val="both"/>
              <w:rPr>
                <w:rFonts w:ascii="Times New Roman" w:hAnsi="Times New Roman"/>
                <w:noProof/>
                <w:sz w:val="18"/>
              </w:rPr>
            </w:pPr>
            <w:r>
              <w:rPr>
                <w:rFonts w:ascii="Times New Roman" w:hAnsi="Times New Roman"/>
                <w:noProof/>
                <w:sz w:val="18"/>
              </w:rPr>
              <w:t>59a</w:t>
            </w:r>
          </w:p>
        </w:tc>
        <w:tc>
          <w:tcPr>
            <w:tcW w:w="4281" w:type="dxa"/>
            <w:tcBorders>
              <w:top w:val="nil"/>
              <w:left w:val="nil"/>
              <w:bottom w:val="single" w:sz="4" w:space="0" w:color="auto"/>
              <w:right w:val="single" w:sz="4" w:space="0" w:color="auto"/>
            </w:tcBorders>
            <w:shd w:val="clear" w:color="auto" w:fill="C6EFCE"/>
            <w:noWrap/>
            <w:vAlign w:val="center"/>
            <w:hideMark/>
          </w:tcPr>
          <w:p w14:paraId="647FCA10" w14:textId="77777777" w:rsidR="00275DFC" w:rsidRDefault="00275DFC">
            <w:pPr>
              <w:keepNext/>
              <w:spacing w:before="40" w:after="0" w:line="240" w:lineRule="auto"/>
              <w:jc w:val="both"/>
              <w:rPr>
                <w:rFonts w:ascii="Times New Roman" w:hAnsi="Times New Roman"/>
                <w:noProof/>
                <w:sz w:val="18"/>
              </w:rPr>
            </w:pPr>
            <w:r>
              <w:rPr>
                <w:rFonts w:ascii="Times New Roman" w:hAnsi="Times New Roman"/>
                <w:noProof/>
                <w:sz w:val="18"/>
              </w:rPr>
              <w:t>4-1.4. Ressursside säästev kasutamine, kliimamuutustele vastupanu võime ja keskkonnakaitse – 16772_Jäätmekäitlusseadus säästva prügilasse ladestamise ja ringlussevõtu rakendamiseks</w:t>
            </w:r>
          </w:p>
        </w:tc>
        <w:tc>
          <w:tcPr>
            <w:tcW w:w="1690" w:type="dxa"/>
            <w:tcBorders>
              <w:top w:val="nil"/>
              <w:left w:val="nil"/>
              <w:bottom w:val="single" w:sz="4" w:space="0" w:color="auto"/>
              <w:right w:val="single" w:sz="4" w:space="0" w:color="auto"/>
            </w:tcBorders>
            <w:shd w:val="clear" w:color="auto" w:fill="C6EFCE"/>
            <w:noWrap/>
            <w:vAlign w:val="center"/>
            <w:hideMark/>
          </w:tcPr>
          <w:p w14:paraId="1577A181" w14:textId="77777777" w:rsidR="00275DFC" w:rsidRDefault="00275DFC">
            <w:pPr>
              <w:keepNext/>
              <w:spacing w:before="40" w:after="0" w:line="240" w:lineRule="auto"/>
              <w:jc w:val="both"/>
              <w:rPr>
                <w:rFonts w:ascii="Times New Roman" w:hAnsi="Times New Roman"/>
                <w:noProof/>
                <w:sz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297B959A" w14:textId="77777777" w:rsidR="00275DFC" w:rsidRDefault="00275DFC">
            <w:pPr>
              <w:keepNext/>
              <w:spacing w:before="40" w:after="0" w:line="240" w:lineRule="auto"/>
              <w:jc w:val="both"/>
              <w:rPr>
                <w:rFonts w:ascii="Times New Roman" w:hAnsi="Times New Roman"/>
                <w:noProof/>
                <w:sz w:val="18"/>
              </w:rPr>
            </w:pPr>
            <w:r>
              <w:rPr>
                <w:rFonts w:ascii="Times New Roman" w:hAnsi="Times New Roman"/>
                <w:noProof/>
                <w:sz w:val="18"/>
              </w:rPr>
              <w:t>Tahkeid jäätmeid käitlevate asutuste sertifitseerimine reguleeriva asutuse poolt</w:t>
            </w:r>
          </w:p>
        </w:tc>
      </w:tr>
      <w:tr w:rsidR="006E0EA2" w:rsidRPr="003B132A" w14:paraId="04039F4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41DA3B75"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63</w:t>
            </w:r>
          </w:p>
        </w:tc>
        <w:tc>
          <w:tcPr>
            <w:tcW w:w="4281" w:type="dxa"/>
            <w:tcBorders>
              <w:top w:val="nil"/>
              <w:left w:val="nil"/>
              <w:bottom w:val="single" w:sz="4" w:space="0" w:color="auto"/>
              <w:right w:val="single" w:sz="4" w:space="0" w:color="auto"/>
            </w:tcBorders>
            <w:shd w:val="clear" w:color="auto" w:fill="C6EFCE"/>
            <w:noWrap/>
            <w:vAlign w:val="center"/>
            <w:hideMark/>
          </w:tcPr>
          <w:p w14:paraId="6C27CA4C"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vastupanuvõime kliimamuutustele ja keskkonnakaitse – 16849_Riiklik taasmetsastamiskava, taastamine ja ennetamine (antiNERO), erosiooni- ja üleujutuste vastased meetmed</w:t>
            </w:r>
          </w:p>
        </w:tc>
        <w:tc>
          <w:tcPr>
            <w:tcW w:w="1690" w:type="dxa"/>
            <w:tcBorders>
              <w:top w:val="nil"/>
              <w:left w:val="nil"/>
              <w:bottom w:val="single" w:sz="4" w:space="0" w:color="auto"/>
              <w:right w:val="single" w:sz="4" w:space="0" w:color="auto"/>
            </w:tcBorders>
            <w:shd w:val="clear" w:color="auto" w:fill="C6EFCE"/>
            <w:noWrap/>
            <w:vAlign w:val="center"/>
            <w:hideMark/>
          </w:tcPr>
          <w:p w14:paraId="4D88BACC"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11730140"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Taasmetsastamine, taastamine ja ennetamine – tööde lõpuleviimine</w:t>
            </w:r>
          </w:p>
        </w:tc>
      </w:tr>
      <w:tr w:rsidR="006E0EA2" w14:paraId="09334BC7"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1A018ADC"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64</w:t>
            </w:r>
          </w:p>
        </w:tc>
        <w:tc>
          <w:tcPr>
            <w:tcW w:w="4281" w:type="dxa"/>
            <w:tcBorders>
              <w:top w:val="nil"/>
              <w:left w:val="nil"/>
              <w:bottom w:val="single" w:sz="4" w:space="0" w:color="auto"/>
              <w:right w:val="single" w:sz="4" w:space="0" w:color="auto"/>
            </w:tcBorders>
            <w:shd w:val="clear" w:color="auto" w:fill="C6EFCE"/>
            <w:noWrap/>
            <w:vAlign w:val="center"/>
            <w:hideMark/>
          </w:tcPr>
          <w:p w14:paraId="4838D245"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16851_Bioloogilise mitmekesisuse kaitse kui jätkusuutliku majanduskasvu liikumapanev jõud</w:t>
            </w:r>
          </w:p>
        </w:tc>
        <w:tc>
          <w:tcPr>
            <w:tcW w:w="1690" w:type="dxa"/>
            <w:tcBorders>
              <w:top w:val="nil"/>
              <w:left w:val="nil"/>
              <w:bottom w:val="single" w:sz="4" w:space="0" w:color="auto"/>
              <w:right w:val="single" w:sz="4" w:space="0" w:color="auto"/>
            </w:tcBorders>
            <w:shd w:val="clear" w:color="auto" w:fill="C6EFCE"/>
            <w:noWrap/>
            <w:vAlign w:val="center"/>
            <w:hideMark/>
          </w:tcPr>
          <w:p w14:paraId="46E76B52"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70D02DB"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Bioloogiline mitmekesisus – lõpuleviimine</w:t>
            </w:r>
          </w:p>
        </w:tc>
      </w:tr>
      <w:tr w:rsidR="006E0EA2" w:rsidRPr="003B132A" w14:paraId="391E5A6F"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FEEB7F6"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73</w:t>
            </w:r>
          </w:p>
        </w:tc>
        <w:tc>
          <w:tcPr>
            <w:tcW w:w="4281" w:type="dxa"/>
            <w:tcBorders>
              <w:top w:val="nil"/>
              <w:left w:val="nil"/>
              <w:bottom w:val="single" w:sz="4" w:space="0" w:color="auto"/>
              <w:right w:val="single" w:sz="4" w:space="0" w:color="auto"/>
            </w:tcBorders>
            <w:shd w:val="clear" w:color="auto" w:fill="C6EFCE"/>
            <w:noWrap/>
            <w:vAlign w:val="center"/>
            <w:hideMark/>
          </w:tcPr>
          <w:p w14:paraId="5414015A"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16846_Asulareovesi ja reoveesetete käitlemise taristud</w:t>
            </w:r>
          </w:p>
        </w:tc>
        <w:tc>
          <w:tcPr>
            <w:tcW w:w="1690" w:type="dxa"/>
            <w:tcBorders>
              <w:top w:val="nil"/>
              <w:left w:val="nil"/>
              <w:bottom w:val="single" w:sz="4" w:space="0" w:color="auto"/>
              <w:right w:val="single" w:sz="4" w:space="0" w:color="auto"/>
            </w:tcBorders>
            <w:shd w:val="clear" w:color="auto" w:fill="C6EFCE"/>
            <w:noWrap/>
            <w:vAlign w:val="center"/>
            <w:hideMark/>
          </w:tcPr>
          <w:p w14:paraId="1E84C140"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5F668C6"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Asulareovee ja reoveesetete käitlemise taristute lõpuleviimine</w:t>
            </w:r>
          </w:p>
        </w:tc>
      </w:tr>
      <w:tr w:rsidR="006E0EA2" w14:paraId="2BEECB9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C801A61"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74</w:t>
            </w:r>
          </w:p>
        </w:tc>
        <w:tc>
          <w:tcPr>
            <w:tcW w:w="4281" w:type="dxa"/>
            <w:tcBorders>
              <w:top w:val="nil"/>
              <w:left w:val="nil"/>
              <w:bottom w:val="single" w:sz="4" w:space="0" w:color="auto"/>
              <w:right w:val="single" w:sz="4" w:space="0" w:color="auto"/>
            </w:tcBorders>
            <w:shd w:val="clear" w:color="auto" w:fill="C6EFCE"/>
            <w:noWrap/>
            <w:vAlign w:val="center"/>
            <w:hideMark/>
          </w:tcPr>
          <w:p w14:paraId="3980F513"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16850_Joogiveevarustuse ja -säästu taristud</w:t>
            </w:r>
          </w:p>
        </w:tc>
        <w:tc>
          <w:tcPr>
            <w:tcW w:w="1690" w:type="dxa"/>
            <w:tcBorders>
              <w:top w:val="nil"/>
              <w:left w:val="nil"/>
              <w:bottom w:val="single" w:sz="4" w:space="0" w:color="auto"/>
              <w:right w:val="single" w:sz="4" w:space="0" w:color="auto"/>
            </w:tcBorders>
            <w:shd w:val="clear" w:color="auto" w:fill="C6EFCE"/>
            <w:noWrap/>
            <w:vAlign w:val="center"/>
            <w:hideMark/>
          </w:tcPr>
          <w:p w14:paraId="23469AB8"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6AA3CE3"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Veeinfrastruktuuride väljakujundamine</w:t>
            </w:r>
          </w:p>
        </w:tc>
      </w:tr>
      <w:tr w:rsidR="006E0EA2" w14:paraId="723369F8"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3048A97"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80</w:t>
            </w:r>
          </w:p>
        </w:tc>
        <w:tc>
          <w:tcPr>
            <w:tcW w:w="4281" w:type="dxa"/>
            <w:tcBorders>
              <w:top w:val="nil"/>
              <w:left w:val="nil"/>
              <w:bottom w:val="single" w:sz="4" w:space="0" w:color="auto"/>
              <w:right w:val="single" w:sz="4" w:space="0" w:color="auto"/>
            </w:tcBorders>
            <w:shd w:val="clear" w:color="auto" w:fill="C6EFCE"/>
            <w:noWrap/>
            <w:vAlign w:val="center"/>
            <w:hideMark/>
          </w:tcPr>
          <w:p w14:paraId="60458192"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4-1.4. Ressursside säästev kasutamine, kliimamuutustele vastupanu võime ja keskkonnakaitse – 16283_Piirkondlike kodanikukaitsekeskuste (PEKEPP) rakendamine avaliku ja erasektori partnerluse kavade kaudu</w:t>
            </w:r>
          </w:p>
        </w:tc>
        <w:tc>
          <w:tcPr>
            <w:tcW w:w="1690" w:type="dxa"/>
            <w:tcBorders>
              <w:top w:val="nil"/>
              <w:left w:val="nil"/>
              <w:bottom w:val="single" w:sz="4" w:space="0" w:color="auto"/>
              <w:right w:val="single" w:sz="4" w:space="0" w:color="auto"/>
            </w:tcBorders>
            <w:shd w:val="clear" w:color="auto" w:fill="C6EFCE"/>
            <w:noWrap/>
            <w:vAlign w:val="center"/>
            <w:hideMark/>
          </w:tcPr>
          <w:p w14:paraId="65889927"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44685937"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13 hoone valmimine</w:t>
            </w:r>
          </w:p>
        </w:tc>
      </w:tr>
      <w:tr w:rsidR="006E0EA2" w:rsidRPr="003B132A" w14:paraId="646FFCF9"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9754AE0"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81</w:t>
            </w:r>
          </w:p>
        </w:tc>
        <w:tc>
          <w:tcPr>
            <w:tcW w:w="4281" w:type="dxa"/>
            <w:tcBorders>
              <w:top w:val="nil"/>
              <w:left w:val="nil"/>
              <w:bottom w:val="single" w:sz="4" w:space="0" w:color="auto"/>
              <w:right w:val="single" w:sz="4" w:space="0" w:color="auto"/>
            </w:tcBorders>
            <w:shd w:val="clear" w:color="auto" w:fill="C6EFCE"/>
            <w:noWrap/>
            <w:vAlign w:val="center"/>
            <w:hideMark/>
          </w:tcPr>
          <w:p w14:paraId="63C64FE9"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16910_Seire- ja juhtimissüsteem</w:t>
            </w:r>
          </w:p>
        </w:tc>
        <w:tc>
          <w:tcPr>
            <w:tcW w:w="1690" w:type="dxa"/>
            <w:tcBorders>
              <w:top w:val="nil"/>
              <w:left w:val="nil"/>
              <w:bottom w:val="single" w:sz="4" w:space="0" w:color="auto"/>
              <w:right w:val="single" w:sz="4" w:space="0" w:color="auto"/>
            </w:tcBorders>
            <w:shd w:val="clear" w:color="auto" w:fill="C6EFCE"/>
            <w:noWrap/>
            <w:vAlign w:val="center"/>
            <w:hideMark/>
          </w:tcPr>
          <w:p w14:paraId="49F483FF"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4478AC1F"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Kodanikukaitse järelevalve- ja juhtimissüsteemi lõpuleviimine</w:t>
            </w:r>
          </w:p>
        </w:tc>
      </w:tr>
      <w:tr w:rsidR="006E0EA2" w:rsidRPr="003B132A" w14:paraId="6D19EC9B"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748C2E3"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82</w:t>
            </w:r>
          </w:p>
        </w:tc>
        <w:tc>
          <w:tcPr>
            <w:tcW w:w="4281" w:type="dxa"/>
            <w:tcBorders>
              <w:top w:val="nil"/>
              <w:left w:val="nil"/>
              <w:bottom w:val="single" w:sz="4" w:space="0" w:color="auto"/>
              <w:right w:val="single" w:sz="4" w:space="0" w:color="auto"/>
            </w:tcBorders>
            <w:shd w:val="clear" w:color="auto" w:fill="C6EFCE"/>
            <w:noWrap/>
            <w:vAlign w:val="center"/>
            <w:hideMark/>
          </w:tcPr>
          <w:p w14:paraId="7D693D8D"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16911_Lennuvahendid kriisiohje jaoks</w:t>
            </w:r>
          </w:p>
        </w:tc>
        <w:tc>
          <w:tcPr>
            <w:tcW w:w="1690" w:type="dxa"/>
            <w:tcBorders>
              <w:top w:val="nil"/>
              <w:left w:val="nil"/>
              <w:bottom w:val="single" w:sz="4" w:space="0" w:color="auto"/>
              <w:right w:val="single" w:sz="4" w:space="0" w:color="auto"/>
            </w:tcBorders>
            <w:shd w:val="clear" w:color="auto" w:fill="C6EFCE"/>
            <w:noWrap/>
            <w:vAlign w:val="center"/>
            <w:hideMark/>
          </w:tcPr>
          <w:p w14:paraId="496B482D"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3BCCD3A"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Kriisiohje lennuvahendite projekti lõpuleviimine</w:t>
            </w:r>
          </w:p>
        </w:tc>
      </w:tr>
      <w:tr w:rsidR="006E0EA2" w:rsidRPr="003B132A" w14:paraId="59BFB816"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1696DB8A"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83</w:t>
            </w:r>
          </w:p>
        </w:tc>
        <w:tc>
          <w:tcPr>
            <w:tcW w:w="4281" w:type="dxa"/>
            <w:tcBorders>
              <w:top w:val="nil"/>
              <w:left w:val="nil"/>
              <w:bottom w:val="single" w:sz="4" w:space="0" w:color="auto"/>
              <w:right w:val="single" w:sz="4" w:space="0" w:color="auto"/>
            </w:tcBorders>
            <w:shd w:val="clear" w:color="auto" w:fill="C6EFCE"/>
            <w:noWrap/>
            <w:vAlign w:val="center"/>
            <w:hideMark/>
          </w:tcPr>
          <w:p w14:paraId="3470FFE5"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16912_Metsatuletõrje-, ennetus- ja reageerimisseadmed</w:t>
            </w:r>
          </w:p>
        </w:tc>
        <w:tc>
          <w:tcPr>
            <w:tcW w:w="1690" w:type="dxa"/>
            <w:tcBorders>
              <w:top w:val="nil"/>
              <w:left w:val="nil"/>
              <w:bottom w:val="single" w:sz="4" w:space="0" w:color="auto"/>
              <w:right w:val="single" w:sz="4" w:space="0" w:color="auto"/>
            </w:tcBorders>
            <w:shd w:val="clear" w:color="auto" w:fill="C6EFCE"/>
            <w:noWrap/>
            <w:vAlign w:val="center"/>
            <w:hideMark/>
          </w:tcPr>
          <w:p w14:paraId="6E15C7F5"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4A5050D"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Metsavõitlusseadmete väljaehitamine</w:t>
            </w:r>
          </w:p>
        </w:tc>
      </w:tr>
      <w:tr w:rsidR="006E0EA2" w:rsidRPr="003B132A" w14:paraId="70BF1845"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B060134"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84</w:t>
            </w:r>
          </w:p>
        </w:tc>
        <w:tc>
          <w:tcPr>
            <w:tcW w:w="4281" w:type="dxa"/>
            <w:tcBorders>
              <w:top w:val="nil"/>
              <w:left w:val="nil"/>
              <w:bottom w:val="single" w:sz="4" w:space="0" w:color="auto"/>
              <w:right w:val="single" w:sz="4" w:space="0" w:color="auto"/>
            </w:tcBorders>
            <w:shd w:val="clear" w:color="auto" w:fill="C6EFCE"/>
            <w:noWrap/>
            <w:vAlign w:val="center"/>
            <w:hideMark/>
          </w:tcPr>
          <w:p w14:paraId="2069003C"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16909_Infrastruktuur – Riikliku katastroofiohu strateegilise juhtimise loomine</w:t>
            </w:r>
          </w:p>
        </w:tc>
        <w:tc>
          <w:tcPr>
            <w:tcW w:w="1690" w:type="dxa"/>
            <w:tcBorders>
              <w:top w:val="nil"/>
              <w:left w:val="nil"/>
              <w:bottom w:val="single" w:sz="4" w:space="0" w:color="auto"/>
              <w:right w:val="single" w:sz="4" w:space="0" w:color="auto"/>
            </w:tcBorders>
            <w:shd w:val="clear" w:color="auto" w:fill="C6EFCE"/>
            <w:noWrap/>
            <w:vAlign w:val="center"/>
            <w:hideMark/>
          </w:tcPr>
          <w:p w14:paraId="773AB730"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2292B1E3"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Riikliku katastroofiohu juhtimise lõpuleviimine</w:t>
            </w:r>
          </w:p>
        </w:tc>
      </w:tr>
      <w:tr w:rsidR="006E0EA2" w:rsidRPr="003B132A" w14:paraId="77F85C04"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E1301DB"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90</w:t>
            </w:r>
          </w:p>
        </w:tc>
        <w:tc>
          <w:tcPr>
            <w:tcW w:w="4281" w:type="dxa"/>
            <w:tcBorders>
              <w:top w:val="nil"/>
              <w:left w:val="nil"/>
              <w:bottom w:val="single" w:sz="4" w:space="0" w:color="auto"/>
              <w:right w:val="single" w:sz="4" w:space="0" w:color="auto"/>
            </w:tcBorders>
            <w:shd w:val="clear" w:color="auto" w:fill="C6EFCE"/>
            <w:noWrap/>
            <w:vAlign w:val="center"/>
            <w:hideMark/>
          </w:tcPr>
          <w:p w14:paraId="6A3B12E3"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5-2.1. Ühendamine – 16818_Kiudoptiliste kaablite infrastruktuur ehitistes</w:t>
            </w:r>
          </w:p>
        </w:tc>
        <w:tc>
          <w:tcPr>
            <w:tcW w:w="1690" w:type="dxa"/>
            <w:tcBorders>
              <w:top w:val="nil"/>
              <w:left w:val="nil"/>
              <w:bottom w:val="single" w:sz="4" w:space="0" w:color="auto"/>
              <w:right w:val="single" w:sz="4" w:space="0" w:color="auto"/>
            </w:tcBorders>
            <w:shd w:val="clear" w:color="auto" w:fill="C6EFCE"/>
            <w:noWrap/>
            <w:vAlign w:val="center"/>
            <w:hideMark/>
          </w:tcPr>
          <w:p w14:paraId="775070B1"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64003B85"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Projekti „Kiudoptiliste kaablite infrastruktuur ehitistes“ lõpuleviimine</w:t>
            </w:r>
          </w:p>
        </w:tc>
      </w:tr>
      <w:tr w:rsidR="006E0EA2" w:rsidRPr="003B132A" w14:paraId="06F99B6A"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DEF0B94"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92</w:t>
            </w:r>
          </w:p>
        </w:tc>
        <w:tc>
          <w:tcPr>
            <w:tcW w:w="4281" w:type="dxa"/>
            <w:tcBorders>
              <w:top w:val="nil"/>
              <w:left w:val="nil"/>
              <w:bottom w:val="single" w:sz="4" w:space="0" w:color="auto"/>
              <w:right w:val="single" w:sz="4" w:space="0" w:color="auto"/>
            </w:tcBorders>
            <w:shd w:val="clear" w:color="auto" w:fill="C6EFCE"/>
            <w:noWrap/>
            <w:vAlign w:val="center"/>
            <w:hideMark/>
          </w:tcPr>
          <w:p w14:paraId="269BE5A3"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5-2.1. Ühendamine – 16855_Väikesatelliidid</w:t>
            </w:r>
          </w:p>
        </w:tc>
        <w:tc>
          <w:tcPr>
            <w:tcW w:w="1690" w:type="dxa"/>
            <w:tcBorders>
              <w:top w:val="nil"/>
              <w:left w:val="nil"/>
              <w:bottom w:val="single" w:sz="4" w:space="0" w:color="auto"/>
              <w:right w:val="single" w:sz="4" w:space="0" w:color="auto"/>
            </w:tcBorders>
            <w:shd w:val="clear" w:color="auto" w:fill="C6EFCE"/>
            <w:noWrap/>
            <w:vAlign w:val="center"/>
            <w:hideMark/>
          </w:tcPr>
          <w:p w14:paraId="45C572E2"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42D52BAE"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Väikeste satelliitide projekti lõpuleviimine </w:t>
            </w:r>
          </w:p>
        </w:tc>
      </w:tr>
      <w:tr w:rsidR="006E0EA2" w:rsidRPr="003B132A" w14:paraId="0CF5BCD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0CBE5E2"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95</w:t>
            </w:r>
          </w:p>
        </w:tc>
        <w:tc>
          <w:tcPr>
            <w:tcW w:w="4281" w:type="dxa"/>
            <w:tcBorders>
              <w:top w:val="nil"/>
              <w:left w:val="nil"/>
              <w:bottom w:val="single" w:sz="4" w:space="0" w:color="auto"/>
              <w:right w:val="single" w:sz="4" w:space="0" w:color="auto"/>
            </w:tcBorders>
            <w:shd w:val="clear" w:color="auto" w:fill="C6EFCE"/>
            <w:noWrap/>
            <w:vAlign w:val="center"/>
            <w:hideMark/>
          </w:tcPr>
          <w:p w14:paraId="193EE7AB"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6-2.2. Moderniseerimine – 16778_Arhiivide ja nendega seotud teenuste digiteerimine</w:t>
            </w:r>
          </w:p>
        </w:tc>
        <w:tc>
          <w:tcPr>
            <w:tcW w:w="1690" w:type="dxa"/>
            <w:tcBorders>
              <w:top w:val="nil"/>
              <w:left w:val="nil"/>
              <w:bottom w:val="single" w:sz="4" w:space="0" w:color="auto"/>
              <w:right w:val="single" w:sz="4" w:space="0" w:color="auto"/>
            </w:tcBorders>
            <w:shd w:val="clear" w:color="auto" w:fill="C6EFCE"/>
            <w:noWrap/>
            <w:vAlign w:val="center"/>
            <w:hideMark/>
          </w:tcPr>
          <w:p w14:paraId="1D4A596C"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485556F4"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Arhiivide digiteerimine – täielik rakendamine</w:t>
            </w:r>
          </w:p>
        </w:tc>
      </w:tr>
      <w:tr w:rsidR="006E0EA2" w:rsidRPr="003B132A" w14:paraId="6FC4596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hideMark/>
          </w:tcPr>
          <w:p w14:paraId="4A5B252E"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95a</w:t>
            </w:r>
          </w:p>
        </w:tc>
        <w:tc>
          <w:tcPr>
            <w:tcW w:w="4281" w:type="dxa"/>
            <w:tcBorders>
              <w:top w:val="nil"/>
              <w:left w:val="nil"/>
              <w:bottom w:val="single" w:sz="4" w:space="0" w:color="auto"/>
              <w:right w:val="single" w:sz="4" w:space="0" w:color="auto"/>
            </w:tcBorders>
            <w:shd w:val="clear" w:color="auto" w:fill="C6EFCE"/>
            <w:noWrap/>
            <w:hideMark/>
          </w:tcPr>
          <w:p w14:paraId="25AE26B6"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6-2.2. Moderniseerimine – 16778_Arhiivide ja nendega seotud teenuste digiteerimine</w:t>
            </w:r>
          </w:p>
        </w:tc>
        <w:tc>
          <w:tcPr>
            <w:tcW w:w="1690" w:type="dxa"/>
            <w:tcBorders>
              <w:top w:val="nil"/>
              <w:left w:val="nil"/>
              <w:bottom w:val="single" w:sz="4" w:space="0" w:color="auto"/>
              <w:right w:val="single" w:sz="4" w:space="0" w:color="auto"/>
            </w:tcBorders>
            <w:shd w:val="clear" w:color="auto" w:fill="C6EFCE"/>
            <w:noWrap/>
            <w:hideMark/>
          </w:tcPr>
          <w:p w14:paraId="250FD528"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hideMark/>
          </w:tcPr>
          <w:p w14:paraId="6B712C7B"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Allprojektide 7B ja 9 rakendamine</w:t>
            </w:r>
          </w:p>
        </w:tc>
      </w:tr>
      <w:tr w:rsidR="006E0EA2" w:rsidRPr="003B132A" w14:paraId="0976B6E7"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AA7966B"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99</w:t>
            </w:r>
          </w:p>
        </w:tc>
        <w:tc>
          <w:tcPr>
            <w:tcW w:w="4281" w:type="dxa"/>
            <w:tcBorders>
              <w:top w:val="nil"/>
              <w:left w:val="nil"/>
              <w:bottom w:val="single" w:sz="4" w:space="0" w:color="auto"/>
              <w:right w:val="single" w:sz="4" w:space="0" w:color="auto"/>
            </w:tcBorders>
            <w:shd w:val="clear" w:color="auto" w:fill="C6EFCE"/>
            <w:noWrap/>
            <w:vAlign w:val="center"/>
            <w:hideMark/>
          </w:tcPr>
          <w:p w14:paraId="6A426F65"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6-2.2. Moderniseerimine – 16929_Avaliku halduse kliendikesksete teenuste suunas protsesside lihtsustamise ja parandamise, süsteemide täiustamise ning Euroopa strateegiate ja poliitika järgimise kaudu</w:t>
            </w:r>
          </w:p>
        </w:tc>
        <w:tc>
          <w:tcPr>
            <w:tcW w:w="1690" w:type="dxa"/>
            <w:tcBorders>
              <w:top w:val="nil"/>
              <w:left w:val="nil"/>
              <w:bottom w:val="single" w:sz="4" w:space="0" w:color="auto"/>
              <w:right w:val="single" w:sz="4" w:space="0" w:color="auto"/>
            </w:tcBorders>
            <w:shd w:val="clear" w:color="auto" w:fill="C6EFCE"/>
            <w:noWrap/>
            <w:vAlign w:val="center"/>
            <w:hideMark/>
          </w:tcPr>
          <w:p w14:paraId="11B85E72"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90BEC57"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Halduskoormuse vähendamise strateegia lõpuleviimine ja protsessi lihtsustamise riiklik kava (lõppetapp)</w:t>
            </w:r>
          </w:p>
        </w:tc>
      </w:tr>
      <w:tr w:rsidR="006E0EA2" w:rsidRPr="003B132A" w14:paraId="13C9174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A53619C"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119</w:t>
            </w:r>
          </w:p>
        </w:tc>
        <w:tc>
          <w:tcPr>
            <w:tcW w:w="4281" w:type="dxa"/>
            <w:tcBorders>
              <w:top w:val="nil"/>
              <w:left w:val="nil"/>
              <w:bottom w:val="single" w:sz="4" w:space="0" w:color="auto"/>
              <w:right w:val="single" w:sz="4" w:space="0" w:color="auto"/>
            </w:tcBorders>
            <w:shd w:val="clear" w:color="auto" w:fill="C6EFCE"/>
            <w:noWrap/>
            <w:vAlign w:val="center"/>
            <w:hideMark/>
          </w:tcPr>
          <w:p w14:paraId="5BD45F28"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16736_ Uus riigihangete süsteem</w:t>
            </w:r>
          </w:p>
        </w:tc>
        <w:tc>
          <w:tcPr>
            <w:tcW w:w="1690" w:type="dxa"/>
            <w:tcBorders>
              <w:top w:val="nil"/>
              <w:left w:val="nil"/>
              <w:bottom w:val="single" w:sz="4" w:space="0" w:color="auto"/>
              <w:right w:val="single" w:sz="4" w:space="0" w:color="auto"/>
            </w:tcBorders>
            <w:shd w:val="clear" w:color="auto" w:fill="C6EFCE"/>
            <w:noWrap/>
            <w:vAlign w:val="center"/>
            <w:hideMark/>
          </w:tcPr>
          <w:p w14:paraId="7D53784A"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063AAB45"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Uue riigihangete süsteemi lõpuleviimine </w:t>
            </w:r>
          </w:p>
        </w:tc>
      </w:tr>
      <w:tr w:rsidR="006E0EA2" w14:paraId="6F1BB997"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48E2ABA"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120</w:t>
            </w:r>
          </w:p>
        </w:tc>
        <w:tc>
          <w:tcPr>
            <w:tcW w:w="4281" w:type="dxa"/>
            <w:tcBorders>
              <w:top w:val="nil"/>
              <w:left w:val="nil"/>
              <w:bottom w:val="single" w:sz="4" w:space="0" w:color="auto"/>
              <w:right w:val="single" w:sz="4" w:space="0" w:color="auto"/>
            </w:tcBorders>
            <w:shd w:val="clear" w:color="auto" w:fill="C6EFCE"/>
            <w:noWrap/>
            <w:vAlign w:val="center"/>
            <w:hideMark/>
          </w:tcPr>
          <w:p w14:paraId="7D09DCAF"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16824_Ettekanded</w:t>
            </w:r>
          </w:p>
        </w:tc>
        <w:tc>
          <w:tcPr>
            <w:tcW w:w="1690" w:type="dxa"/>
            <w:tcBorders>
              <w:top w:val="nil"/>
              <w:left w:val="nil"/>
              <w:bottom w:val="single" w:sz="4" w:space="0" w:color="auto"/>
              <w:right w:val="single" w:sz="4" w:space="0" w:color="auto"/>
            </w:tcBorders>
            <w:shd w:val="clear" w:color="auto" w:fill="C6EFCE"/>
            <w:noWrap/>
            <w:vAlign w:val="center"/>
            <w:hideMark/>
          </w:tcPr>
          <w:p w14:paraId="7E6431D6"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4D8E024"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Projekti „E-registrid“ lõpuleviimine </w:t>
            </w:r>
          </w:p>
        </w:tc>
      </w:tr>
      <w:tr w:rsidR="006E0EA2" w:rsidRPr="003B132A" w14:paraId="66301367"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15ABC101"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123</w:t>
            </w:r>
          </w:p>
        </w:tc>
        <w:tc>
          <w:tcPr>
            <w:tcW w:w="4281" w:type="dxa"/>
            <w:tcBorders>
              <w:top w:val="nil"/>
              <w:left w:val="nil"/>
              <w:bottom w:val="single" w:sz="4" w:space="0" w:color="auto"/>
              <w:right w:val="single" w:sz="4" w:space="0" w:color="auto"/>
            </w:tcBorders>
            <w:shd w:val="clear" w:color="auto" w:fill="C6EFCE"/>
            <w:noWrap/>
            <w:vAlign w:val="center"/>
            <w:hideMark/>
          </w:tcPr>
          <w:p w14:paraId="7918139C"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16854_Arukad linnad</w:t>
            </w:r>
          </w:p>
        </w:tc>
        <w:tc>
          <w:tcPr>
            <w:tcW w:w="1690" w:type="dxa"/>
            <w:tcBorders>
              <w:top w:val="nil"/>
              <w:left w:val="nil"/>
              <w:bottom w:val="single" w:sz="4" w:space="0" w:color="auto"/>
              <w:right w:val="single" w:sz="4" w:space="0" w:color="auto"/>
            </w:tcBorders>
            <w:shd w:val="clear" w:color="auto" w:fill="C6EFCE"/>
            <w:noWrap/>
            <w:vAlign w:val="center"/>
            <w:hideMark/>
          </w:tcPr>
          <w:p w14:paraId="2BB5361E"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61E9ECD8"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Arukate linnade projektide täielik rakendamine</w:t>
            </w:r>
          </w:p>
        </w:tc>
      </w:tr>
      <w:tr w:rsidR="006E0EA2" w:rsidRPr="003B132A" w14:paraId="29A39C51"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D6536B3"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w:t>
            </w:r>
          </w:p>
        </w:tc>
        <w:tc>
          <w:tcPr>
            <w:tcW w:w="4281" w:type="dxa"/>
            <w:tcBorders>
              <w:top w:val="nil"/>
              <w:left w:val="nil"/>
              <w:bottom w:val="single" w:sz="4" w:space="0" w:color="auto"/>
              <w:right w:val="single" w:sz="4" w:space="0" w:color="auto"/>
            </w:tcBorders>
            <w:shd w:val="clear" w:color="auto" w:fill="C6EFCE"/>
            <w:noWrap/>
            <w:vAlign w:val="center"/>
            <w:hideMark/>
          </w:tcPr>
          <w:p w14:paraId="0EF05A88"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16928_ Uute tehnoloogiate kaasamine ja suundumused avaliku halduse kõrgetasemeliste teenuste suunas, tõhususe ja tulemuslikkuse suurendamine ning süsteemide kasutus-, uuendus- ja hoolduskulude vähendamine</w:t>
            </w:r>
          </w:p>
        </w:tc>
        <w:tc>
          <w:tcPr>
            <w:tcW w:w="1690" w:type="dxa"/>
            <w:tcBorders>
              <w:top w:val="nil"/>
              <w:left w:val="nil"/>
              <w:bottom w:val="single" w:sz="4" w:space="0" w:color="auto"/>
              <w:right w:val="single" w:sz="4" w:space="0" w:color="auto"/>
            </w:tcBorders>
            <w:shd w:val="clear" w:color="auto" w:fill="C6EFCE"/>
            <w:noWrap/>
            <w:vAlign w:val="center"/>
            <w:hideMark/>
          </w:tcPr>
          <w:p w14:paraId="35CDBD4B"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0E3AE54"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Avaliku halduse uute tehnoloogiate lõpuleviimine</w:t>
            </w:r>
          </w:p>
        </w:tc>
      </w:tr>
      <w:tr w:rsidR="006E0EA2" w14:paraId="5F5AC5C9"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4B09410"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125</w:t>
            </w:r>
          </w:p>
        </w:tc>
        <w:tc>
          <w:tcPr>
            <w:tcW w:w="4281" w:type="dxa"/>
            <w:tcBorders>
              <w:top w:val="nil"/>
              <w:left w:val="nil"/>
              <w:bottom w:val="single" w:sz="4" w:space="0" w:color="auto"/>
              <w:right w:val="single" w:sz="4" w:space="0" w:color="auto"/>
            </w:tcBorders>
            <w:shd w:val="clear" w:color="auto" w:fill="C6EFCE"/>
            <w:noWrap/>
            <w:vAlign w:val="center"/>
            <w:hideMark/>
          </w:tcPr>
          <w:p w14:paraId="052CEBFA"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16955_Pilvandmetöötluse infrastruktuuri ja riiklike teadusuuringute ja tehnoloogia infrastruktuuride teenuste uuendamine GRNET</w:t>
            </w:r>
          </w:p>
        </w:tc>
        <w:tc>
          <w:tcPr>
            <w:tcW w:w="1690" w:type="dxa"/>
            <w:tcBorders>
              <w:top w:val="nil"/>
              <w:left w:val="nil"/>
              <w:bottom w:val="single" w:sz="4" w:space="0" w:color="auto"/>
              <w:right w:val="single" w:sz="4" w:space="0" w:color="auto"/>
            </w:tcBorders>
            <w:shd w:val="clear" w:color="auto" w:fill="C6EFCE"/>
            <w:noWrap/>
            <w:vAlign w:val="center"/>
            <w:hideMark/>
          </w:tcPr>
          <w:p w14:paraId="27659835"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7F8D008B"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GRNETi lõpuleviimine </w:t>
            </w:r>
          </w:p>
        </w:tc>
      </w:tr>
      <w:tr w:rsidR="006E0EA2" w14:paraId="15D25057"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862A270"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127</w:t>
            </w:r>
          </w:p>
        </w:tc>
        <w:tc>
          <w:tcPr>
            <w:tcW w:w="4281" w:type="dxa"/>
            <w:tcBorders>
              <w:top w:val="nil"/>
              <w:left w:val="nil"/>
              <w:bottom w:val="single" w:sz="4" w:space="0" w:color="auto"/>
              <w:right w:val="single" w:sz="4" w:space="0" w:color="auto"/>
            </w:tcBorders>
            <w:shd w:val="clear" w:color="auto" w:fill="C6EFCE"/>
            <w:noWrap/>
            <w:vAlign w:val="center"/>
            <w:hideMark/>
          </w:tcPr>
          <w:p w14:paraId="3AFE642D"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16956_Syzefksis II laiendamine</w:t>
            </w:r>
          </w:p>
        </w:tc>
        <w:tc>
          <w:tcPr>
            <w:tcW w:w="1690" w:type="dxa"/>
            <w:tcBorders>
              <w:top w:val="nil"/>
              <w:left w:val="nil"/>
              <w:bottom w:val="single" w:sz="4" w:space="0" w:color="auto"/>
              <w:right w:val="single" w:sz="4" w:space="0" w:color="auto"/>
            </w:tcBorders>
            <w:shd w:val="clear" w:color="auto" w:fill="C6EFCE"/>
            <w:noWrap/>
            <w:vAlign w:val="center"/>
            <w:hideMark/>
          </w:tcPr>
          <w:p w14:paraId="4C55E2BF"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15E88F68"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Programmi „Syzefksis II“ lõpuleviimine</w:t>
            </w:r>
          </w:p>
        </w:tc>
      </w:tr>
      <w:tr w:rsidR="006E0EA2" w:rsidRPr="003B132A" w14:paraId="77284107"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4060DEFD"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128</w:t>
            </w:r>
          </w:p>
        </w:tc>
        <w:tc>
          <w:tcPr>
            <w:tcW w:w="4281" w:type="dxa"/>
            <w:tcBorders>
              <w:top w:val="nil"/>
              <w:left w:val="nil"/>
              <w:bottom w:val="single" w:sz="4" w:space="0" w:color="auto"/>
              <w:right w:val="single" w:sz="4" w:space="0" w:color="auto"/>
            </w:tcBorders>
            <w:shd w:val="clear" w:color="auto" w:fill="C6EFCE"/>
            <w:noWrap/>
            <w:vAlign w:val="center"/>
            <w:hideMark/>
          </w:tcPr>
          <w:p w14:paraId="5F577164"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Ajakohastamine – 16827_Andmehaldusstrateegia &amp; avaliku sektori poliitika</w:t>
            </w:r>
          </w:p>
        </w:tc>
        <w:tc>
          <w:tcPr>
            <w:tcW w:w="1690" w:type="dxa"/>
            <w:tcBorders>
              <w:top w:val="nil"/>
              <w:left w:val="nil"/>
              <w:bottom w:val="single" w:sz="4" w:space="0" w:color="auto"/>
              <w:right w:val="single" w:sz="4" w:space="0" w:color="auto"/>
            </w:tcBorders>
            <w:shd w:val="clear" w:color="auto" w:fill="C6EFCE"/>
            <w:noWrap/>
            <w:vAlign w:val="center"/>
            <w:hideMark/>
          </w:tcPr>
          <w:p w14:paraId="38A5EF3B"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0D78579"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Andmehaldusstrateegia lõpuleviimine</w:t>
            </w:r>
          </w:p>
        </w:tc>
      </w:tr>
      <w:tr w:rsidR="006E0EA2" w14:paraId="614E25D4"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E53B415"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129</w:t>
            </w:r>
          </w:p>
        </w:tc>
        <w:tc>
          <w:tcPr>
            <w:tcW w:w="4281" w:type="dxa"/>
            <w:tcBorders>
              <w:top w:val="nil"/>
              <w:left w:val="nil"/>
              <w:bottom w:val="single" w:sz="4" w:space="0" w:color="auto"/>
              <w:right w:val="single" w:sz="4" w:space="0" w:color="auto"/>
            </w:tcBorders>
            <w:shd w:val="clear" w:color="auto" w:fill="C6EFCE"/>
            <w:noWrap/>
            <w:vAlign w:val="center"/>
            <w:hideMark/>
          </w:tcPr>
          <w:p w14:paraId="4C308449"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6-2.2. Moderniseerimine – 16842_Central BI – Data Analytics</w:t>
            </w:r>
          </w:p>
        </w:tc>
        <w:tc>
          <w:tcPr>
            <w:tcW w:w="1690" w:type="dxa"/>
            <w:tcBorders>
              <w:top w:val="nil"/>
              <w:left w:val="nil"/>
              <w:bottom w:val="single" w:sz="4" w:space="0" w:color="auto"/>
              <w:right w:val="single" w:sz="4" w:space="0" w:color="auto"/>
            </w:tcBorders>
            <w:shd w:val="clear" w:color="auto" w:fill="C6EFCE"/>
            <w:noWrap/>
            <w:vAlign w:val="center"/>
            <w:hideMark/>
          </w:tcPr>
          <w:p w14:paraId="7C4FCB9E"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1C436A35"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Keskse BI lõpuleviimine</w:t>
            </w:r>
          </w:p>
        </w:tc>
      </w:tr>
      <w:tr w:rsidR="006E0EA2" w14:paraId="40760140"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hideMark/>
          </w:tcPr>
          <w:p w14:paraId="0E0E2729"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135a</w:t>
            </w:r>
          </w:p>
        </w:tc>
        <w:tc>
          <w:tcPr>
            <w:tcW w:w="4281" w:type="dxa"/>
            <w:tcBorders>
              <w:top w:val="nil"/>
              <w:left w:val="nil"/>
              <w:bottom w:val="single" w:sz="4" w:space="0" w:color="auto"/>
              <w:right w:val="single" w:sz="4" w:space="0" w:color="auto"/>
            </w:tcBorders>
            <w:shd w:val="clear" w:color="auto" w:fill="C6EFCE"/>
            <w:noWrap/>
            <w:hideMark/>
          </w:tcPr>
          <w:p w14:paraId="50010E02"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8-3.1. Edendada töökohtade loomist ja tööturul osalemist – 16942_Avalike tööturuasutuste digitaalne ümberkujundamine</w:t>
            </w:r>
          </w:p>
        </w:tc>
        <w:tc>
          <w:tcPr>
            <w:tcW w:w="1690" w:type="dxa"/>
            <w:tcBorders>
              <w:top w:val="nil"/>
              <w:left w:val="nil"/>
              <w:bottom w:val="single" w:sz="4" w:space="0" w:color="auto"/>
              <w:right w:val="single" w:sz="4" w:space="0" w:color="auto"/>
            </w:tcBorders>
            <w:shd w:val="clear" w:color="auto" w:fill="C6EFCE"/>
            <w:noWrap/>
            <w:hideMark/>
          </w:tcPr>
          <w:p w14:paraId="538352D2"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hideMark/>
          </w:tcPr>
          <w:p w14:paraId="700D11EF"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DYPA digiüleminek</w:t>
            </w:r>
          </w:p>
        </w:tc>
      </w:tr>
      <w:tr w:rsidR="006E0EA2" w:rsidRPr="003B132A" w14:paraId="5756313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A1ABECF"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140</w:t>
            </w:r>
          </w:p>
        </w:tc>
        <w:tc>
          <w:tcPr>
            <w:tcW w:w="4281" w:type="dxa"/>
            <w:tcBorders>
              <w:top w:val="nil"/>
              <w:left w:val="nil"/>
              <w:bottom w:val="single" w:sz="4" w:space="0" w:color="auto"/>
              <w:right w:val="single" w:sz="4" w:space="0" w:color="auto"/>
            </w:tcBorders>
            <w:shd w:val="clear" w:color="auto" w:fill="C6EFCE"/>
            <w:noWrap/>
            <w:vAlign w:val="center"/>
            <w:hideMark/>
          </w:tcPr>
          <w:p w14:paraId="3F16B469"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9-3.2. Haridus, kutseharidus ja -koolitus ning oskused – 16913_Elukestvate oskuste omandamise uus strateegia: Kreeka oskuste täiendamise ja ümberõppe süsteemi ajakohastamine ja täiendamine</w:t>
            </w:r>
          </w:p>
        </w:tc>
        <w:tc>
          <w:tcPr>
            <w:tcW w:w="1690" w:type="dxa"/>
            <w:tcBorders>
              <w:top w:val="nil"/>
              <w:left w:val="nil"/>
              <w:bottom w:val="single" w:sz="4" w:space="0" w:color="auto"/>
              <w:right w:val="single" w:sz="4" w:space="0" w:color="auto"/>
            </w:tcBorders>
            <w:shd w:val="clear" w:color="auto" w:fill="C6EFCE"/>
            <w:noWrap/>
            <w:vAlign w:val="center"/>
            <w:hideMark/>
          </w:tcPr>
          <w:p w14:paraId="6513F63C"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49DA50AF"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Elukestva õppe programmide etapiviisilise lõpetamise valideerimine</w:t>
            </w:r>
          </w:p>
        </w:tc>
      </w:tr>
      <w:tr w:rsidR="006E0EA2" w:rsidRPr="003B132A" w14:paraId="7FA8ACEB"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0AA5363"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141a</w:t>
            </w:r>
          </w:p>
        </w:tc>
        <w:tc>
          <w:tcPr>
            <w:tcW w:w="4281" w:type="dxa"/>
            <w:tcBorders>
              <w:top w:val="nil"/>
              <w:left w:val="nil"/>
              <w:bottom w:val="single" w:sz="4" w:space="0" w:color="auto"/>
              <w:right w:val="single" w:sz="4" w:space="0" w:color="auto"/>
            </w:tcBorders>
            <w:shd w:val="clear" w:color="auto" w:fill="C6EFCE"/>
            <w:noWrap/>
            <w:vAlign w:val="center"/>
            <w:hideMark/>
          </w:tcPr>
          <w:p w14:paraId="414DB8FC"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8-3.1. Edendada töökohtade loomist ja tööturul osalemist – 16941_Avalike tööturuasutuste ümberkujundamine ja nende kaubamärgi muutmine (KPA2)</w:t>
            </w:r>
          </w:p>
        </w:tc>
        <w:tc>
          <w:tcPr>
            <w:tcW w:w="1690" w:type="dxa"/>
            <w:tcBorders>
              <w:top w:val="nil"/>
              <w:left w:val="nil"/>
              <w:bottom w:val="single" w:sz="4" w:space="0" w:color="auto"/>
              <w:right w:val="single" w:sz="4" w:space="0" w:color="auto"/>
            </w:tcBorders>
            <w:shd w:val="clear" w:color="auto" w:fill="C6EFCE"/>
            <w:noWrap/>
            <w:vAlign w:val="center"/>
            <w:hideMark/>
          </w:tcPr>
          <w:p w14:paraId="5DBE61FA"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BC1AA21"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KPA2 renoveerimine, kommunikatsioonistrateegia, klienditeeninduse kvaliteedi kontroll, profiilianalüüsi ja nõustamisteenuste uued vormid.</w:t>
            </w:r>
          </w:p>
        </w:tc>
      </w:tr>
      <w:tr w:rsidR="00F907CE" w:rsidRPr="003B132A" w14:paraId="7CFB6761"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tcPr>
          <w:p w14:paraId="04FEBA2C" w14:textId="77777777" w:rsidR="00F907CE" w:rsidRDefault="00F907CE">
            <w:pPr>
              <w:keepNext/>
              <w:spacing w:before="40" w:after="0" w:line="240" w:lineRule="auto"/>
              <w:jc w:val="both"/>
              <w:rPr>
                <w:rFonts w:ascii="Times New Roman" w:hAnsi="Times New Roman"/>
                <w:noProof/>
                <w:sz w:val="18"/>
              </w:rPr>
            </w:pPr>
            <w:r>
              <w:rPr>
                <w:rFonts w:ascii="Times New Roman" w:hAnsi="Times New Roman"/>
                <w:noProof/>
                <w:sz w:val="18"/>
              </w:rPr>
              <w:t>142b</w:t>
            </w:r>
          </w:p>
        </w:tc>
        <w:tc>
          <w:tcPr>
            <w:tcW w:w="4281" w:type="dxa"/>
            <w:tcBorders>
              <w:top w:val="nil"/>
              <w:left w:val="nil"/>
              <w:bottom w:val="single" w:sz="4" w:space="0" w:color="auto"/>
              <w:right w:val="single" w:sz="4" w:space="0" w:color="auto"/>
            </w:tcBorders>
            <w:shd w:val="clear" w:color="auto" w:fill="C6EFCE"/>
            <w:noWrap/>
            <w:vAlign w:val="center"/>
          </w:tcPr>
          <w:p w14:paraId="3B38D4C5" w14:textId="77777777" w:rsidR="00F907CE" w:rsidRDefault="00F907CE">
            <w:pPr>
              <w:keepNext/>
              <w:spacing w:before="40" w:after="0" w:line="240" w:lineRule="auto"/>
              <w:jc w:val="both"/>
              <w:rPr>
                <w:rFonts w:ascii="Times New Roman" w:hAnsi="Times New Roman"/>
                <w:noProof/>
                <w:sz w:val="18"/>
              </w:rPr>
            </w:pPr>
            <w:r>
              <w:rPr>
                <w:rFonts w:ascii="Times New Roman" w:hAnsi="Times New Roman"/>
                <w:noProof/>
                <w:sz w:val="18"/>
              </w:rPr>
              <w:t>8-3.1. Edendada töökohtade loomist ja tööturul osalemist – 16746_Reform, mis käsitleb passiivset tööturupoliitikat, et toetada üleminekut tööhõivele</w:t>
            </w:r>
          </w:p>
        </w:tc>
        <w:tc>
          <w:tcPr>
            <w:tcW w:w="1690" w:type="dxa"/>
            <w:tcBorders>
              <w:top w:val="nil"/>
              <w:left w:val="nil"/>
              <w:bottom w:val="single" w:sz="4" w:space="0" w:color="auto"/>
              <w:right w:val="single" w:sz="4" w:space="0" w:color="auto"/>
            </w:tcBorders>
            <w:shd w:val="clear" w:color="auto" w:fill="C6EFCE"/>
            <w:noWrap/>
            <w:vAlign w:val="center"/>
          </w:tcPr>
          <w:p w14:paraId="0E47588B" w14:textId="77777777" w:rsidR="00F907CE" w:rsidRDefault="00F907CE">
            <w:pPr>
              <w:keepNext/>
              <w:spacing w:before="40" w:after="0" w:line="240" w:lineRule="auto"/>
              <w:jc w:val="both"/>
              <w:rPr>
                <w:rFonts w:ascii="Times New Roman" w:hAnsi="Times New Roman"/>
                <w:noProof/>
                <w:sz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tcPr>
          <w:p w14:paraId="621C9134" w14:textId="77777777" w:rsidR="00F907CE" w:rsidRDefault="00F907CE">
            <w:pPr>
              <w:keepNext/>
              <w:spacing w:before="40" w:after="0" w:line="240" w:lineRule="auto"/>
              <w:jc w:val="both"/>
              <w:rPr>
                <w:rFonts w:ascii="Times New Roman" w:hAnsi="Times New Roman"/>
                <w:noProof/>
                <w:sz w:val="18"/>
              </w:rPr>
            </w:pPr>
            <w:r>
              <w:rPr>
                <w:rFonts w:ascii="Times New Roman" w:hAnsi="Times New Roman"/>
                <w:noProof/>
                <w:sz w:val="18"/>
              </w:rPr>
              <w:t xml:space="preserve">Töötushüvitiste konsolideerimise ja ühtlustamise katseprojekt  </w:t>
            </w:r>
          </w:p>
        </w:tc>
      </w:tr>
      <w:tr w:rsidR="006E0EA2" w14:paraId="68E3CB5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hideMark/>
          </w:tcPr>
          <w:p w14:paraId="53B9FF3B"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144a</w:t>
            </w:r>
          </w:p>
        </w:tc>
        <w:tc>
          <w:tcPr>
            <w:tcW w:w="4281" w:type="dxa"/>
            <w:tcBorders>
              <w:top w:val="nil"/>
              <w:left w:val="nil"/>
              <w:bottom w:val="single" w:sz="4" w:space="0" w:color="auto"/>
              <w:right w:val="single" w:sz="4" w:space="0" w:color="auto"/>
            </w:tcBorders>
            <w:shd w:val="clear" w:color="auto" w:fill="C6EFCE"/>
            <w:noWrap/>
            <w:hideMark/>
          </w:tcPr>
          <w:p w14:paraId="2181522D"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8-3.1. Edendada töökohtade loomist ja tööturul osalemist – 16747_Aktiivne tööturupoliitika reform</w:t>
            </w:r>
          </w:p>
        </w:tc>
        <w:tc>
          <w:tcPr>
            <w:tcW w:w="1690" w:type="dxa"/>
            <w:tcBorders>
              <w:top w:val="nil"/>
              <w:left w:val="nil"/>
              <w:bottom w:val="single" w:sz="4" w:space="0" w:color="auto"/>
              <w:right w:val="single" w:sz="4" w:space="0" w:color="auto"/>
            </w:tcBorders>
            <w:shd w:val="clear" w:color="auto" w:fill="C6EFCE"/>
            <w:noWrap/>
            <w:hideMark/>
          </w:tcPr>
          <w:p w14:paraId="793A56B8"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hideMark/>
          </w:tcPr>
          <w:p w14:paraId="4E1DD0E5"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Aktiivse tööturupoliitika programmi lõpuleviimine </w:t>
            </w:r>
          </w:p>
        </w:tc>
      </w:tr>
      <w:tr w:rsidR="006E0EA2" w:rsidRPr="003B132A" w14:paraId="0414B4C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5FD9764"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145</w:t>
            </w:r>
          </w:p>
        </w:tc>
        <w:tc>
          <w:tcPr>
            <w:tcW w:w="4281" w:type="dxa"/>
            <w:tcBorders>
              <w:top w:val="nil"/>
              <w:left w:val="nil"/>
              <w:bottom w:val="single" w:sz="4" w:space="0" w:color="auto"/>
              <w:right w:val="single" w:sz="4" w:space="0" w:color="auto"/>
            </w:tcBorders>
            <w:shd w:val="clear" w:color="auto" w:fill="C6EFCE"/>
            <w:noWrap/>
            <w:vAlign w:val="center"/>
            <w:hideMark/>
          </w:tcPr>
          <w:p w14:paraId="6CA57A51"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xml:space="preserve">9-3.2. Haridus, kutseharidus ja -koolitus ning oskused – 16794_Õpipoisiõppe süsteemi tugevdamine </w:t>
            </w:r>
          </w:p>
        </w:tc>
        <w:tc>
          <w:tcPr>
            <w:tcW w:w="1690" w:type="dxa"/>
            <w:tcBorders>
              <w:top w:val="nil"/>
              <w:left w:val="nil"/>
              <w:bottom w:val="single" w:sz="4" w:space="0" w:color="auto"/>
              <w:right w:val="single" w:sz="4" w:space="0" w:color="auto"/>
            </w:tcBorders>
            <w:shd w:val="clear" w:color="auto" w:fill="C6EFCE"/>
            <w:noWrap/>
            <w:vAlign w:val="center"/>
            <w:hideMark/>
          </w:tcPr>
          <w:p w14:paraId="23526EF6"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2C779ED2"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Digiteerimisalase e-õppe koolituskursuste lõpuleviimine</w:t>
            </w:r>
          </w:p>
        </w:tc>
      </w:tr>
      <w:tr w:rsidR="006E0EA2" w:rsidRPr="003B132A" w14:paraId="2939C4A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hideMark/>
          </w:tcPr>
          <w:p w14:paraId="2967417B"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145b</w:t>
            </w:r>
          </w:p>
        </w:tc>
        <w:tc>
          <w:tcPr>
            <w:tcW w:w="4281" w:type="dxa"/>
            <w:tcBorders>
              <w:top w:val="nil"/>
              <w:left w:val="nil"/>
              <w:bottom w:val="single" w:sz="4" w:space="0" w:color="auto"/>
              <w:right w:val="single" w:sz="4" w:space="0" w:color="auto"/>
            </w:tcBorders>
            <w:shd w:val="clear" w:color="auto" w:fill="C6EFCE"/>
            <w:noWrap/>
            <w:hideMark/>
          </w:tcPr>
          <w:p w14:paraId="7947DEB3"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9-3.2. Haridus, kutseharidus ja -koolitus ning oskused – 16794_Õpipoisiõppe süsteemi tugevdamine </w:t>
            </w:r>
          </w:p>
        </w:tc>
        <w:tc>
          <w:tcPr>
            <w:tcW w:w="1690" w:type="dxa"/>
            <w:tcBorders>
              <w:top w:val="nil"/>
              <w:left w:val="nil"/>
              <w:bottom w:val="single" w:sz="4" w:space="0" w:color="auto"/>
              <w:right w:val="single" w:sz="4" w:space="0" w:color="auto"/>
            </w:tcBorders>
            <w:shd w:val="clear" w:color="auto" w:fill="C6EFCE"/>
            <w:noWrap/>
            <w:hideMark/>
          </w:tcPr>
          <w:p w14:paraId="5537831F"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hideMark/>
          </w:tcPr>
          <w:p w14:paraId="4DAE0D1C"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Kutsehariduse ja -õppe koolide kvaliteedikontroll, õppekavade reform, kutsehariduse ja -õppe taristu ning muud projektid DYPA raames</w:t>
            </w:r>
          </w:p>
        </w:tc>
      </w:tr>
      <w:tr w:rsidR="006E0EA2" w:rsidRPr="003B132A" w14:paraId="35903E40"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8397669"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146</w:t>
            </w:r>
          </w:p>
        </w:tc>
        <w:tc>
          <w:tcPr>
            <w:tcW w:w="4281" w:type="dxa"/>
            <w:tcBorders>
              <w:top w:val="nil"/>
              <w:left w:val="nil"/>
              <w:bottom w:val="single" w:sz="4" w:space="0" w:color="auto"/>
              <w:right w:val="single" w:sz="4" w:space="0" w:color="auto"/>
            </w:tcBorders>
            <w:shd w:val="clear" w:color="auto" w:fill="C6EFCE"/>
            <w:noWrap/>
            <w:vAlign w:val="center"/>
            <w:hideMark/>
          </w:tcPr>
          <w:p w14:paraId="3F8061C7"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9-3.2. Haridus, kutseharidus ja -koolitus ning oskused – 16792_Tööjõu oskused, ümberõpe ja oskuste täiendamine reformitud koolitusmudeli kaudu (kutseharidus ja -koolitus; koolitusreform)</w:t>
            </w:r>
          </w:p>
        </w:tc>
        <w:tc>
          <w:tcPr>
            <w:tcW w:w="1690" w:type="dxa"/>
            <w:tcBorders>
              <w:top w:val="nil"/>
              <w:left w:val="nil"/>
              <w:bottom w:val="single" w:sz="4" w:space="0" w:color="auto"/>
              <w:right w:val="single" w:sz="4" w:space="0" w:color="auto"/>
            </w:tcBorders>
            <w:shd w:val="clear" w:color="auto" w:fill="C6EFCE"/>
            <w:noWrap/>
            <w:vAlign w:val="center"/>
            <w:hideMark/>
          </w:tcPr>
          <w:p w14:paraId="3B33DBA5"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4F7E264D" w14:textId="141DF179"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Kutsehariduse ja -koolituse kvaliteedikontrolli süsteem, millega ajakohastatakse riikliku tööturuasutuse (DYPA) kutseõppeüksuste moodulid, digikursused, 49 labori renoveerimine ja seadmete tarnimine, valdkondlike koolitusprogrammide lõpuleviimine</w:t>
            </w:r>
          </w:p>
        </w:tc>
      </w:tr>
      <w:tr w:rsidR="006E0EA2" w14:paraId="64649F1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hideMark/>
          </w:tcPr>
          <w:p w14:paraId="79B0F4C3"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148b</w:t>
            </w:r>
          </w:p>
        </w:tc>
        <w:tc>
          <w:tcPr>
            <w:tcW w:w="4281" w:type="dxa"/>
            <w:tcBorders>
              <w:top w:val="nil"/>
              <w:left w:val="nil"/>
              <w:bottom w:val="single" w:sz="4" w:space="0" w:color="auto"/>
              <w:right w:val="single" w:sz="4" w:space="0" w:color="auto"/>
            </w:tcBorders>
            <w:shd w:val="clear" w:color="auto" w:fill="C6EFCE"/>
            <w:noWrap/>
            <w:hideMark/>
          </w:tcPr>
          <w:p w14:paraId="14AAE30A"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9-3.2. Haridus, kutseharidus ja -koolitus ning oskused – 16676_Hariduse digitaalne ümberkujundamine</w:t>
            </w:r>
          </w:p>
        </w:tc>
        <w:tc>
          <w:tcPr>
            <w:tcW w:w="1690" w:type="dxa"/>
            <w:tcBorders>
              <w:top w:val="nil"/>
              <w:left w:val="nil"/>
              <w:bottom w:val="single" w:sz="4" w:space="0" w:color="auto"/>
              <w:right w:val="single" w:sz="4" w:space="0" w:color="auto"/>
            </w:tcBorders>
            <w:shd w:val="clear" w:color="auto" w:fill="C6EFCE"/>
            <w:noWrap/>
            <w:hideMark/>
          </w:tcPr>
          <w:p w14:paraId="7AD4B665"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hideMark/>
          </w:tcPr>
          <w:p w14:paraId="4D6630A2"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Hariduse digiüleminek</w:t>
            </w:r>
          </w:p>
        </w:tc>
      </w:tr>
      <w:tr w:rsidR="006E0EA2" w14:paraId="422A2F31"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3378F25"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149</w:t>
            </w:r>
          </w:p>
        </w:tc>
        <w:tc>
          <w:tcPr>
            <w:tcW w:w="4281" w:type="dxa"/>
            <w:tcBorders>
              <w:top w:val="nil"/>
              <w:left w:val="nil"/>
              <w:bottom w:val="single" w:sz="4" w:space="0" w:color="auto"/>
              <w:right w:val="single" w:sz="4" w:space="0" w:color="auto"/>
            </w:tcBorders>
            <w:shd w:val="clear" w:color="auto" w:fill="C6EFCE"/>
            <w:noWrap/>
            <w:vAlign w:val="center"/>
            <w:hideMark/>
          </w:tcPr>
          <w:p w14:paraId="057B3FDC"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9-3.2. Haridus, kutseharidus ja -koolitus ning oskused – 16933_Kutsehariduse ja -koolituse ajakohastamine: Laboriseadmete tarnimine laborikeskustele IEK, EPAL, teise aasta järgne õpipoisiõpe ja kutseõppekoolid</w:t>
            </w:r>
          </w:p>
        </w:tc>
        <w:tc>
          <w:tcPr>
            <w:tcW w:w="1690" w:type="dxa"/>
            <w:tcBorders>
              <w:top w:val="nil"/>
              <w:left w:val="nil"/>
              <w:bottom w:val="single" w:sz="4" w:space="0" w:color="auto"/>
              <w:right w:val="single" w:sz="4" w:space="0" w:color="auto"/>
            </w:tcBorders>
            <w:shd w:val="clear" w:color="auto" w:fill="C6EFCE"/>
            <w:noWrap/>
            <w:vAlign w:val="center"/>
            <w:hideMark/>
          </w:tcPr>
          <w:p w14:paraId="644D7DFD"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0BE7440C"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Kutsehariduse ja -koolituse laborikeskuste valmimise uuendamine</w:t>
            </w:r>
          </w:p>
        </w:tc>
      </w:tr>
      <w:tr w:rsidR="006E0EA2" w:rsidRPr="003B132A" w14:paraId="252EE5E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761326E"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150</w:t>
            </w:r>
          </w:p>
        </w:tc>
        <w:tc>
          <w:tcPr>
            <w:tcW w:w="4281" w:type="dxa"/>
            <w:tcBorders>
              <w:top w:val="nil"/>
              <w:left w:val="nil"/>
              <w:bottom w:val="single" w:sz="4" w:space="0" w:color="auto"/>
              <w:right w:val="single" w:sz="4" w:space="0" w:color="auto"/>
            </w:tcBorders>
            <w:shd w:val="clear" w:color="auto" w:fill="C6EFCE"/>
            <w:noWrap/>
            <w:vAlign w:val="center"/>
            <w:hideMark/>
          </w:tcPr>
          <w:p w14:paraId="16D898AE"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9-3.2. Haridus, kutseharidus ja -koolitus ning oskused – 16289_Ülikoolide tipptaseme strateegia; innovatsioon</w:t>
            </w:r>
          </w:p>
        </w:tc>
        <w:tc>
          <w:tcPr>
            <w:tcW w:w="1690" w:type="dxa"/>
            <w:tcBorders>
              <w:top w:val="nil"/>
              <w:left w:val="nil"/>
              <w:bottom w:val="single" w:sz="4" w:space="0" w:color="auto"/>
              <w:right w:val="single" w:sz="4" w:space="0" w:color="auto"/>
            </w:tcBorders>
            <w:shd w:val="clear" w:color="auto" w:fill="C6EFCE"/>
            <w:noWrap/>
            <w:vAlign w:val="center"/>
            <w:hideMark/>
          </w:tcPr>
          <w:p w14:paraId="0E660236"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7A6F9187" w14:textId="30D8DE30"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Ülikoolide tipptaseme strateegia ja innovatsiooni kõigi projektide lõpuleviimine</w:t>
            </w:r>
          </w:p>
        </w:tc>
      </w:tr>
      <w:tr w:rsidR="006E0EA2" w:rsidRPr="003B132A" w14:paraId="5284A01F"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F52A19C"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152</w:t>
            </w:r>
          </w:p>
        </w:tc>
        <w:tc>
          <w:tcPr>
            <w:tcW w:w="4281" w:type="dxa"/>
            <w:tcBorders>
              <w:top w:val="nil"/>
              <w:left w:val="nil"/>
              <w:bottom w:val="single" w:sz="4" w:space="0" w:color="auto"/>
              <w:right w:val="single" w:sz="4" w:space="0" w:color="auto"/>
            </w:tcBorders>
            <w:shd w:val="clear" w:color="auto" w:fill="C6EFCE"/>
            <w:noWrap/>
            <w:vAlign w:val="center"/>
            <w:hideMark/>
          </w:tcPr>
          <w:p w14:paraId="000EBAF6"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9-3.2. Haridus, kutseharidus ja -koolitus ning oskused – 16934_Kutsehariduse ja -koolituse ajakohastamine</w:t>
            </w:r>
          </w:p>
        </w:tc>
        <w:tc>
          <w:tcPr>
            <w:tcW w:w="1690" w:type="dxa"/>
            <w:tcBorders>
              <w:top w:val="nil"/>
              <w:left w:val="nil"/>
              <w:bottom w:val="single" w:sz="4" w:space="0" w:color="auto"/>
              <w:right w:val="single" w:sz="4" w:space="0" w:color="auto"/>
            </w:tcBorders>
            <w:shd w:val="clear" w:color="auto" w:fill="C6EFCE"/>
            <w:noWrap/>
            <w:vAlign w:val="center"/>
            <w:hideMark/>
          </w:tcPr>
          <w:p w14:paraId="50272850"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094260B4"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Kutsehariduse ja -koolituse süsteemi ajakohastamine IEK, EPALi digiteerimismudeli väljatöötamine ja arendamine EOPPEP lõpuleviimiseks</w:t>
            </w:r>
          </w:p>
        </w:tc>
      </w:tr>
      <w:tr w:rsidR="006E0EA2" w14:paraId="146411A0"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44FFB115"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158</w:t>
            </w:r>
          </w:p>
        </w:tc>
        <w:tc>
          <w:tcPr>
            <w:tcW w:w="4281" w:type="dxa"/>
            <w:tcBorders>
              <w:top w:val="nil"/>
              <w:left w:val="nil"/>
              <w:bottom w:val="single" w:sz="4" w:space="0" w:color="auto"/>
              <w:right w:val="single" w:sz="4" w:space="0" w:color="auto"/>
            </w:tcBorders>
            <w:shd w:val="clear" w:color="auto" w:fill="C6EFCE"/>
            <w:noWrap/>
            <w:vAlign w:val="center"/>
            <w:hideMark/>
          </w:tcPr>
          <w:p w14:paraId="20395B15"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10-3.3. Tervishoiusüsteemi vastupanuvõime, juurdepääsetavuse ja jätkusuutlikkuse parandamine – 16816_Reformid ja investeeringute kiirendamine tervishoiusektoris – tagasinõude vähendamine ja tervishoiukulude ratsionaliseerimine</w:t>
            </w:r>
          </w:p>
        </w:tc>
        <w:tc>
          <w:tcPr>
            <w:tcW w:w="1690" w:type="dxa"/>
            <w:tcBorders>
              <w:top w:val="nil"/>
              <w:left w:val="nil"/>
              <w:bottom w:val="single" w:sz="4" w:space="0" w:color="auto"/>
              <w:right w:val="single" w:sz="4" w:space="0" w:color="auto"/>
            </w:tcBorders>
            <w:shd w:val="clear" w:color="auto" w:fill="C6EFCE"/>
            <w:noWrap/>
            <w:vAlign w:val="center"/>
            <w:hideMark/>
          </w:tcPr>
          <w:p w14:paraId="5367F00C"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5570D7C5"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Tagasinõude vähenemine </w:t>
            </w:r>
          </w:p>
          <w:p w14:paraId="6512917B" w14:textId="5C604BB9"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400 000 000–4. etapp</w:t>
            </w:r>
          </w:p>
        </w:tc>
      </w:tr>
      <w:tr w:rsidR="00275DFC" w14:paraId="1B178BD9"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E04D6DA" w14:textId="77777777" w:rsidR="00275DFC" w:rsidRDefault="00275DFC">
            <w:pPr>
              <w:keepNext/>
              <w:spacing w:before="40" w:after="0" w:line="240" w:lineRule="auto"/>
              <w:jc w:val="both"/>
              <w:rPr>
                <w:rFonts w:ascii="Times New Roman" w:hAnsi="Times New Roman"/>
                <w:noProof/>
                <w:sz w:val="18"/>
                <w:szCs w:val="18"/>
              </w:rPr>
            </w:pPr>
            <w:r>
              <w:rPr>
                <w:rFonts w:ascii="Times New Roman" w:hAnsi="Times New Roman"/>
                <w:noProof/>
                <w:sz w:val="18"/>
              </w:rPr>
              <w:t>164a</w:t>
            </w:r>
          </w:p>
        </w:tc>
        <w:tc>
          <w:tcPr>
            <w:tcW w:w="4281" w:type="dxa"/>
            <w:tcBorders>
              <w:top w:val="nil"/>
              <w:left w:val="nil"/>
              <w:bottom w:val="single" w:sz="4" w:space="0" w:color="auto"/>
              <w:right w:val="single" w:sz="4" w:space="0" w:color="auto"/>
            </w:tcBorders>
            <w:shd w:val="clear" w:color="auto" w:fill="C6EFCE"/>
            <w:noWrap/>
            <w:vAlign w:val="center"/>
            <w:hideMark/>
          </w:tcPr>
          <w:p w14:paraId="7AB35E15" w14:textId="77777777" w:rsidR="00275DFC" w:rsidRDefault="00275DFC">
            <w:pPr>
              <w:keepNext/>
              <w:spacing w:before="40" w:after="0" w:line="240" w:lineRule="auto"/>
              <w:jc w:val="both"/>
              <w:rPr>
                <w:rFonts w:ascii="Times New Roman" w:hAnsi="Times New Roman"/>
                <w:noProof/>
                <w:sz w:val="18"/>
              </w:rPr>
            </w:pPr>
            <w:r>
              <w:rPr>
                <w:rFonts w:ascii="Times New Roman" w:hAnsi="Times New Roman"/>
                <w:noProof/>
                <w:sz w:val="18"/>
              </w:rPr>
              <w:t xml:space="preserve">10-3.3. Tervishoiusüsteemi vastupanuvõime, juurdepääsetavuse ja jätkusuutlikkuse parandamine – 16756_Tervishoiusüsteemi organisatsioonilised reformid </w:t>
            </w:r>
          </w:p>
        </w:tc>
        <w:tc>
          <w:tcPr>
            <w:tcW w:w="1690" w:type="dxa"/>
            <w:tcBorders>
              <w:top w:val="nil"/>
              <w:left w:val="nil"/>
              <w:bottom w:val="single" w:sz="4" w:space="0" w:color="auto"/>
              <w:right w:val="single" w:sz="4" w:space="0" w:color="auto"/>
            </w:tcBorders>
            <w:shd w:val="clear" w:color="auto" w:fill="C6EFCE"/>
            <w:noWrap/>
            <w:vAlign w:val="center"/>
            <w:hideMark/>
          </w:tcPr>
          <w:p w14:paraId="4E2D3341" w14:textId="77777777" w:rsidR="00275DFC" w:rsidRDefault="00275DFC">
            <w:pPr>
              <w:keepNext/>
              <w:spacing w:before="40" w:after="0" w:line="240" w:lineRule="auto"/>
              <w:jc w:val="both"/>
              <w:rPr>
                <w:rFonts w:ascii="Times New Roman" w:hAnsi="Times New Roman"/>
                <w:noProof/>
                <w:sz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3714268C" w14:textId="77777777" w:rsidR="00275DFC" w:rsidRDefault="00275DFC">
            <w:pPr>
              <w:keepNext/>
              <w:spacing w:before="40" w:after="0" w:line="240" w:lineRule="auto"/>
              <w:jc w:val="both"/>
              <w:rPr>
                <w:rFonts w:ascii="Times New Roman" w:hAnsi="Times New Roman"/>
                <w:noProof/>
                <w:sz w:val="18"/>
              </w:rPr>
            </w:pPr>
            <w:r>
              <w:rPr>
                <w:rFonts w:ascii="Times New Roman" w:hAnsi="Times New Roman"/>
                <w:noProof/>
                <w:sz w:val="18"/>
              </w:rPr>
              <w:t>Kirurgiliste ootenimekirjade vähendamine</w:t>
            </w:r>
          </w:p>
        </w:tc>
      </w:tr>
      <w:tr w:rsidR="006E0EA2" w:rsidRPr="003B132A" w14:paraId="148D5242"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715CC624"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165</w:t>
            </w:r>
          </w:p>
        </w:tc>
        <w:tc>
          <w:tcPr>
            <w:tcW w:w="4281" w:type="dxa"/>
            <w:tcBorders>
              <w:top w:val="nil"/>
              <w:left w:val="nil"/>
              <w:bottom w:val="single" w:sz="4" w:space="0" w:color="auto"/>
              <w:right w:val="single" w:sz="4" w:space="0" w:color="auto"/>
            </w:tcBorders>
            <w:shd w:val="clear" w:color="auto" w:fill="C6EFCE"/>
            <w:noWrap/>
            <w:vAlign w:val="center"/>
            <w:hideMark/>
          </w:tcPr>
          <w:p w14:paraId="0F2A49C5"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 vastupanuvõime, juurdepääsetavuse ja jätkusuutlikkuse parandamine – 16783_Riikliku rahvatervise ennetusprogrammi „Spiros Doxiadis“ rakendamine</w:t>
            </w:r>
          </w:p>
        </w:tc>
        <w:tc>
          <w:tcPr>
            <w:tcW w:w="1690" w:type="dxa"/>
            <w:tcBorders>
              <w:top w:val="nil"/>
              <w:left w:val="nil"/>
              <w:bottom w:val="single" w:sz="4" w:space="0" w:color="auto"/>
              <w:right w:val="single" w:sz="4" w:space="0" w:color="auto"/>
            </w:tcBorders>
            <w:shd w:val="clear" w:color="auto" w:fill="C6EFCE"/>
            <w:noWrap/>
            <w:vAlign w:val="center"/>
            <w:hideMark/>
          </w:tcPr>
          <w:p w14:paraId="645CB340"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355904A"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Spirose riiklik rahvatervise ennetusprogramm „Spiros Doxiadis“ – kõik projektid on lõpule viidud</w:t>
            </w:r>
          </w:p>
        </w:tc>
      </w:tr>
      <w:tr w:rsidR="006E0EA2" w:rsidRPr="003B132A" w14:paraId="43E5A41F"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C996C9F"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166</w:t>
            </w:r>
          </w:p>
        </w:tc>
        <w:tc>
          <w:tcPr>
            <w:tcW w:w="4281" w:type="dxa"/>
            <w:tcBorders>
              <w:top w:val="nil"/>
              <w:left w:val="nil"/>
              <w:bottom w:val="single" w:sz="4" w:space="0" w:color="auto"/>
              <w:right w:val="single" w:sz="4" w:space="0" w:color="auto"/>
            </w:tcBorders>
            <w:shd w:val="clear" w:color="auto" w:fill="C6EFCE"/>
            <w:noWrap/>
            <w:vAlign w:val="center"/>
            <w:hideMark/>
          </w:tcPr>
          <w:p w14:paraId="74E8BD8A"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 vastupanuvõime, juurdepääsetavuse ja jätkusuutlikkuse parandamine – 16755_Keskkonnasõbralikud investeeringud – esmatasandi tervishoiusüsteemi reform</w:t>
            </w:r>
          </w:p>
        </w:tc>
        <w:tc>
          <w:tcPr>
            <w:tcW w:w="1690" w:type="dxa"/>
            <w:tcBorders>
              <w:top w:val="nil"/>
              <w:left w:val="nil"/>
              <w:bottom w:val="single" w:sz="4" w:space="0" w:color="auto"/>
              <w:right w:val="single" w:sz="4" w:space="0" w:color="auto"/>
            </w:tcBorders>
            <w:shd w:val="clear" w:color="auto" w:fill="C6EFCE"/>
            <w:noWrap/>
            <w:vAlign w:val="center"/>
            <w:hideMark/>
          </w:tcPr>
          <w:p w14:paraId="1FBC56AA"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1755713B"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PHC – täielikult renoveeritud tervisekeskused</w:t>
            </w:r>
          </w:p>
        </w:tc>
      </w:tr>
      <w:tr w:rsidR="006E0EA2" w14:paraId="56F34D76"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BD6223C"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170</w:t>
            </w:r>
          </w:p>
        </w:tc>
        <w:tc>
          <w:tcPr>
            <w:tcW w:w="4281" w:type="dxa"/>
            <w:tcBorders>
              <w:top w:val="nil"/>
              <w:left w:val="nil"/>
              <w:bottom w:val="single" w:sz="4" w:space="0" w:color="auto"/>
              <w:right w:val="single" w:sz="4" w:space="0" w:color="auto"/>
            </w:tcBorders>
            <w:shd w:val="clear" w:color="auto" w:fill="C6EFCE"/>
            <w:noWrap/>
            <w:vAlign w:val="center"/>
            <w:hideMark/>
          </w:tcPr>
          <w:p w14:paraId="40EC43FE"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Tervishoiusüsteemi vastupanuvõime, juurdepääsetavuse ja jätkusuutlikkuse parandamine – 16795_NHS haiglate renoveerimine ja infrastruktuuri ajakohastamine</w:t>
            </w:r>
          </w:p>
        </w:tc>
        <w:tc>
          <w:tcPr>
            <w:tcW w:w="1690" w:type="dxa"/>
            <w:tcBorders>
              <w:top w:val="nil"/>
              <w:left w:val="nil"/>
              <w:bottom w:val="single" w:sz="4" w:space="0" w:color="auto"/>
              <w:right w:val="single" w:sz="4" w:space="0" w:color="auto"/>
            </w:tcBorders>
            <w:shd w:val="clear" w:color="auto" w:fill="C6EFCE"/>
            <w:noWrap/>
            <w:vAlign w:val="center"/>
            <w:hideMark/>
          </w:tcPr>
          <w:p w14:paraId="42F94C34"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70ED3410"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NHSi infrastruktuuri ajakohastamise lõpuleviimine</w:t>
            </w:r>
          </w:p>
        </w:tc>
      </w:tr>
      <w:tr w:rsidR="006E0EA2" w14:paraId="62AB47C5"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4EEF8740"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171</w:t>
            </w:r>
          </w:p>
        </w:tc>
        <w:tc>
          <w:tcPr>
            <w:tcW w:w="4281" w:type="dxa"/>
            <w:tcBorders>
              <w:top w:val="nil"/>
              <w:left w:val="nil"/>
              <w:bottom w:val="single" w:sz="4" w:space="0" w:color="auto"/>
              <w:right w:val="single" w:sz="4" w:space="0" w:color="auto"/>
            </w:tcBorders>
            <w:shd w:val="clear" w:color="auto" w:fill="C6EFCE"/>
            <w:noWrap/>
            <w:vAlign w:val="center"/>
            <w:hideMark/>
          </w:tcPr>
          <w:p w14:paraId="562484DB"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 vastupanuvõime, juurdepääsetavuse ja jätkusuutlikkuse parandamine – 16757_Kiiritusravikeskuse loomine „Sotiria“ rindkerehaiguste haiglas</w:t>
            </w:r>
          </w:p>
        </w:tc>
        <w:tc>
          <w:tcPr>
            <w:tcW w:w="1690" w:type="dxa"/>
            <w:tcBorders>
              <w:top w:val="nil"/>
              <w:left w:val="nil"/>
              <w:bottom w:val="single" w:sz="4" w:space="0" w:color="auto"/>
              <w:right w:val="single" w:sz="4" w:space="0" w:color="auto"/>
            </w:tcBorders>
            <w:shd w:val="clear" w:color="auto" w:fill="C6EFCE"/>
            <w:noWrap/>
            <w:vAlign w:val="center"/>
            <w:hideMark/>
          </w:tcPr>
          <w:p w14:paraId="5209A0E5"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66E5B24"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Sotiria kiiritusravikeskus</w:t>
            </w:r>
          </w:p>
        </w:tc>
      </w:tr>
      <w:tr w:rsidR="006E0EA2" w14:paraId="73243D3B"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FED4CA5"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172</w:t>
            </w:r>
          </w:p>
        </w:tc>
        <w:tc>
          <w:tcPr>
            <w:tcW w:w="4281" w:type="dxa"/>
            <w:tcBorders>
              <w:top w:val="nil"/>
              <w:left w:val="nil"/>
              <w:bottom w:val="single" w:sz="4" w:space="0" w:color="auto"/>
              <w:right w:val="single" w:sz="4" w:space="0" w:color="auto"/>
            </w:tcBorders>
            <w:shd w:val="clear" w:color="auto" w:fill="C6EFCE"/>
            <w:noWrap/>
            <w:vAlign w:val="center"/>
            <w:hideMark/>
          </w:tcPr>
          <w:p w14:paraId="2DA24E5A"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 vastupanuvõime, juurdepääsetavuse ja jätkusuutlikkuse parandamine – 16793_Projekt raku- ja geeniteraapia- ja hematoloogiakliiniku laboritele hoone ehitamiseks Thessaloniki „Papanikolaou“ üldhaiglasse</w:t>
            </w:r>
          </w:p>
        </w:tc>
        <w:tc>
          <w:tcPr>
            <w:tcW w:w="1690" w:type="dxa"/>
            <w:tcBorders>
              <w:top w:val="nil"/>
              <w:left w:val="nil"/>
              <w:bottom w:val="single" w:sz="4" w:space="0" w:color="auto"/>
              <w:right w:val="single" w:sz="4" w:space="0" w:color="auto"/>
            </w:tcBorders>
            <w:shd w:val="clear" w:color="auto" w:fill="C6EFCE"/>
            <w:noWrap/>
            <w:vAlign w:val="center"/>
            <w:hideMark/>
          </w:tcPr>
          <w:p w14:paraId="46A4A890"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5E37C4C"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Papanikolau haigla lõpetamine</w:t>
            </w:r>
          </w:p>
        </w:tc>
      </w:tr>
      <w:tr w:rsidR="006E0EA2" w:rsidRPr="003B132A" w14:paraId="253E1EE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04E0787"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173</w:t>
            </w:r>
          </w:p>
        </w:tc>
        <w:tc>
          <w:tcPr>
            <w:tcW w:w="4281" w:type="dxa"/>
            <w:tcBorders>
              <w:top w:val="nil"/>
              <w:left w:val="nil"/>
              <w:bottom w:val="single" w:sz="4" w:space="0" w:color="auto"/>
              <w:right w:val="single" w:sz="4" w:space="0" w:color="auto"/>
            </w:tcBorders>
            <w:shd w:val="clear" w:color="auto" w:fill="C6EFCE"/>
            <w:noWrap/>
            <w:vAlign w:val="center"/>
            <w:hideMark/>
          </w:tcPr>
          <w:p w14:paraId="5C83B310" w14:textId="77777777" w:rsidR="00275DFC" w:rsidRDefault="00275DF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10-3.3. Tervishoiu vastupanuvõime, juurdepääsetavuse ja jätkusuutlikkuse parandamine – 16752_Tervise digitaalne ümberkujundamine (DigHealth)</w:t>
            </w:r>
          </w:p>
        </w:tc>
        <w:tc>
          <w:tcPr>
            <w:tcW w:w="1690" w:type="dxa"/>
            <w:tcBorders>
              <w:top w:val="nil"/>
              <w:left w:val="nil"/>
              <w:bottom w:val="single" w:sz="4" w:space="0" w:color="auto"/>
              <w:right w:val="single" w:sz="4" w:space="0" w:color="auto"/>
            </w:tcBorders>
            <w:shd w:val="clear" w:color="auto" w:fill="C6EFCE"/>
            <w:noWrap/>
            <w:vAlign w:val="center"/>
            <w:hideMark/>
          </w:tcPr>
          <w:p w14:paraId="437951AB"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203ED355" w14:textId="77777777" w:rsidR="00275DFC" w:rsidRDefault="00275DF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Digiüleminek – kõik allprojektid on lõpule viidud</w:t>
            </w:r>
          </w:p>
        </w:tc>
      </w:tr>
      <w:tr w:rsidR="006E0EA2" w:rsidRPr="003B132A" w14:paraId="7C30CDCC"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hideMark/>
          </w:tcPr>
          <w:p w14:paraId="5B3522AB"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174a</w:t>
            </w:r>
          </w:p>
        </w:tc>
        <w:tc>
          <w:tcPr>
            <w:tcW w:w="4281" w:type="dxa"/>
            <w:tcBorders>
              <w:top w:val="nil"/>
              <w:left w:val="nil"/>
              <w:bottom w:val="single" w:sz="4" w:space="0" w:color="auto"/>
              <w:right w:val="single" w:sz="4" w:space="0" w:color="auto"/>
            </w:tcBorders>
            <w:shd w:val="clear" w:color="auto" w:fill="C6EFCE"/>
            <w:noWrap/>
            <w:hideMark/>
          </w:tcPr>
          <w:p w14:paraId="207FD948"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16904_puue</w:t>
            </w:r>
          </w:p>
        </w:tc>
        <w:tc>
          <w:tcPr>
            <w:tcW w:w="1690" w:type="dxa"/>
            <w:tcBorders>
              <w:top w:val="nil"/>
              <w:left w:val="nil"/>
              <w:bottom w:val="single" w:sz="4" w:space="0" w:color="auto"/>
              <w:right w:val="single" w:sz="4" w:space="0" w:color="auto"/>
            </w:tcBorders>
            <w:shd w:val="clear" w:color="auto" w:fill="C6EFCE"/>
            <w:noWrap/>
            <w:hideMark/>
          </w:tcPr>
          <w:p w14:paraId="63BF6CDB"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hideMark/>
          </w:tcPr>
          <w:p w14:paraId="41BFF542"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Juurdepääsetavus ja tugitaristu, aktiivsündroomi põdevate inimeste sotsiaalne kaasatus, varase lapsepõlve sekkumised</w:t>
            </w:r>
          </w:p>
        </w:tc>
      </w:tr>
      <w:tr w:rsidR="006E0EA2" w14:paraId="6A724805"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hideMark/>
          </w:tcPr>
          <w:p w14:paraId="77540FBB"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180a</w:t>
            </w:r>
          </w:p>
        </w:tc>
        <w:tc>
          <w:tcPr>
            <w:tcW w:w="4281" w:type="dxa"/>
            <w:tcBorders>
              <w:top w:val="nil"/>
              <w:left w:val="nil"/>
              <w:bottom w:val="single" w:sz="4" w:space="0" w:color="auto"/>
              <w:right w:val="single" w:sz="4" w:space="0" w:color="auto"/>
            </w:tcBorders>
            <w:shd w:val="clear" w:color="auto" w:fill="C6EFCE"/>
            <w:noWrap/>
            <w:hideMark/>
          </w:tcPr>
          <w:p w14:paraId="6EEC6640"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16919 – Laste kaitse</w:t>
            </w:r>
          </w:p>
        </w:tc>
        <w:tc>
          <w:tcPr>
            <w:tcW w:w="1690" w:type="dxa"/>
            <w:tcBorders>
              <w:top w:val="nil"/>
              <w:left w:val="nil"/>
              <w:bottom w:val="single" w:sz="4" w:space="0" w:color="auto"/>
              <w:right w:val="single" w:sz="4" w:space="0" w:color="auto"/>
            </w:tcBorders>
            <w:shd w:val="clear" w:color="auto" w:fill="C6EFCE"/>
            <w:noWrap/>
            <w:hideMark/>
          </w:tcPr>
          <w:p w14:paraId="7E1BA60C"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hideMark/>
          </w:tcPr>
          <w:p w14:paraId="05BE23DB" w14:textId="77777777" w:rsidR="00275DFC" w:rsidRDefault="00275DFC">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Õppekava reform</w:t>
            </w:r>
          </w:p>
        </w:tc>
      </w:tr>
      <w:tr w:rsidR="00F907CE" w:rsidRPr="003B132A" w14:paraId="243BF65F"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tcPr>
          <w:p w14:paraId="3D41E240" w14:textId="77777777" w:rsidR="00F907CE" w:rsidRDefault="00F907CE">
            <w:pPr>
              <w:keepNext/>
              <w:spacing w:before="40" w:after="0" w:line="240" w:lineRule="auto"/>
              <w:jc w:val="both"/>
              <w:rPr>
                <w:rFonts w:ascii="Times New Roman" w:hAnsi="Times New Roman"/>
                <w:noProof/>
                <w:sz w:val="18"/>
              </w:rPr>
            </w:pPr>
            <w:r>
              <w:rPr>
                <w:rFonts w:ascii="Times New Roman" w:hAnsi="Times New Roman"/>
                <w:noProof/>
                <w:sz w:val="18"/>
              </w:rPr>
              <w:t>181</w:t>
            </w:r>
          </w:p>
        </w:tc>
        <w:tc>
          <w:tcPr>
            <w:tcW w:w="4281" w:type="dxa"/>
            <w:tcBorders>
              <w:top w:val="nil"/>
              <w:left w:val="nil"/>
              <w:bottom w:val="single" w:sz="4" w:space="0" w:color="auto"/>
              <w:right w:val="single" w:sz="4" w:space="0" w:color="auto"/>
            </w:tcBorders>
            <w:shd w:val="clear" w:color="auto" w:fill="C6EFCE"/>
            <w:noWrap/>
          </w:tcPr>
          <w:p w14:paraId="23918373" w14:textId="77777777" w:rsidR="00F907CE" w:rsidRDefault="00F907CE">
            <w:pPr>
              <w:keepNext/>
              <w:spacing w:before="40" w:after="0" w:line="240" w:lineRule="auto"/>
              <w:jc w:val="both"/>
              <w:rPr>
                <w:rFonts w:ascii="Times New Roman" w:hAnsi="Times New Roman"/>
                <w:noProof/>
                <w:sz w:val="18"/>
              </w:rPr>
            </w:pPr>
            <w:r>
              <w:rPr>
                <w:rFonts w:ascii="Times New Roman" w:hAnsi="Times New Roman"/>
                <w:noProof/>
                <w:sz w:val="18"/>
              </w:rPr>
              <w:t>11–3.4. Parem juurdepääs tõhusale ja kaasavale sotsiaalpoliitikale – 16402_Sotsiaaleluruumid ja taskukohased eluasemed</w:t>
            </w:r>
          </w:p>
        </w:tc>
        <w:tc>
          <w:tcPr>
            <w:tcW w:w="1690" w:type="dxa"/>
            <w:tcBorders>
              <w:top w:val="nil"/>
              <w:left w:val="nil"/>
              <w:bottom w:val="single" w:sz="4" w:space="0" w:color="auto"/>
              <w:right w:val="single" w:sz="4" w:space="0" w:color="auto"/>
            </w:tcBorders>
            <w:shd w:val="clear" w:color="auto" w:fill="C6EFCE"/>
            <w:noWrap/>
          </w:tcPr>
          <w:p w14:paraId="206C9039" w14:textId="77777777" w:rsidR="00F907CE" w:rsidRDefault="00F907CE">
            <w:pPr>
              <w:keepNext/>
              <w:spacing w:before="40" w:after="0" w:line="240" w:lineRule="auto"/>
              <w:jc w:val="both"/>
              <w:rPr>
                <w:rFonts w:ascii="Times New Roman" w:hAnsi="Times New Roman"/>
                <w:noProof/>
                <w:sz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tcPr>
          <w:p w14:paraId="7FE58C15" w14:textId="77777777" w:rsidR="00F907CE" w:rsidRDefault="00F907CE">
            <w:pPr>
              <w:keepNext/>
              <w:spacing w:before="40" w:after="0" w:line="240" w:lineRule="auto"/>
              <w:jc w:val="both"/>
              <w:rPr>
                <w:rFonts w:ascii="Times New Roman" w:hAnsi="Times New Roman"/>
                <w:noProof/>
                <w:sz w:val="18"/>
              </w:rPr>
            </w:pPr>
            <w:r>
              <w:rPr>
                <w:rFonts w:ascii="Times New Roman" w:hAnsi="Times New Roman"/>
                <w:noProof/>
                <w:sz w:val="18"/>
              </w:rPr>
              <w:t xml:space="preserve">Eluasemestrateegia heakskiitmine ministrite kabineti poolt  </w:t>
            </w:r>
          </w:p>
        </w:tc>
      </w:tr>
      <w:tr w:rsidR="006E0EA2" w:rsidRPr="003B132A" w14:paraId="162BC540"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hideMark/>
          </w:tcPr>
          <w:p w14:paraId="2B674DFD"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182a</w:t>
            </w:r>
          </w:p>
        </w:tc>
        <w:tc>
          <w:tcPr>
            <w:tcW w:w="4281" w:type="dxa"/>
            <w:tcBorders>
              <w:top w:val="nil"/>
              <w:left w:val="nil"/>
              <w:bottom w:val="single" w:sz="4" w:space="0" w:color="auto"/>
              <w:right w:val="single" w:sz="4" w:space="0" w:color="auto"/>
            </w:tcBorders>
            <w:shd w:val="clear" w:color="auto" w:fill="C6EFCE"/>
            <w:noWrap/>
            <w:hideMark/>
          </w:tcPr>
          <w:p w14:paraId="3527B495"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16925_Sotsiaaltoetussüsteemi digitaalne ümberkujundamine</w:t>
            </w:r>
          </w:p>
        </w:tc>
        <w:tc>
          <w:tcPr>
            <w:tcW w:w="1690" w:type="dxa"/>
            <w:tcBorders>
              <w:top w:val="nil"/>
              <w:left w:val="nil"/>
              <w:bottom w:val="single" w:sz="4" w:space="0" w:color="auto"/>
              <w:right w:val="single" w:sz="4" w:space="0" w:color="auto"/>
            </w:tcBorders>
            <w:shd w:val="clear" w:color="auto" w:fill="C6EFCE"/>
            <w:noWrap/>
            <w:hideMark/>
          </w:tcPr>
          <w:p w14:paraId="4F479185"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hideMark/>
          </w:tcPr>
          <w:p w14:paraId="07A6698C"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Ühtne digitaalse juurdepääsu portaal, digitaalne koolitus, avaliku kinnisvara täielik inventuur</w:t>
            </w:r>
          </w:p>
        </w:tc>
      </w:tr>
      <w:tr w:rsidR="006E0EA2" w:rsidRPr="003B132A" w14:paraId="627CA136"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83AF43B"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182</w:t>
            </w:r>
          </w:p>
        </w:tc>
        <w:tc>
          <w:tcPr>
            <w:tcW w:w="4281" w:type="dxa"/>
            <w:tcBorders>
              <w:top w:val="nil"/>
              <w:left w:val="nil"/>
              <w:bottom w:val="single" w:sz="4" w:space="0" w:color="auto"/>
              <w:right w:val="single" w:sz="4" w:space="0" w:color="auto"/>
            </w:tcBorders>
            <w:shd w:val="clear" w:color="auto" w:fill="C6EFCE"/>
            <w:noWrap/>
            <w:vAlign w:val="center"/>
            <w:hideMark/>
          </w:tcPr>
          <w:p w14:paraId="78B835F3"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16925_Sotsiaaltoetussüsteemi digitaalne ümberkujundamine</w:t>
            </w:r>
          </w:p>
        </w:tc>
        <w:tc>
          <w:tcPr>
            <w:tcW w:w="1690" w:type="dxa"/>
            <w:tcBorders>
              <w:top w:val="nil"/>
              <w:left w:val="nil"/>
              <w:bottom w:val="single" w:sz="4" w:space="0" w:color="auto"/>
              <w:right w:val="single" w:sz="4" w:space="0" w:color="auto"/>
            </w:tcBorders>
            <w:shd w:val="clear" w:color="auto" w:fill="C6EFCE"/>
            <w:noWrap/>
            <w:vAlign w:val="center"/>
            <w:hideMark/>
          </w:tcPr>
          <w:p w14:paraId="4DFAA629"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23C5488A"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Puudega isiku kaarte haldava asutuse tegevuse lõpuleviimine</w:t>
            </w:r>
          </w:p>
        </w:tc>
      </w:tr>
      <w:tr w:rsidR="006E0EA2" w:rsidRPr="003B132A" w14:paraId="399254F6"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2416E9B"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183</w:t>
            </w:r>
          </w:p>
        </w:tc>
        <w:tc>
          <w:tcPr>
            <w:tcW w:w="4281" w:type="dxa"/>
            <w:tcBorders>
              <w:top w:val="nil"/>
              <w:left w:val="nil"/>
              <w:bottom w:val="single" w:sz="4" w:space="0" w:color="auto"/>
              <w:right w:val="single" w:sz="4" w:space="0" w:color="auto"/>
            </w:tcBorders>
            <w:shd w:val="clear" w:color="auto" w:fill="C6EFCE"/>
            <w:noWrap/>
            <w:vAlign w:val="center"/>
            <w:hideMark/>
          </w:tcPr>
          <w:p w14:paraId="033D0FEC"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16922_Sotsiaalne integratsioon</w:t>
            </w:r>
          </w:p>
        </w:tc>
        <w:tc>
          <w:tcPr>
            <w:tcW w:w="1690" w:type="dxa"/>
            <w:tcBorders>
              <w:top w:val="nil"/>
              <w:left w:val="nil"/>
              <w:bottom w:val="single" w:sz="4" w:space="0" w:color="auto"/>
              <w:right w:val="single" w:sz="4" w:space="0" w:color="auto"/>
            </w:tcBorders>
            <w:shd w:val="clear" w:color="auto" w:fill="C6EFCE"/>
            <w:noWrap/>
            <w:vAlign w:val="center"/>
            <w:hideMark/>
          </w:tcPr>
          <w:p w14:paraId="58987B84"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6CC76C4A"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Sotsiaalse integratsiooniga seotud garanteeritud miinimumsissetuleku abisaajad kodutud </w:t>
            </w:r>
          </w:p>
        </w:tc>
      </w:tr>
      <w:tr w:rsidR="006E0EA2" w:rsidRPr="003B132A" w14:paraId="3FC79108"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hideMark/>
          </w:tcPr>
          <w:p w14:paraId="3DD2216E"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186a</w:t>
            </w:r>
          </w:p>
        </w:tc>
        <w:tc>
          <w:tcPr>
            <w:tcW w:w="4281" w:type="dxa"/>
            <w:tcBorders>
              <w:top w:val="nil"/>
              <w:left w:val="nil"/>
              <w:bottom w:val="single" w:sz="4" w:space="0" w:color="auto"/>
              <w:right w:val="single" w:sz="4" w:space="0" w:color="auto"/>
            </w:tcBorders>
            <w:shd w:val="clear" w:color="auto" w:fill="C6EFCE"/>
            <w:noWrap/>
            <w:hideMark/>
          </w:tcPr>
          <w:p w14:paraId="41595E6A"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16922_Sotsiaalne integratsioon</w:t>
            </w:r>
          </w:p>
        </w:tc>
        <w:tc>
          <w:tcPr>
            <w:tcW w:w="1690" w:type="dxa"/>
            <w:tcBorders>
              <w:top w:val="nil"/>
              <w:left w:val="nil"/>
              <w:bottom w:val="single" w:sz="4" w:space="0" w:color="auto"/>
              <w:right w:val="single" w:sz="4" w:space="0" w:color="auto"/>
            </w:tcBorders>
            <w:shd w:val="clear" w:color="auto" w:fill="C6EFCE"/>
            <w:noWrap/>
            <w:hideMark/>
          </w:tcPr>
          <w:p w14:paraId="1C87E01A"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hideMark/>
          </w:tcPr>
          <w:p w14:paraId="23AD05E3"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Haavatavate rühmade sotsiaalne integreerimine, digikoolitus</w:t>
            </w:r>
          </w:p>
        </w:tc>
      </w:tr>
      <w:tr w:rsidR="006E0EA2" w14:paraId="4198F204"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613C941"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187</w:t>
            </w:r>
          </w:p>
        </w:tc>
        <w:tc>
          <w:tcPr>
            <w:tcW w:w="4281" w:type="dxa"/>
            <w:tcBorders>
              <w:top w:val="nil"/>
              <w:left w:val="nil"/>
              <w:bottom w:val="single" w:sz="4" w:space="0" w:color="auto"/>
              <w:right w:val="single" w:sz="4" w:space="0" w:color="auto"/>
            </w:tcBorders>
            <w:shd w:val="clear" w:color="auto" w:fill="C6EFCE"/>
            <w:noWrap/>
            <w:vAlign w:val="center"/>
            <w:hideMark/>
          </w:tcPr>
          <w:p w14:paraId="201CAB4A"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11-3.4. Parandada juurdepääsu tõhusale ja kaasavale sotsiaalpoliitikale – 16688: Edendada pagulaste integreerimist tööturule </w:t>
            </w:r>
          </w:p>
        </w:tc>
        <w:tc>
          <w:tcPr>
            <w:tcW w:w="1690" w:type="dxa"/>
            <w:tcBorders>
              <w:top w:val="nil"/>
              <w:left w:val="nil"/>
              <w:bottom w:val="single" w:sz="4" w:space="0" w:color="auto"/>
              <w:right w:val="single" w:sz="4" w:space="0" w:color="auto"/>
            </w:tcBorders>
            <w:shd w:val="clear" w:color="auto" w:fill="C6EFCE"/>
            <w:noWrap/>
            <w:vAlign w:val="center"/>
            <w:hideMark/>
          </w:tcPr>
          <w:p w14:paraId="06E40636"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74CEEE4D"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Pagulaste tööturule integreerimine</w:t>
            </w:r>
          </w:p>
        </w:tc>
      </w:tr>
      <w:tr w:rsidR="006E0EA2" w:rsidRPr="003B132A" w14:paraId="197A7417"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389489D"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194</w:t>
            </w:r>
          </w:p>
        </w:tc>
        <w:tc>
          <w:tcPr>
            <w:tcW w:w="4281" w:type="dxa"/>
            <w:tcBorders>
              <w:top w:val="nil"/>
              <w:left w:val="nil"/>
              <w:bottom w:val="single" w:sz="4" w:space="0" w:color="auto"/>
              <w:right w:val="single" w:sz="4" w:space="0" w:color="auto"/>
            </w:tcBorders>
            <w:shd w:val="clear" w:color="auto" w:fill="C6EFCE"/>
            <w:noWrap/>
            <w:vAlign w:val="center"/>
            <w:hideMark/>
          </w:tcPr>
          <w:p w14:paraId="64B37B9C"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16611_Maksuauditite digitaalne üleminek</w:t>
            </w:r>
          </w:p>
        </w:tc>
        <w:tc>
          <w:tcPr>
            <w:tcW w:w="1690" w:type="dxa"/>
            <w:tcBorders>
              <w:top w:val="nil"/>
              <w:left w:val="nil"/>
              <w:bottom w:val="single" w:sz="4" w:space="0" w:color="auto"/>
              <w:right w:val="single" w:sz="4" w:space="0" w:color="auto"/>
            </w:tcBorders>
            <w:shd w:val="clear" w:color="auto" w:fill="C6EFCE"/>
            <w:noWrap/>
            <w:vAlign w:val="center"/>
            <w:hideMark/>
          </w:tcPr>
          <w:p w14:paraId="549A01F0"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3492E1A"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Maksuauditite digitaalse ülemineku lõpuleviimine</w:t>
            </w:r>
          </w:p>
        </w:tc>
      </w:tr>
      <w:tr w:rsidR="006E0EA2" w14:paraId="1C15F716"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9C44544"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195</w:t>
            </w:r>
          </w:p>
        </w:tc>
        <w:tc>
          <w:tcPr>
            <w:tcW w:w="4281" w:type="dxa"/>
            <w:tcBorders>
              <w:top w:val="nil"/>
              <w:left w:val="nil"/>
              <w:bottom w:val="single" w:sz="4" w:space="0" w:color="auto"/>
              <w:right w:val="single" w:sz="4" w:space="0" w:color="auto"/>
            </w:tcBorders>
            <w:shd w:val="clear" w:color="auto" w:fill="C6EFCE"/>
            <w:noWrap/>
            <w:vAlign w:val="center"/>
            <w:hideMark/>
          </w:tcPr>
          <w:p w14:paraId="49A1E9F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16291_Maksu- ja tolliameti digitaalne ümberkujundamine</w:t>
            </w:r>
          </w:p>
        </w:tc>
        <w:tc>
          <w:tcPr>
            <w:tcW w:w="1690" w:type="dxa"/>
            <w:tcBorders>
              <w:top w:val="nil"/>
              <w:left w:val="nil"/>
              <w:bottom w:val="single" w:sz="4" w:space="0" w:color="auto"/>
              <w:right w:val="single" w:sz="4" w:space="0" w:color="auto"/>
            </w:tcBorders>
            <w:shd w:val="clear" w:color="auto" w:fill="C6EFCE"/>
            <w:noWrap/>
            <w:vAlign w:val="center"/>
            <w:hideMark/>
          </w:tcPr>
          <w:p w14:paraId="63988AC8"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E10F864"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Riigitulude sõltumatu asutuse integreeritud maksu- ja auditi IT-keskkonna esimese etapi tulemuste lõpuleviimine osana selle digiüleminekust Allprojektide rakendamine </w:t>
            </w:r>
          </w:p>
        </w:tc>
      </w:tr>
      <w:tr w:rsidR="006E0EA2" w14:paraId="7995CF6A"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11B4CA0E"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196</w:t>
            </w:r>
          </w:p>
        </w:tc>
        <w:tc>
          <w:tcPr>
            <w:tcW w:w="4281" w:type="dxa"/>
            <w:tcBorders>
              <w:top w:val="nil"/>
              <w:left w:val="nil"/>
              <w:bottom w:val="single" w:sz="4" w:space="0" w:color="auto"/>
              <w:right w:val="single" w:sz="4" w:space="0" w:color="auto"/>
            </w:tcBorders>
            <w:shd w:val="clear" w:color="auto" w:fill="C6EFCE"/>
            <w:noWrap/>
            <w:vAlign w:val="center"/>
            <w:hideMark/>
          </w:tcPr>
          <w:p w14:paraId="5FB8445D"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12-4.1. Maksude muutmine majanduskasvu soodustavamaks ning maksuhalduse ja maksude kogumise parandamine – 16291_Maksu- ja tolliameti digitaalne ümberkujundamine</w:t>
            </w:r>
          </w:p>
        </w:tc>
        <w:tc>
          <w:tcPr>
            <w:tcW w:w="1690" w:type="dxa"/>
            <w:tcBorders>
              <w:top w:val="nil"/>
              <w:left w:val="nil"/>
              <w:bottom w:val="single" w:sz="4" w:space="0" w:color="auto"/>
              <w:right w:val="single" w:sz="4" w:space="0" w:color="auto"/>
            </w:tcBorders>
            <w:shd w:val="clear" w:color="auto" w:fill="C6EFCE"/>
            <w:noWrap/>
            <w:vAlign w:val="center"/>
            <w:hideMark/>
          </w:tcPr>
          <w:p w14:paraId="3B23965A"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F4BCA1E"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Tarbesõidukite ja konteinerite järelevalvesüsteemi käivitamine Allprojektide rakendamine.</w:t>
            </w:r>
          </w:p>
        </w:tc>
      </w:tr>
      <w:tr w:rsidR="006E0EA2" w:rsidRPr="003B132A" w14:paraId="63DDDCDB"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34312A4"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208</w:t>
            </w:r>
          </w:p>
        </w:tc>
        <w:tc>
          <w:tcPr>
            <w:tcW w:w="4281" w:type="dxa"/>
            <w:tcBorders>
              <w:top w:val="nil"/>
              <w:left w:val="nil"/>
              <w:bottom w:val="single" w:sz="4" w:space="0" w:color="auto"/>
              <w:right w:val="single" w:sz="4" w:space="0" w:color="auto"/>
            </w:tcBorders>
            <w:shd w:val="clear" w:color="auto" w:fill="C6EFCE"/>
            <w:noWrap/>
            <w:vAlign w:val="center"/>
            <w:hideMark/>
          </w:tcPr>
          <w:p w14:paraId="3F2EDE3E"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16972_Avaliku halduse reformimine</w:t>
            </w:r>
          </w:p>
        </w:tc>
        <w:tc>
          <w:tcPr>
            <w:tcW w:w="1690" w:type="dxa"/>
            <w:tcBorders>
              <w:top w:val="nil"/>
              <w:left w:val="nil"/>
              <w:bottom w:val="single" w:sz="4" w:space="0" w:color="auto"/>
              <w:right w:val="single" w:sz="4" w:space="0" w:color="auto"/>
            </w:tcBorders>
            <w:shd w:val="clear" w:color="auto" w:fill="C6EFCE"/>
            <w:noWrap/>
            <w:vAlign w:val="center"/>
            <w:hideMark/>
          </w:tcPr>
          <w:p w14:paraId="0410C101"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11C8EAA1"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Avalik haldus – riigiteenistujate koolituse läbimine Värbamismenetluste ja strateegilise personaliplaneerimisega seotud meetmete lõpuleviimine</w:t>
            </w:r>
          </w:p>
        </w:tc>
      </w:tr>
      <w:tr w:rsidR="006E0EA2" w:rsidRPr="003B132A" w14:paraId="647E7A10"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16EAA81"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218</w:t>
            </w:r>
          </w:p>
        </w:tc>
        <w:tc>
          <w:tcPr>
            <w:tcW w:w="4281" w:type="dxa"/>
            <w:tcBorders>
              <w:top w:val="nil"/>
              <w:left w:val="nil"/>
              <w:bottom w:val="single" w:sz="4" w:space="0" w:color="auto"/>
              <w:right w:val="single" w:sz="4" w:space="0" w:color="auto"/>
            </w:tcBorders>
            <w:shd w:val="clear" w:color="auto" w:fill="C6EFCE"/>
            <w:noWrap/>
            <w:vAlign w:val="center"/>
            <w:hideMark/>
          </w:tcPr>
          <w:p w14:paraId="1D8FF4C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16711_Riigihangete valdkonna professionaalsemaks muutmine</w:t>
            </w:r>
          </w:p>
        </w:tc>
        <w:tc>
          <w:tcPr>
            <w:tcW w:w="1690" w:type="dxa"/>
            <w:tcBorders>
              <w:top w:val="nil"/>
              <w:left w:val="nil"/>
              <w:bottom w:val="single" w:sz="4" w:space="0" w:color="auto"/>
              <w:right w:val="single" w:sz="4" w:space="0" w:color="auto"/>
            </w:tcBorders>
            <w:shd w:val="clear" w:color="auto" w:fill="C6EFCE"/>
            <w:noWrap/>
            <w:vAlign w:val="center"/>
            <w:hideMark/>
          </w:tcPr>
          <w:p w14:paraId="36AD3414"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2DB3C44D"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2021. –2025. aasta riikliku riigihangete strateegia rakendamine</w:t>
            </w:r>
          </w:p>
        </w:tc>
      </w:tr>
      <w:tr w:rsidR="006E0EA2" w:rsidRPr="003B132A" w14:paraId="16D57ED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31DAB93"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219</w:t>
            </w:r>
          </w:p>
        </w:tc>
        <w:tc>
          <w:tcPr>
            <w:tcW w:w="4281" w:type="dxa"/>
            <w:tcBorders>
              <w:top w:val="nil"/>
              <w:left w:val="nil"/>
              <w:bottom w:val="single" w:sz="4" w:space="0" w:color="auto"/>
              <w:right w:val="single" w:sz="4" w:space="0" w:color="auto"/>
            </w:tcBorders>
            <w:shd w:val="clear" w:color="auto" w:fill="C6EFCE"/>
            <w:noWrap/>
            <w:vAlign w:val="center"/>
            <w:hideMark/>
          </w:tcPr>
          <w:p w14:paraId="044C1899"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16974_Raamatupidamisreform</w:t>
            </w:r>
          </w:p>
        </w:tc>
        <w:tc>
          <w:tcPr>
            <w:tcW w:w="1690" w:type="dxa"/>
            <w:tcBorders>
              <w:top w:val="nil"/>
              <w:left w:val="nil"/>
              <w:bottom w:val="single" w:sz="4" w:space="0" w:color="auto"/>
              <w:right w:val="single" w:sz="4" w:space="0" w:color="auto"/>
            </w:tcBorders>
            <w:shd w:val="clear" w:color="auto" w:fill="C6EFCE"/>
            <w:noWrap/>
            <w:vAlign w:val="center"/>
            <w:hideMark/>
          </w:tcPr>
          <w:p w14:paraId="76585229"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554F205"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Raamatupidamisreform Raamatupidamise konsolideeritud aastaaruanne</w:t>
            </w:r>
          </w:p>
        </w:tc>
      </w:tr>
      <w:tr w:rsidR="006E0EA2" w:rsidRPr="003B132A" w14:paraId="58557D86"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17709DFC"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220</w:t>
            </w:r>
          </w:p>
        </w:tc>
        <w:tc>
          <w:tcPr>
            <w:tcW w:w="4281" w:type="dxa"/>
            <w:tcBorders>
              <w:top w:val="nil"/>
              <w:left w:val="nil"/>
              <w:bottom w:val="single" w:sz="4" w:space="0" w:color="auto"/>
              <w:right w:val="single" w:sz="4" w:space="0" w:color="auto"/>
            </w:tcBorders>
            <w:shd w:val="clear" w:color="auto" w:fill="C6EFCE"/>
            <w:noWrap/>
            <w:vAlign w:val="center"/>
            <w:hideMark/>
          </w:tcPr>
          <w:p w14:paraId="56697AC7"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16705_Eelarvehalduse digitaalne ümberkujundamine ja järelevalve juhtimise valdkonnas; elektrooniline arvepidamine</w:t>
            </w:r>
          </w:p>
        </w:tc>
        <w:tc>
          <w:tcPr>
            <w:tcW w:w="1690" w:type="dxa"/>
            <w:tcBorders>
              <w:top w:val="nil"/>
              <w:left w:val="nil"/>
              <w:bottom w:val="single" w:sz="4" w:space="0" w:color="auto"/>
              <w:right w:val="single" w:sz="4" w:space="0" w:color="auto"/>
            </w:tcBorders>
            <w:shd w:val="clear" w:color="auto" w:fill="C6EFCE"/>
            <w:noWrap/>
            <w:vAlign w:val="center"/>
            <w:hideMark/>
          </w:tcPr>
          <w:p w14:paraId="279800E8"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0D678B3E"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Riigiettevõtete ressursiplaneerimine (GOV-ERP)</w:t>
            </w:r>
          </w:p>
        </w:tc>
      </w:tr>
      <w:tr w:rsidR="006E0EA2" w:rsidRPr="003B132A" w14:paraId="5D188280"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2BD59C4"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221</w:t>
            </w:r>
          </w:p>
        </w:tc>
        <w:tc>
          <w:tcPr>
            <w:tcW w:w="4281" w:type="dxa"/>
            <w:tcBorders>
              <w:top w:val="nil"/>
              <w:left w:val="nil"/>
              <w:bottom w:val="single" w:sz="4" w:space="0" w:color="auto"/>
              <w:right w:val="single" w:sz="4" w:space="0" w:color="auto"/>
            </w:tcBorders>
            <w:shd w:val="clear" w:color="auto" w:fill="C6EFCE"/>
            <w:noWrap/>
            <w:vAlign w:val="center"/>
            <w:hideMark/>
          </w:tcPr>
          <w:p w14:paraId="1529971D"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13-4.2. Ajakohastada avalikku haldust, sealhulgas avaliku sektori investeeringute rakendamise kiirendamise, riigihankeraamistiku parandamise, suutlikkuse suurendamise meetmete ja korruptsioonivastase võitluse kaudu – 16711_Riigihangete valdkonna professionaalsemaks muutmine</w:t>
            </w:r>
          </w:p>
        </w:tc>
        <w:tc>
          <w:tcPr>
            <w:tcW w:w="1690" w:type="dxa"/>
            <w:tcBorders>
              <w:top w:val="nil"/>
              <w:left w:val="nil"/>
              <w:bottom w:val="single" w:sz="4" w:space="0" w:color="auto"/>
              <w:right w:val="single" w:sz="4" w:space="0" w:color="auto"/>
            </w:tcBorders>
            <w:shd w:val="clear" w:color="auto" w:fill="C6EFCE"/>
            <w:noWrap/>
            <w:vAlign w:val="center"/>
            <w:hideMark/>
          </w:tcPr>
          <w:p w14:paraId="7796DE04"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71D03F47"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Kvalifikatsiooni-/ümberõppeprogrammide lõpuleviimine riigihangete jaoks</w:t>
            </w:r>
          </w:p>
        </w:tc>
      </w:tr>
      <w:tr w:rsidR="006E0EA2" w:rsidRPr="003B132A" w14:paraId="1F2F5C10"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10533E25"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237</w:t>
            </w:r>
          </w:p>
        </w:tc>
        <w:tc>
          <w:tcPr>
            <w:tcW w:w="4281" w:type="dxa"/>
            <w:tcBorders>
              <w:top w:val="nil"/>
              <w:left w:val="nil"/>
              <w:bottom w:val="single" w:sz="4" w:space="0" w:color="auto"/>
              <w:right w:val="single" w:sz="4" w:space="0" w:color="auto"/>
            </w:tcBorders>
            <w:shd w:val="clear" w:color="auto" w:fill="C6EFCE"/>
            <w:noWrap/>
            <w:vAlign w:val="center"/>
            <w:hideMark/>
          </w:tcPr>
          <w:p w14:paraId="6483DC85"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16292_Uued kohtuhooned</w:t>
            </w:r>
          </w:p>
        </w:tc>
        <w:tc>
          <w:tcPr>
            <w:tcW w:w="1690" w:type="dxa"/>
            <w:tcBorders>
              <w:top w:val="nil"/>
              <w:left w:val="nil"/>
              <w:bottom w:val="single" w:sz="4" w:space="0" w:color="auto"/>
              <w:right w:val="single" w:sz="4" w:space="0" w:color="auto"/>
            </w:tcBorders>
            <w:shd w:val="clear" w:color="auto" w:fill="C6EFCE"/>
            <w:noWrap/>
            <w:vAlign w:val="center"/>
            <w:hideMark/>
          </w:tcPr>
          <w:p w14:paraId="31AFB44E"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CA4F3F2"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Ehitus- ja renoveerimistööd – e-identiteet – lõpuleviimine </w:t>
            </w:r>
          </w:p>
        </w:tc>
      </w:tr>
      <w:tr w:rsidR="006E0EA2" w14:paraId="2658106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76EBA0C9"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238</w:t>
            </w:r>
          </w:p>
        </w:tc>
        <w:tc>
          <w:tcPr>
            <w:tcW w:w="4281" w:type="dxa"/>
            <w:tcBorders>
              <w:top w:val="nil"/>
              <w:left w:val="nil"/>
              <w:bottom w:val="single" w:sz="4" w:space="0" w:color="auto"/>
              <w:right w:val="single" w:sz="4" w:space="0" w:color="auto"/>
            </w:tcBorders>
            <w:shd w:val="clear" w:color="auto" w:fill="C6EFCE"/>
            <w:noWrap/>
            <w:vAlign w:val="center"/>
            <w:hideMark/>
          </w:tcPr>
          <w:p w14:paraId="48842A18"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16575 Õigusmõistmise kiirendamine</w:t>
            </w:r>
          </w:p>
        </w:tc>
        <w:tc>
          <w:tcPr>
            <w:tcW w:w="1690" w:type="dxa"/>
            <w:tcBorders>
              <w:top w:val="nil"/>
              <w:left w:val="nil"/>
              <w:bottom w:val="single" w:sz="4" w:space="0" w:color="auto"/>
              <w:right w:val="single" w:sz="4" w:space="0" w:color="auto"/>
            </w:tcBorders>
            <w:shd w:val="clear" w:color="auto" w:fill="C6EFCE"/>
            <w:noWrap/>
            <w:vAlign w:val="center"/>
            <w:hideMark/>
          </w:tcPr>
          <w:p w14:paraId="114FA3ED"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7508055"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Kohtukaardi läbivaatamine – täielik rakendamine</w:t>
            </w:r>
          </w:p>
        </w:tc>
      </w:tr>
      <w:tr w:rsidR="006E0EA2" w:rsidRPr="003B132A" w14:paraId="751A2934"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1B7AED62"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239</w:t>
            </w:r>
          </w:p>
        </w:tc>
        <w:tc>
          <w:tcPr>
            <w:tcW w:w="4281" w:type="dxa"/>
            <w:tcBorders>
              <w:top w:val="nil"/>
              <w:left w:val="nil"/>
              <w:bottom w:val="single" w:sz="4" w:space="0" w:color="auto"/>
              <w:right w:val="single" w:sz="4" w:space="0" w:color="auto"/>
            </w:tcBorders>
            <w:shd w:val="clear" w:color="auto" w:fill="C6EFCE"/>
            <w:noWrap/>
            <w:vAlign w:val="center"/>
            <w:hideMark/>
          </w:tcPr>
          <w:p w14:paraId="55F17C87"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14-4.3. Kohtusüsteemi tõhususe parandamine – 16727_Õiguse digitaalne ümberkujundamine (e-õiguskeskkond)</w:t>
            </w:r>
          </w:p>
        </w:tc>
        <w:tc>
          <w:tcPr>
            <w:tcW w:w="1690" w:type="dxa"/>
            <w:tcBorders>
              <w:top w:val="nil"/>
              <w:left w:val="nil"/>
              <w:bottom w:val="single" w:sz="4" w:space="0" w:color="auto"/>
              <w:right w:val="single" w:sz="4" w:space="0" w:color="auto"/>
            </w:tcBorders>
            <w:shd w:val="clear" w:color="auto" w:fill="C6EFCE"/>
            <w:noWrap/>
            <w:vAlign w:val="center"/>
            <w:hideMark/>
          </w:tcPr>
          <w:p w14:paraId="2C431C2A"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259C37EC"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Andmete säilitamine ja IT-uuendused</w:t>
            </w:r>
          </w:p>
        </w:tc>
      </w:tr>
      <w:tr w:rsidR="006E0EA2" w:rsidRPr="003B132A" w14:paraId="60085FFE"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7ABB33E"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241</w:t>
            </w:r>
          </w:p>
        </w:tc>
        <w:tc>
          <w:tcPr>
            <w:tcW w:w="4281" w:type="dxa"/>
            <w:tcBorders>
              <w:top w:val="nil"/>
              <w:left w:val="nil"/>
              <w:bottom w:val="single" w:sz="4" w:space="0" w:color="auto"/>
              <w:right w:val="single" w:sz="4" w:space="0" w:color="auto"/>
            </w:tcBorders>
            <w:shd w:val="clear" w:color="auto" w:fill="C6EFCE"/>
            <w:noWrap/>
            <w:vAlign w:val="center"/>
            <w:hideMark/>
          </w:tcPr>
          <w:p w14:paraId="61081508"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15-4.4. Finantssektori ja kapitaliturgude tugevdamine – 16580_Võla restruktureerimise ja teise võimaluse andmise uue ühtse maksejõuetusraamistiku rakendamine</w:t>
            </w:r>
          </w:p>
        </w:tc>
        <w:tc>
          <w:tcPr>
            <w:tcW w:w="1690" w:type="dxa"/>
            <w:tcBorders>
              <w:top w:val="nil"/>
              <w:left w:val="nil"/>
              <w:bottom w:val="single" w:sz="4" w:space="0" w:color="auto"/>
              <w:right w:val="single" w:sz="4" w:space="0" w:color="auto"/>
            </w:tcBorders>
            <w:shd w:val="clear" w:color="auto" w:fill="C6EFCE"/>
            <w:noWrap/>
            <w:vAlign w:val="center"/>
            <w:hideMark/>
          </w:tcPr>
          <w:p w14:paraId="0E1BC700"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AADFE79"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Järelevalve, järelevalveprotsesside digiteerimine, kapitaliturgude liit, kapitaliturud, ennetav võla restruktureerimine</w:t>
            </w:r>
          </w:p>
        </w:tc>
      </w:tr>
      <w:tr w:rsidR="006E0EA2" w:rsidRPr="003B132A" w14:paraId="52F60DA9"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C576CAA"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243</w:t>
            </w:r>
          </w:p>
        </w:tc>
        <w:tc>
          <w:tcPr>
            <w:tcW w:w="4281" w:type="dxa"/>
            <w:tcBorders>
              <w:top w:val="nil"/>
              <w:left w:val="nil"/>
              <w:bottom w:val="single" w:sz="4" w:space="0" w:color="auto"/>
              <w:right w:val="single" w:sz="4" w:space="0" w:color="auto"/>
            </w:tcBorders>
            <w:shd w:val="clear" w:color="auto" w:fill="C6EFCE"/>
            <w:noWrap/>
            <w:vAlign w:val="center"/>
            <w:hideMark/>
          </w:tcPr>
          <w:p w14:paraId="00F083FD"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15-4.4. Finantssektori ja kapitaliturgude tugevdamine – 16581_Kapitalituru tõhustatud järelevalve ja usaldusväärsus</w:t>
            </w:r>
          </w:p>
        </w:tc>
        <w:tc>
          <w:tcPr>
            <w:tcW w:w="1690" w:type="dxa"/>
            <w:tcBorders>
              <w:top w:val="nil"/>
              <w:left w:val="nil"/>
              <w:bottom w:val="single" w:sz="4" w:space="0" w:color="auto"/>
              <w:right w:val="single" w:sz="4" w:space="0" w:color="auto"/>
            </w:tcBorders>
            <w:shd w:val="clear" w:color="auto" w:fill="C6EFCE"/>
            <w:noWrap/>
            <w:vAlign w:val="center"/>
            <w:hideMark/>
          </w:tcPr>
          <w:p w14:paraId="2604264D"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083E23F4"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Järelevalveprotsessi digitaliseerimine ja Kreeka kapitaliturgude komisjoni korraldus</w:t>
            </w:r>
          </w:p>
        </w:tc>
      </w:tr>
      <w:tr w:rsidR="006E0EA2" w:rsidRPr="003B132A" w14:paraId="591AFF2B"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4476EF90"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244c</w:t>
            </w:r>
          </w:p>
        </w:tc>
        <w:tc>
          <w:tcPr>
            <w:tcW w:w="4281" w:type="dxa"/>
            <w:tcBorders>
              <w:top w:val="nil"/>
              <w:left w:val="nil"/>
              <w:bottom w:val="single" w:sz="4" w:space="0" w:color="auto"/>
              <w:right w:val="single" w:sz="4" w:space="0" w:color="auto"/>
            </w:tcBorders>
            <w:shd w:val="clear" w:color="auto" w:fill="C6EFCE"/>
            <w:noWrap/>
            <w:hideMark/>
          </w:tcPr>
          <w:p w14:paraId="21D13D55" w14:textId="17053E4A"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15-4.4. Finantssektori ja kapitaliturgude tugevdamine – 16957_Finantssüsteemi suutlikkuse suurendamine, et tulla toime varasemate väljakutsetega ja rahastada reaalmajandust</w:t>
            </w:r>
          </w:p>
        </w:tc>
        <w:tc>
          <w:tcPr>
            <w:tcW w:w="1690" w:type="dxa"/>
            <w:tcBorders>
              <w:top w:val="nil"/>
              <w:left w:val="nil"/>
              <w:bottom w:val="single" w:sz="4" w:space="0" w:color="auto"/>
              <w:right w:val="single" w:sz="4" w:space="0" w:color="auto"/>
            </w:tcBorders>
            <w:shd w:val="clear" w:color="auto" w:fill="C6EFCE"/>
            <w:noWrap/>
            <w:hideMark/>
          </w:tcPr>
          <w:p w14:paraId="732AAD6F"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hideMark/>
          </w:tcPr>
          <w:p w14:paraId="474C6712"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Erasektori võlgade haldamise riikliku strateegia poliitikameetmete lõpuleviimine, krediidi keskregistri loomine</w:t>
            </w:r>
          </w:p>
        </w:tc>
      </w:tr>
      <w:tr w:rsidR="006E0EA2" w:rsidRPr="003B132A" w14:paraId="45C0ADE9"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7BBC0875"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249</w:t>
            </w:r>
          </w:p>
        </w:tc>
        <w:tc>
          <w:tcPr>
            <w:tcW w:w="4281" w:type="dxa"/>
            <w:tcBorders>
              <w:top w:val="nil"/>
              <w:left w:val="nil"/>
              <w:bottom w:val="single" w:sz="4" w:space="0" w:color="auto"/>
              <w:right w:val="single" w:sz="4" w:space="0" w:color="auto"/>
            </w:tcBorders>
            <w:shd w:val="clear" w:color="auto" w:fill="C6EFCE"/>
            <w:noWrap/>
            <w:vAlign w:val="center"/>
            <w:hideMark/>
          </w:tcPr>
          <w:p w14:paraId="779D69A9"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16-4.5. Teadusuuringute ja innovatsiooni edendamine – 16624_Creation – Laiendamine – Teadusuuringute ja innovatsiooni peasekretariaadi (GSRI) järelevalve all olevate uurimiskeskuste infrastruktuuride ajakohastamine</w:t>
            </w:r>
          </w:p>
        </w:tc>
        <w:tc>
          <w:tcPr>
            <w:tcW w:w="1690" w:type="dxa"/>
            <w:tcBorders>
              <w:top w:val="nil"/>
              <w:left w:val="nil"/>
              <w:bottom w:val="single" w:sz="4" w:space="0" w:color="auto"/>
              <w:right w:val="single" w:sz="4" w:space="0" w:color="auto"/>
            </w:tcBorders>
            <w:shd w:val="clear" w:color="auto" w:fill="C6EFCE"/>
            <w:noWrap/>
            <w:vAlign w:val="center"/>
            <w:hideMark/>
          </w:tcPr>
          <w:p w14:paraId="6CEB6DA8"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1EDAAA36"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Teaduskeskuste projektide lõpuleviimine</w:t>
            </w:r>
          </w:p>
        </w:tc>
      </w:tr>
      <w:tr w:rsidR="006E0EA2" w:rsidRPr="003B132A" w14:paraId="3582AD3F"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BDCAAC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250</w:t>
            </w:r>
          </w:p>
        </w:tc>
        <w:tc>
          <w:tcPr>
            <w:tcW w:w="4281" w:type="dxa"/>
            <w:tcBorders>
              <w:top w:val="nil"/>
              <w:left w:val="nil"/>
              <w:bottom w:val="single" w:sz="4" w:space="0" w:color="auto"/>
              <w:right w:val="single" w:sz="4" w:space="0" w:color="auto"/>
            </w:tcBorders>
            <w:shd w:val="clear" w:color="auto" w:fill="C6EFCE"/>
            <w:noWrap/>
            <w:vAlign w:val="center"/>
            <w:hideMark/>
          </w:tcPr>
          <w:p w14:paraId="2B8F38D4"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16-4.5. Teadusuuringute ja innovatsiooni edendamine – 16618_Alus- ja rakendusuuringud</w:t>
            </w:r>
          </w:p>
        </w:tc>
        <w:tc>
          <w:tcPr>
            <w:tcW w:w="1690" w:type="dxa"/>
            <w:tcBorders>
              <w:top w:val="nil"/>
              <w:left w:val="nil"/>
              <w:bottom w:val="single" w:sz="4" w:space="0" w:color="auto"/>
              <w:right w:val="single" w:sz="4" w:space="0" w:color="auto"/>
            </w:tcBorders>
            <w:shd w:val="clear" w:color="auto" w:fill="C6EFCE"/>
            <w:noWrap/>
            <w:vAlign w:val="center"/>
            <w:hideMark/>
          </w:tcPr>
          <w:p w14:paraId="3083F5E2"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17CA2E9"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Baas- ja näidisprojektide lõpuleviimine; rakenduslikud teadusprojektid</w:t>
            </w:r>
          </w:p>
        </w:tc>
      </w:tr>
      <w:tr w:rsidR="006E0EA2" w:rsidRPr="003B132A" w14:paraId="1B320E27"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713D133D"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251</w:t>
            </w:r>
          </w:p>
        </w:tc>
        <w:tc>
          <w:tcPr>
            <w:tcW w:w="4281" w:type="dxa"/>
            <w:tcBorders>
              <w:top w:val="nil"/>
              <w:left w:val="nil"/>
              <w:bottom w:val="single" w:sz="4" w:space="0" w:color="auto"/>
              <w:right w:val="single" w:sz="4" w:space="0" w:color="auto"/>
            </w:tcBorders>
            <w:shd w:val="clear" w:color="auto" w:fill="C6EFCE"/>
            <w:noWrap/>
            <w:vAlign w:val="center"/>
            <w:hideMark/>
          </w:tcPr>
          <w:p w14:paraId="4F1804B1"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16-4.5. Teadusuuringute ja innovatsiooni edendamine – 16654_TH 2 ORAX: Tellis Holistic &amp; Hübriidne töökindel autonoomne eeskujusüsteem</w:t>
            </w:r>
          </w:p>
        </w:tc>
        <w:tc>
          <w:tcPr>
            <w:tcW w:w="1690" w:type="dxa"/>
            <w:tcBorders>
              <w:top w:val="nil"/>
              <w:left w:val="nil"/>
              <w:bottom w:val="single" w:sz="4" w:space="0" w:color="auto"/>
              <w:right w:val="single" w:sz="4" w:space="0" w:color="auto"/>
            </w:tcBorders>
            <w:shd w:val="clear" w:color="auto" w:fill="C6EFCE"/>
            <w:noWrap/>
            <w:vAlign w:val="center"/>
            <w:hideMark/>
          </w:tcPr>
          <w:p w14:paraId="6778EC1D"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2507115E"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Projekti TH²ORAX lõpuleviimine</w:t>
            </w:r>
          </w:p>
        </w:tc>
      </w:tr>
      <w:tr w:rsidR="006E0EA2" w:rsidRPr="003B132A" w14:paraId="49EE977E"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A55C13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252</w:t>
            </w:r>
          </w:p>
        </w:tc>
        <w:tc>
          <w:tcPr>
            <w:tcW w:w="4281" w:type="dxa"/>
            <w:tcBorders>
              <w:top w:val="nil"/>
              <w:left w:val="nil"/>
              <w:bottom w:val="single" w:sz="4" w:space="0" w:color="auto"/>
              <w:right w:val="single" w:sz="4" w:space="0" w:color="auto"/>
            </w:tcBorders>
            <w:shd w:val="clear" w:color="auto" w:fill="C6EFCE"/>
            <w:noWrap/>
            <w:vAlign w:val="center"/>
            <w:hideMark/>
          </w:tcPr>
          <w:p w14:paraId="76E1322A"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16-4.5. Teadusuuringute ja innovatsiooni edendamine – 16971_Teadusuuringud – loomine – innovatsioon</w:t>
            </w:r>
          </w:p>
        </w:tc>
        <w:tc>
          <w:tcPr>
            <w:tcW w:w="1690" w:type="dxa"/>
            <w:tcBorders>
              <w:top w:val="nil"/>
              <w:left w:val="nil"/>
              <w:bottom w:val="single" w:sz="4" w:space="0" w:color="auto"/>
              <w:right w:val="single" w:sz="4" w:space="0" w:color="auto"/>
            </w:tcBorders>
            <w:shd w:val="clear" w:color="auto" w:fill="C6EFCE"/>
            <w:noWrap/>
            <w:vAlign w:val="center"/>
            <w:hideMark/>
          </w:tcPr>
          <w:p w14:paraId="384E6C65"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3A13157"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Projektide „Teadusuuringud – loomine – innovatsioon lõpuleviimine</w:t>
            </w:r>
          </w:p>
        </w:tc>
      </w:tr>
      <w:tr w:rsidR="006E0EA2" w:rsidRPr="003B132A" w14:paraId="4B5FFEB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136A226"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253</w:t>
            </w:r>
          </w:p>
        </w:tc>
        <w:tc>
          <w:tcPr>
            <w:tcW w:w="4281" w:type="dxa"/>
            <w:tcBorders>
              <w:top w:val="nil"/>
              <w:left w:val="nil"/>
              <w:bottom w:val="single" w:sz="4" w:space="0" w:color="auto"/>
              <w:right w:val="single" w:sz="4" w:space="0" w:color="auto"/>
            </w:tcBorders>
            <w:shd w:val="clear" w:color="auto" w:fill="C6EFCE"/>
            <w:noWrap/>
            <w:vAlign w:val="center"/>
            <w:hideMark/>
          </w:tcPr>
          <w:p w14:paraId="07F782CB"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16-4.5. Teadusuuringute ja innovatsiooni edendamine – 16621_Kreeka teadusuuringute ja innovatsiooni ökosüsteemi ekstrapolatsioon</w:t>
            </w:r>
          </w:p>
        </w:tc>
        <w:tc>
          <w:tcPr>
            <w:tcW w:w="1690" w:type="dxa"/>
            <w:tcBorders>
              <w:top w:val="nil"/>
              <w:left w:val="nil"/>
              <w:bottom w:val="single" w:sz="4" w:space="0" w:color="auto"/>
              <w:right w:val="single" w:sz="4" w:space="0" w:color="auto"/>
            </w:tcBorders>
            <w:shd w:val="clear" w:color="auto" w:fill="C6EFCE"/>
            <w:noWrap/>
            <w:vAlign w:val="center"/>
            <w:hideMark/>
          </w:tcPr>
          <w:p w14:paraId="3D616A4E"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D3813E4"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Teadusuuringute ja innovatsiooni ökosüsteemi projektide avatumaks muutmise lõpuleviimine</w:t>
            </w:r>
          </w:p>
        </w:tc>
      </w:tr>
      <w:tr w:rsidR="006E0EA2" w14:paraId="04EB188E"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CBAEFF2"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256</w:t>
            </w:r>
          </w:p>
        </w:tc>
        <w:tc>
          <w:tcPr>
            <w:tcW w:w="4281" w:type="dxa"/>
            <w:tcBorders>
              <w:top w:val="nil"/>
              <w:left w:val="nil"/>
              <w:bottom w:val="single" w:sz="4" w:space="0" w:color="auto"/>
              <w:right w:val="single" w:sz="4" w:space="0" w:color="auto"/>
            </w:tcBorders>
            <w:shd w:val="clear" w:color="auto" w:fill="C6EFCE"/>
            <w:noWrap/>
            <w:vAlign w:val="center"/>
            <w:hideMark/>
          </w:tcPr>
          <w:p w14:paraId="6A93E55D"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17-4.6. Peamiste majandussektorite ajakohastamine ja vastupanuvõime parandamine – 16628_Kesk-Kreeka kiirtee E-65: Trikala – Egnatia</w:t>
            </w:r>
          </w:p>
        </w:tc>
        <w:tc>
          <w:tcPr>
            <w:tcW w:w="1690" w:type="dxa"/>
            <w:tcBorders>
              <w:top w:val="nil"/>
              <w:left w:val="nil"/>
              <w:bottom w:val="single" w:sz="4" w:space="0" w:color="auto"/>
              <w:right w:val="single" w:sz="4" w:space="0" w:color="auto"/>
            </w:tcBorders>
            <w:shd w:val="clear" w:color="auto" w:fill="C6EFCE"/>
            <w:noWrap/>
            <w:vAlign w:val="center"/>
            <w:hideMark/>
          </w:tcPr>
          <w:p w14:paraId="46D30171"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27EB3208"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E-65 tööd – lõpetamine</w:t>
            </w:r>
          </w:p>
        </w:tc>
      </w:tr>
      <w:tr w:rsidR="006E0EA2" w14:paraId="63289488"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4A19A32D"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262</w:t>
            </w:r>
          </w:p>
        </w:tc>
        <w:tc>
          <w:tcPr>
            <w:tcW w:w="4281" w:type="dxa"/>
            <w:tcBorders>
              <w:top w:val="nil"/>
              <w:left w:val="nil"/>
              <w:bottom w:val="single" w:sz="4" w:space="0" w:color="auto"/>
              <w:right w:val="single" w:sz="4" w:space="0" w:color="auto"/>
            </w:tcBorders>
            <w:shd w:val="clear" w:color="auto" w:fill="C6EFCE"/>
            <w:noWrap/>
            <w:vAlign w:val="center"/>
            <w:hideMark/>
          </w:tcPr>
          <w:p w14:paraId="5495D9E7"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17-4.6. Peamiste majandussektorite ajakohastamine ja vastupanuvõime parandamine – 16630_Kreeta põhjakiirtee (Β. Ο. Α. Κ. )</w:t>
            </w:r>
          </w:p>
        </w:tc>
        <w:tc>
          <w:tcPr>
            <w:tcW w:w="1690" w:type="dxa"/>
            <w:tcBorders>
              <w:top w:val="nil"/>
              <w:left w:val="nil"/>
              <w:bottom w:val="single" w:sz="4" w:space="0" w:color="auto"/>
              <w:right w:val="single" w:sz="4" w:space="0" w:color="auto"/>
            </w:tcBorders>
            <w:shd w:val="clear" w:color="auto" w:fill="C6EFCE"/>
            <w:noWrap/>
            <w:vAlign w:val="center"/>
            <w:hideMark/>
          </w:tcPr>
          <w:p w14:paraId="13D5439E"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778FCFEC"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Projekti BOAK lõpuleviimine</w:t>
            </w:r>
          </w:p>
        </w:tc>
      </w:tr>
      <w:tr w:rsidR="006E0EA2" w:rsidRPr="003B132A" w14:paraId="0147C61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6D712BA"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268c</w:t>
            </w:r>
          </w:p>
        </w:tc>
        <w:tc>
          <w:tcPr>
            <w:tcW w:w="4281" w:type="dxa"/>
            <w:tcBorders>
              <w:top w:val="nil"/>
              <w:left w:val="nil"/>
              <w:bottom w:val="single" w:sz="4" w:space="0" w:color="auto"/>
              <w:right w:val="single" w:sz="4" w:space="0" w:color="auto"/>
            </w:tcBorders>
            <w:shd w:val="clear" w:color="auto" w:fill="C6EFCE"/>
            <w:noWrap/>
            <w:hideMark/>
          </w:tcPr>
          <w:p w14:paraId="23F643F0"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16982_Raudteesektori organisatsioonireform</w:t>
            </w:r>
          </w:p>
        </w:tc>
        <w:tc>
          <w:tcPr>
            <w:tcW w:w="1690" w:type="dxa"/>
            <w:tcBorders>
              <w:top w:val="nil"/>
              <w:left w:val="nil"/>
              <w:bottom w:val="single" w:sz="4" w:space="0" w:color="auto"/>
              <w:right w:val="single" w:sz="4" w:space="0" w:color="auto"/>
            </w:tcBorders>
            <w:shd w:val="clear" w:color="auto" w:fill="C6EFCE"/>
            <w:noWrap/>
            <w:hideMark/>
          </w:tcPr>
          <w:p w14:paraId="399903E9"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hideMark/>
          </w:tcPr>
          <w:p w14:paraId="3E37E48D"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Raudteekorralduse reformi lõpuleviimine</w:t>
            </w:r>
          </w:p>
        </w:tc>
      </w:tr>
      <w:tr w:rsidR="006E0EA2" w14:paraId="0DEF3331"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9867A01"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269</w:t>
            </w:r>
          </w:p>
        </w:tc>
        <w:tc>
          <w:tcPr>
            <w:tcW w:w="4281" w:type="dxa"/>
            <w:tcBorders>
              <w:top w:val="nil"/>
              <w:left w:val="nil"/>
              <w:bottom w:val="single" w:sz="4" w:space="0" w:color="auto"/>
              <w:right w:val="single" w:sz="4" w:space="0" w:color="auto"/>
            </w:tcBorders>
            <w:shd w:val="clear" w:color="auto" w:fill="C6EFCE"/>
            <w:noWrap/>
            <w:vAlign w:val="center"/>
            <w:hideMark/>
          </w:tcPr>
          <w:p w14:paraId="77034D8E"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16833_EASA nõuetele vastavuse parandamise tööde rakendamine</w:t>
            </w:r>
          </w:p>
        </w:tc>
        <w:tc>
          <w:tcPr>
            <w:tcW w:w="1690" w:type="dxa"/>
            <w:tcBorders>
              <w:top w:val="nil"/>
              <w:left w:val="nil"/>
              <w:bottom w:val="single" w:sz="4" w:space="0" w:color="auto"/>
              <w:right w:val="single" w:sz="4" w:space="0" w:color="auto"/>
            </w:tcBorders>
            <w:shd w:val="clear" w:color="auto" w:fill="C6EFCE"/>
            <w:noWrap/>
            <w:vAlign w:val="center"/>
            <w:hideMark/>
          </w:tcPr>
          <w:p w14:paraId="54C33A0B"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096A2C4"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 xml:space="preserve">EASA tööde lõpuleviimine </w:t>
            </w:r>
          </w:p>
        </w:tc>
      </w:tr>
      <w:tr w:rsidR="006E0EA2" w:rsidRPr="003B132A" w14:paraId="6587A8EC"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C8B873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271</w:t>
            </w:r>
          </w:p>
        </w:tc>
        <w:tc>
          <w:tcPr>
            <w:tcW w:w="4281" w:type="dxa"/>
            <w:tcBorders>
              <w:top w:val="nil"/>
              <w:left w:val="nil"/>
              <w:bottom w:val="single" w:sz="4" w:space="0" w:color="auto"/>
              <w:right w:val="single" w:sz="4" w:space="0" w:color="auto"/>
            </w:tcBorders>
            <w:shd w:val="clear" w:color="auto" w:fill="C6EFCE"/>
            <w:noWrap/>
            <w:vAlign w:val="center"/>
            <w:hideMark/>
          </w:tcPr>
          <w:p w14:paraId="7FCE129A"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16892_Lääne-Atika linnalähiraudtee uuendamine</w:t>
            </w:r>
          </w:p>
        </w:tc>
        <w:tc>
          <w:tcPr>
            <w:tcW w:w="1690" w:type="dxa"/>
            <w:tcBorders>
              <w:top w:val="nil"/>
              <w:left w:val="nil"/>
              <w:bottom w:val="single" w:sz="4" w:space="0" w:color="auto"/>
              <w:right w:val="single" w:sz="4" w:space="0" w:color="auto"/>
            </w:tcBorders>
            <w:shd w:val="clear" w:color="auto" w:fill="C6EFCE"/>
            <w:noWrap/>
            <w:vAlign w:val="center"/>
            <w:hideMark/>
          </w:tcPr>
          <w:p w14:paraId="1FAC99CE"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B95310E"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Lääne-Atika raudtee väljaehitamine</w:t>
            </w:r>
          </w:p>
        </w:tc>
      </w:tr>
      <w:tr w:rsidR="006E0EA2" w:rsidRPr="003B132A" w14:paraId="5A6E732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068407A"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272</w:t>
            </w:r>
          </w:p>
        </w:tc>
        <w:tc>
          <w:tcPr>
            <w:tcW w:w="4281" w:type="dxa"/>
            <w:tcBorders>
              <w:top w:val="nil"/>
              <w:left w:val="nil"/>
              <w:bottom w:val="single" w:sz="4" w:space="0" w:color="auto"/>
              <w:right w:val="single" w:sz="4" w:space="0" w:color="auto"/>
            </w:tcBorders>
            <w:shd w:val="clear" w:color="auto" w:fill="C6EFCE"/>
            <w:noWrap/>
            <w:vAlign w:val="center"/>
            <w:hideMark/>
          </w:tcPr>
          <w:p w14:paraId="5A7E3A85"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16949_Arukad sillad</w:t>
            </w:r>
          </w:p>
        </w:tc>
        <w:tc>
          <w:tcPr>
            <w:tcW w:w="1690" w:type="dxa"/>
            <w:tcBorders>
              <w:top w:val="nil"/>
              <w:left w:val="nil"/>
              <w:bottom w:val="single" w:sz="4" w:space="0" w:color="auto"/>
              <w:right w:val="single" w:sz="4" w:space="0" w:color="auto"/>
            </w:tcBorders>
            <w:shd w:val="clear" w:color="auto" w:fill="C6EFCE"/>
            <w:noWrap/>
            <w:vAlign w:val="center"/>
            <w:hideMark/>
          </w:tcPr>
          <w:p w14:paraId="3797F4FB"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B9E13E7"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Arukate sildade projekti I etapi lõpuleviimine</w:t>
            </w:r>
          </w:p>
        </w:tc>
      </w:tr>
      <w:tr w:rsidR="006E0EA2" w:rsidRPr="003B132A" w14:paraId="39A33D29"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A43E6F8"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272a</w:t>
            </w:r>
          </w:p>
        </w:tc>
        <w:tc>
          <w:tcPr>
            <w:tcW w:w="4281" w:type="dxa"/>
            <w:tcBorders>
              <w:top w:val="nil"/>
              <w:left w:val="nil"/>
              <w:bottom w:val="single" w:sz="4" w:space="0" w:color="auto"/>
              <w:right w:val="single" w:sz="4" w:space="0" w:color="auto"/>
            </w:tcBorders>
            <w:shd w:val="clear" w:color="auto" w:fill="C6EFCE"/>
            <w:noWrap/>
            <w:vAlign w:val="center"/>
            <w:hideMark/>
          </w:tcPr>
          <w:p w14:paraId="7A00AF74"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16949_Arukad sillad</w:t>
            </w:r>
          </w:p>
        </w:tc>
        <w:tc>
          <w:tcPr>
            <w:tcW w:w="1690" w:type="dxa"/>
            <w:tcBorders>
              <w:top w:val="nil"/>
              <w:left w:val="nil"/>
              <w:bottom w:val="single" w:sz="4" w:space="0" w:color="auto"/>
              <w:right w:val="single" w:sz="4" w:space="0" w:color="auto"/>
            </w:tcBorders>
            <w:shd w:val="clear" w:color="auto" w:fill="C6EFCE"/>
            <w:noWrap/>
            <w:vAlign w:val="center"/>
            <w:hideMark/>
          </w:tcPr>
          <w:p w14:paraId="0757DC8C"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0B48D72"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Arukate sildade projekti II etapp</w:t>
            </w:r>
          </w:p>
        </w:tc>
      </w:tr>
      <w:tr w:rsidR="006E0EA2" w:rsidRPr="003B132A" w14:paraId="4F98E014"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466E1334"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274</w:t>
            </w:r>
          </w:p>
        </w:tc>
        <w:tc>
          <w:tcPr>
            <w:tcW w:w="4281" w:type="dxa"/>
            <w:tcBorders>
              <w:top w:val="nil"/>
              <w:left w:val="nil"/>
              <w:bottom w:val="single" w:sz="4" w:space="0" w:color="auto"/>
              <w:right w:val="single" w:sz="4" w:space="0" w:color="auto"/>
            </w:tcBorders>
            <w:shd w:val="clear" w:color="auto" w:fill="C6EFCE"/>
            <w:noWrap/>
            <w:vAlign w:val="center"/>
            <w:hideMark/>
          </w:tcPr>
          <w:p w14:paraId="07E38C68"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16959_Kreeka Raudteeorganisatsiooni digitaalne ümberkujundamine</w:t>
            </w:r>
          </w:p>
        </w:tc>
        <w:tc>
          <w:tcPr>
            <w:tcW w:w="1690" w:type="dxa"/>
            <w:tcBorders>
              <w:top w:val="nil"/>
              <w:left w:val="nil"/>
              <w:bottom w:val="single" w:sz="4" w:space="0" w:color="auto"/>
              <w:right w:val="single" w:sz="4" w:space="0" w:color="auto"/>
            </w:tcBorders>
            <w:shd w:val="clear" w:color="auto" w:fill="C6EFCE"/>
            <w:noWrap/>
            <w:vAlign w:val="center"/>
            <w:hideMark/>
          </w:tcPr>
          <w:p w14:paraId="3F8E3571"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4DA50AB7"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Algatuse „OSE“ digiülemineku lõpuleviimine</w:t>
            </w:r>
          </w:p>
        </w:tc>
      </w:tr>
      <w:tr w:rsidR="006E0EA2" w14:paraId="76528135"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6D931B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275</w:t>
            </w:r>
          </w:p>
        </w:tc>
        <w:tc>
          <w:tcPr>
            <w:tcW w:w="4281" w:type="dxa"/>
            <w:tcBorders>
              <w:top w:val="nil"/>
              <w:left w:val="nil"/>
              <w:bottom w:val="single" w:sz="4" w:space="0" w:color="auto"/>
              <w:right w:val="single" w:sz="4" w:space="0" w:color="auto"/>
            </w:tcBorders>
            <w:shd w:val="clear" w:color="auto" w:fill="C6EFCE"/>
            <w:noWrap/>
            <w:vAlign w:val="center"/>
            <w:hideMark/>
          </w:tcPr>
          <w:p w14:paraId="4553FF49"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16960_Keskkonna- ja kultuurikeskne arukas taristu</w:t>
            </w:r>
          </w:p>
        </w:tc>
        <w:tc>
          <w:tcPr>
            <w:tcW w:w="1690" w:type="dxa"/>
            <w:tcBorders>
              <w:top w:val="nil"/>
              <w:left w:val="nil"/>
              <w:bottom w:val="single" w:sz="4" w:space="0" w:color="auto"/>
              <w:right w:val="single" w:sz="4" w:space="0" w:color="auto"/>
            </w:tcBorders>
            <w:shd w:val="clear" w:color="auto" w:fill="C6EFCE"/>
            <w:noWrap/>
            <w:vAlign w:val="center"/>
            <w:hideMark/>
          </w:tcPr>
          <w:p w14:paraId="42755EE6"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2BC66D0E"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Aruka taristu projekti lõpuleviimine</w:t>
            </w:r>
          </w:p>
        </w:tc>
      </w:tr>
      <w:tr w:rsidR="006E0EA2" w:rsidRPr="003B132A" w14:paraId="60CC7BFF"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633C743"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276</w:t>
            </w:r>
          </w:p>
        </w:tc>
        <w:tc>
          <w:tcPr>
            <w:tcW w:w="4281" w:type="dxa"/>
            <w:tcBorders>
              <w:top w:val="nil"/>
              <w:left w:val="nil"/>
              <w:bottom w:val="single" w:sz="4" w:space="0" w:color="auto"/>
              <w:right w:val="single" w:sz="4" w:space="0" w:color="auto"/>
            </w:tcBorders>
            <w:shd w:val="clear" w:color="auto" w:fill="C6EFCE"/>
            <w:noWrap/>
            <w:vAlign w:val="center"/>
            <w:hideMark/>
          </w:tcPr>
          <w:p w14:paraId="1B703CAB"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vastupanuvõime ajakohastamine ja parandamine – 16937_Integreeritud programmijuhtimissüsteem infrastruktuuri- ja transpordiministeeriumi tehniliste tööde ja struktuurivahendite haldamiseks</w:t>
            </w:r>
          </w:p>
        </w:tc>
        <w:tc>
          <w:tcPr>
            <w:tcW w:w="1690" w:type="dxa"/>
            <w:tcBorders>
              <w:top w:val="nil"/>
              <w:left w:val="nil"/>
              <w:bottom w:val="single" w:sz="4" w:space="0" w:color="auto"/>
              <w:right w:val="single" w:sz="4" w:space="0" w:color="auto"/>
            </w:tcBorders>
            <w:shd w:val="clear" w:color="auto" w:fill="C6EFCE"/>
            <w:noWrap/>
            <w:vAlign w:val="center"/>
            <w:hideMark/>
          </w:tcPr>
          <w:p w14:paraId="3BD4321B"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693024F"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Infrastruktuuriministeeriumi projektijuhtimise süsteemi (PMIS) lõpuleviimine</w:t>
            </w:r>
          </w:p>
        </w:tc>
      </w:tr>
      <w:tr w:rsidR="006E0EA2" w:rsidRPr="003B132A" w14:paraId="71B6D3F6"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1FBDC3AD"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277</w:t>
            </w:r>
          </w:p>
        </w:tc>
        <w:tc>
          <w:tcPr>
            <w:tcW w:w="4281" w:type="dxa"/>
            <w:tcBorders>
              <w:top w:val="nil"/>
              <w:left w:val="nil"/>
              <w:bottom w:val="single" w:sz="4" w:space="0" w:color="auto"/>
              <w:right w:val="single" w:sz="4" w:space="0" w:color="auto"/>
            </w:tcBorders>
            <w:shd w:val="clear" w:color="auto" w:fill="C6EFCE"/>
            <w:noWrap/>
            <w:vAlign w:val="center"/>
            <w:hideMark/>
          </w:tcPr>
          <w:p w14:paraId="4E0875C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16786_Infrastruktuuri- ja transpordiministeeriumi menetluste lihtsustamine;</w:t>
            </w:r>
          </w:p>
        </w:tc>
        <w:tc>
          <w:tcPr>
            <w:tcW w:w="1690" w:type="dxa"/>
            <w:tcBorders>
              <w:top w:val="nil"/>
              <w:left w:val="nil"/>
              <w:bottom w:val="single" w:sz="4" w:space="0" w:color="auto"/>
              <w:right w:val="single" w:sz="4" w:space="0" w:color="auto"/>
            </w:tcBorders>
            <w:shd w:val="clear" w:color="auto" w:fill="C6EFCE"/>
            <w:noWrap/>
            <w:vAlign w:val="center"/>
            <w:hideMark/>
          </w:tcPr>
          <w:p w14:paraId="359A1F8A"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74B8D456"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Menetluste lihtsustamine transpordiministeeriumi jaoks</w:t>
            </w:r>
          </w:p>
        </w:tc>
      </w:tr>
      <w:tr w:rsidR="006E0EA2" w:rsidRPr="003B132A" w14:paraId="39352571"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DEE73CA"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283</w:t>
            </w:r>
          </w:p>
        </w:tc>
        <w:tc>
          <w:tcPr>
            <w:tcW w:w="4281" w:type="dxa"/>
            <w:tcBorders>
              <w:top w:val="nil"/>
              <w:left w:val="nil"/>
              <w:bottom w:val="single" w:sz="4" w:space="0" w:color="auto"/>
              <w:right w:val="single" w:sz="4" w:space="0" w:color="auto"/>
            </w:tcBorders>
            <w:shd w:val="clear" w:color="auto" w:fill="C6EFCE"/>
            <w:noWrap/>
            <w:vAlign w:val="center"/>
            <w:hideMark/>
          </w:tcPr>
          <w:p w14:paraId="0FDCC3C2"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16293_Kultuur kui majanduskasvu liikumapanev jõud</w:t>
            </w:r>
          </w:p>
        </w:tc>
        <w:tc>
          <w:tcPr>
            <w:tcW w:w="1690" w:type="dxa"/>
            <w:tcBorders>
              <w:top w:val="nil"/>
              <w:left w:val="nil"/>
              <w:bottom w:val="single" w:sz="4" w:space="0" w:color="auto"/>
              <w:right w:val="single" w:sz="4" w:space="0" w:color="auto"/>
            </w:tcBorders>
            <w:shd w:val="clear" w:color="auto" w:fill="C6EFCE"/>
            <w:noWrap/>
            <w:vAlign w:val="center"/>
            <w:hideMark/>
          </w:tcPr>
          <w:p w14:paraId="234EA5DF"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1B3E1EED"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Kultuur kui majanduskasvu liikumapanev jõud</w:t>
            </w:r>
          </w:p>
        </w:tc>
      </w:tr>
      <w:tr w:rsidR="006E0EA2" w:rsidRPr="003B132A" w14:paraId="741BBB45"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46EA347F"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284</w:t>
            </w:r>
          </w:p>
        </w:tc>
        <w:tc>
          <w:tcPr>
            <w:tcW w:w="4281" w:type="dxa"/>
            <w:tcBorders>
              <w:top w:val="nil"/>
              <w:left w:val="nil"/>
              <w:bottom w:val="single" w:sz="4" w:space="0" w:color="auto"/>
              <w:right w:val="single" w:sz="4" w:space="0" w:color="auto"/>
            </w:tcBorders>
            <w:shd w:val="clear" w:color="auto" w:fill="C6EFCE"/>
            <w:noWrap/>
            <w:vAlign w:val="center"/>
            <w:hideMark/>
          </w:tcPr>
          <w:p w14:paraId="21ECBAD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16536_Infrastruktuuri uuendamine, seadmete uuendamine ja HOCRED Stores’i pakutavate teenuste kvaliteedi parandamine – endine ARF Stores (kohapealne ja elektrooniline)</w:t>
            </w:r>
          </w:p>
        </w:tc>
        <w:tc>
          <w:tcPr>
            <w:tcW w:w="1690" w:type="dxa"/>
            <w:tcBorders>
              <w:top w:val="nil"/>
              <w:left w:val="nil"/>
              <w:bottom w:val="single" w:sz="4" w:space="0" w:color="auto"/>
              <w:right w:val="single" w:sz="4" w:space="0" w:color="auto"/>
            </w:tcBorders>
            <w:shd w:val="clear" w:color="auto" w:fill="C6EFCE"/>
            <w:noWrap/>
            <w:vAlign w:val="center"/>
            <w:hideMark/>
          </w:tcPr>
          <w:p w14:paraId="11C78CC4"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2F6FEE75"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Kreeka Kultuuriressursside Arendamise Organisatsiooni (HOCRED) ajakohastamine </w:t>
            </w:r>
          </w:p>
        </w:tc>
      </w:tr>
      <w:tr w:rsidR="006E0EA2" w14:paraId="7D6F172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6EC2BD1"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285</w:t>
            </w:r>
          </w:p>
        </w:tc>
        <w:tc>
          <w:tcPr>
            <w:tcW w:w="4281" w:type="dxa"/>
            <w:tcBorders>
              <w:top w:val="nil"/>
              <w:left w:val="nil"/>
              <w:bottom w:val="single" w:sz="4" w:space="0" w:color="auto"/>
              <w:right w:val="single" w:sz="4" w:space="0" w:color="auto"/>
            </w:tcBorders>
            <w:shd w:val="clear" w:color="auto" w:fill="C6EFCE"/>
            <w:noWrap/>
            <w:vAlign w:val="center"/>
            <w:hideMark/>
          </w:tcPr>
          <w:p w14:paraId="0D59E48B"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Ajakohastada ja parandada peamiste majandussektorite vastupanuvõimet – 16725 – Kõrgema kunstihariduse ajakohastamine</w:t>
            </w:r>
          </w:p>
        </w:tc>
        <w:tc>
          <w:tcPr>
            <w:tcW w:w="1690" w:type="dxa"/>
            <w:tcBorders>
              <w:top w:val="nil"/>
              <w:left w:val="nil"/>
              <w:bottom w:val="single" w:sz="4" w:space="0" w:color="auto"/>
              <w:right w:val="single" w:sz="4" w:space="0" w:color="auto"/>
            </w:tcBorders>
            <w:shd w:val="clear" w:color="auto" w:fill="C6EFCE"/>
            <w:noWrap/>
            <w:vAlign w:val="center"/>
            <w:hideMark/>
          </w:tcPr>
          <w:p w14:paraId="4CA16663"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6E1BF27"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Kõrgema kunstihariduse ajakohastamine</w:t>
            </w:r>
          </w:p>
        </w:tc>
      </w:tr>
      <w:tr w:rsidR="006E0EA2" w14:paraId="10DDC459"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9D91BA6"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287</w:t>
            </w:r>
          </w:p>
        </w:tc>
        <w:tc>
          <w:tcPr>
            <w:tcW w:w="4281" w:type="dxa"/>
            <w:tcBorders>
              <w:top w:val="nil"/>
              <w:left w:val="nil"/>
              <w:bottom w:val="single" w:sz="4" w:space="0" w:color="auto"/>
              <w:right w:val="single" w:sz="4" w:space="0" w:color="auto"/>
            </w:tcBorders>
            <w:shd w:val="clear" w:color="auto" w:fill="C6EFCE"/>
            <w:noWrap/>
            <w:vAlign w:val="center"/>
            <w:hideMark/>
          </w:tcPr>
          <w:p w14:paraId="0906845A"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16486_Veealuste antiikesemete muuseum</w:t>
            </w:r>
          </w:p>
        </w:tc>
        <w:tc>
          <w:tcPr>
            <w:tcW w:w="1690" w:type="dxa"/>
            <w:tcBorders>
              <w:top w:val="nil"/>
              <w:left w:val="nil"/>
              <w:bottom w:val="single" w:sz="4" w:space="0" w:color="auto"/>
              <w:right w:val="single" w:sz="4" w:space="0" w:color="auto"/>
            </w:tcBorders>
            <w:shd w:val="clear" w:color="auto" w:fill="C6EFCE"/>
            <w:noWrap/>
            <w:vAlign w:val="center"/>
            <w:hideMark/>
          </w:tcPr>
          <w:p w14:paraId="5A102A64"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93712EC"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Veealuste antiikesemete muuseum</w:t>
            </w:r>
          </w:p>
        </w:tc>
      </w:tr>
      <w:tr w:rsidR="006E0EA2" w:rsidRPr="003B132A" w14:paraId="3081C9A2"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6C2514A"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288</w:t>
            </w:r>
          </w:p>
        </w:tc>
        <w:tc>
          <w:tcPr>
            <w:tcW w:w="4281" w:type="dxa"/>
            <w:tcBorders>
              <w:top w:val="nil"/>
              <w:left w:val="nil"/>
              <w:bottom w:val="single" w:sz="4" w:space="0" w:color="auto"/>
              <w:right w:val="single" w:sz="4" w:space="0" w:color="auto"/>
            </w:tcBorders>
            <w:shd w:val="clear" w:color="auto" w:fill="C6EFCE"/>
            <w:noWrap/>
            <w:vAlign w:val="center"/>
            <w:hideMark/>
          </w:tcPr>
          <w:p w14:paraId="07B55E4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16485_Kultuurirajad sümboolse tähendusega arheoloogilised paigad ja mälestised</w:t>
            </w:r>
          </w:p>
        </w:tc>
        <w:tc>
          <w:tcPr>
            <w:tcW w:w="1690" w:type="dxa"/>
            <w:tcBorders>
              <w:top w:val="nil"/>
              <w:left w:val="nil"/>
              <w:bottom w:val="single" w:sz="4" w:space="0" w:color="auto"/>
              <w:right w:val="single" w:sz="4" w:space="0" w:color="auto"/>
            </w:tcBorders>
            <w:shd w:val="clear" w:color="auto" w:fill="C6EFCE"/>
            <w:noWrap/>
            <w:vAlign w:val="center"/>
            <w:hideMark/>
          </w:tcPr>
          <w:p w14:paraId="53ED72F9"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57609D5C"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Kultuurirajad sümboolse tähendusega arheoloogilistes paikades</w:t>
            </w:r>
          </w:p>
        </w:tc>
      </w:tr>
      <w:tr w:rsidR="006E0EA2" w14:paraId="6350803F"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7E21255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289</w:t>
            </w:r>
          </w:p>
        </w:tc>
        <w:tc>
          <w:tcPr>
            <w:tcW w:w="4281" w:type="dxa"/>
            <w:tcBorders>
              <w:top w:val="nil"/>
              <w:left w:val="nil"/>
              <w:bottom w:val="single" w:sz="4" w:space="0" w:color="auto"/>
              <w:right w:val="single" w:sz="4" w:space="0" w:color="auto"/>
            </w:tcBorders>
            <w:shd w:val="clear" w:color="auto" w:fill="C6EFCE"/>
            <w:noWrap/>
            <w:vAlign w:val="center"/>
            <w:hideMark/>
          </w:tcPr>
          <w:p w14:paraId="58A1699E"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16735_Retseptikunsti kasutamine, sotsiaalse ühtekuuluvuse edendamine ja hõbedase majanduse kasutamine</w:t>
            </w:r>
          </w:p>
        </w:tc>
        <w:tc>
          <w:tcPr>
            <w:tcW w:w="1690" w:type="dxa"/>
            <w:tcBorders>
              <w:top w:val="nil"/>
              <w:left w:val="nil"/>
              <w:bottom w:val="single" w:sz="4" w:space="0" w:color="auto"/>
              <w:right w:val="single" w:sz="4" w:space="0" w:color="auto"/>
            </w:tcBorders>
            <w:shd w:val="clear" w:color="auto" w:fill="C6EFCE"/>
            <w:noWrap/>
            <w:vAlign w:val="center"/>
            <w:hideMark/>
          </w:tcPr>
          <w:p w14:paraId="435DC078"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7EAD8EE9"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Retseptikunsti kasutamine;</w:t>
            </w:r>
          </w:p>
        </w:tc>
      </w:tr>
      <w:tr w:rsidR="006E0EA2" w:rsidRPr="003B132A" w14:paraId="5D6F5A04"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254D79E"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290</w:t>
            </w:r>
          </w:p>
        </w:tc>
        <w:tc>
          <w:tcPr>
            <w:tcW w:w="4281" w:type="dxa"/>
            <w:tcBorders>
              <w:top w:val="nil"/>
              <w:left w:val="nil"/>
              <w:bottom w:val="single" w:sz="4" w:space="0" w:color="auto"/>
              <w:right w:val="single" w:sz="4" w:space="0" w:color="auto"/>
            </w:tcBorders>
            <w:shd w:val="clear" w:color="auto" w:fill="C6EFCE"/>
            <w:noWrap/>
            <w:vAlign w:val="center"/>
            <w:hideMark/>
          </w:tcPr>
          <w:p w14:paraId="2BE07D0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16433_Kultuurimälestiste ja arheoloogiliste paikade kaitsmine kliimamuutuste eest</w:t>
            </w:r>
          </w:p>
        </w:tc>
        <w:tc>
          <w:tcPr>
            <w:tcW w:w="1690" w:type="dxa"/>
            <w:tcBorders>
              <w:top w:val="nil"/>
              <w:left w:val="nil"/>
              <w:bottom w:val="single" w:sz="4" w:space="0" w:color="auto"/>
              <w:right w:val="single" w:sz="4" w:space="0" w:color="auto"/>
            </w:tcBorders>
            <w:shd w:val="clear" w:color="auto" w:fill="C6EFCE"/>
            <w:noWrap/>
            <w:vAlign w:val="center"/>
            <w:hideMark/>
          </w:tcPr>
          <w:p w14:paraId="5E28301B"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Eesmärk </w:t>
            </w:r>
          </w:p>
        </w:tc>
        <w:tc>
          <w:tcPr>
            <w:tcW w:w="2046" w:type="dxa"/>
            <w:tcBorders>
              <w:top w:val="nil"/>
              <w:left w:val="nil"/>
              <w:bottom w:val="single" w:sz="4" w:space="0" w:color="auto"/>
              <w:right w:val="single" w:sz="4" w:space="0" w:color="auto"/>
            </w:tcBorders>
            <w:shd w:val="clear" w:color="auto" w:fill="C6EFCE"/>
            <w:noWrap/>
            <w:vAlign w:val="center"/>
            <w:hideMark/>
          </w:tcPr>
          <w:p w14:paraId="46CA641C"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Kultuurimälestiste kaitsmine kliimamuutuste eest</w:t>
            </w:r>
          </w:p>
        </w:tc>
      </w:tr>
      <w:tr w:rsidR="006E0EA2" w:rsidRPr="003B132A" w14:paraId="0D0F2358"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13DD2F1C"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291</w:t>
            </w:r>
          </w:p>
        </w:tc>
        <w:tc>
          <w:tcPr>
            <w:tcW w:w="4281" w:type="dxa"/>
            <w:tcBorders>
              <w:top w:val="nil"/>
              <w:left w:val="nil"/>
              <w:bottom w:val="single" w:sz="4" w:space="0" w:color="auto"/>
              <w:right w:val="single" w:sz="4" w:space="0" w:color="auto"/>
            </w:tcBorders>
            <w:shd w:val="clear" w:color="auto" w:fill="C6EFCE"/>
            <w:noWrap/>
            <w:vAlign w:val="center"/>
            <w:hideMark/>
          </w:tcPr>
          <w:p w14:paraId="27650EFA"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16435_Restoration – Conservation – Akropoli mälestiste tõhustamine</w:t>
            </w:r>
          </w:p>
        </w:tc>
        <w:tc>
          <w:tcPr>
            <w:tcW w:w="1690" w:type="dxa"/>
            <w:tcBorders>
              <w:top w:val="nil"/>
              <w:left w:val="nil"/>
              <w:bottom w:val="single" w:sz="4" w:space="0" w:color="auto"/>
              <w:right w:val="single" w:sz="4" w:space="0" w:color="auto"/>
            </w:tcBorders>
            <w:shd w:val="clear" w:color="auto" w:fill="C6EFCE"/>
            <w:noWrap/>
            <w:vAlign w:val="center"/>
            <w:hideMark/>
          </w:tcPr>
          <w:p w14:paraId="6AFC636F"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6F7F98A0"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Taastamine – kaitse – Akropoli mälestiste tõhustamine</w:t>
            </w:r>
          </w:p>
        </w:tc>
      </w:tr>
      <w:tr w:rsidR="006E0EA2" w:rsidRPr="003B132A" w14:paraId="1D37CEDB"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18CBAC21"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296</w:t>
            </w:r>
          </w:p>
        </w:tc>
        <w:tc>
          <w:tcPr>
            <w:tcW w:w="4281" w:type="dxa"/>
            <w:tcBorders>
              <w:top w:val="nil"/>
              <w:left w:val="nil"/>
              <w:bottom w:val="single" w:sz="4" w:space="0" w:color="auto"/>
              <w:right w:val="single" w:sz="4" w:space="0" w:color="auto"/>
            </w:tcBorders>
            <w:shd w:val="clear" w:color="auto" w:fill="C6EFCE"/>
            <w:noWrap/>
            <w:vAlign w:val="center"/>
            <w:hideMark/>
          </w:tcPr>
          <w:p w14:paraId="58973A90"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16921_Ümberõpe ja oskuste täiendamine turismis</w:t>
            </w:r>
          </w:p>
        </w:tc>
        <w:tc>
          <w:tcPr>
            <w:tcW w:w="1690" w:type="dxa"/>
            <w:tcBorders>
              <w:top w:val="nil"/>
              <w:left w:val="nil"/>
              <w:bottom w:val="single" w:sz="4" w:space="0" w:color="auto"/>
              <w:right w:val="single" w:sz="4" w:space="0" w:color="auto"/>
            </w:tcBorders>
            <w:shd w:val="clear" w:color="auto" w:fill="C6EFCE"/>
            <w:noWrap/>
            <w:vAlign w:val="center"/>
            <w:hideMark/>
          </w:tcPr>
          <w:p w14:paraId="3CAE9894"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11203FAF"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Ümberõpe ja oskuste täiendamine turismis (lõpetamine)</w:t>
            </w:r>
          </w:p>
        </w:tc>
      </w:tr>
      <w:tr w:rsidR="006E0EA2" w14:paraId="17FC2ABA"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01075678"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297</w:t>
            </w:r>
          </w:p>
        </w:tc>
        <w:tc>
          <w:tcPr>
            <w:tcW w:w="4281" w:type="dxa"/>
            <w:tcBorders>
              <w:top w:val="nil"/>
              <w:left w:val="nil"/>
              <w:bottom w:val="single" w:sz="4" w:space="0" w:color="auto"/>
              <w:right w:val="single" w:sz="4" w:space="0" w:color="auto"/>
            </w:tcBorders>
            <w:shd w:val="clear" w:color="auto" w:fill="C6EFCE"/>
            <w:noWrap/>
            <w:vAlign w:val="center"/>
            <w:hideMark/>
          </w:tcPr>
          <w:p w14:paraId="118CE1D5"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16931_Turismi arendamine</w:t>
            </w:r>
          </w:p>
        </w:tc>
        <w:tc>
          <w:tcPr>
            <w:tcW w:w="1690" w:type="dxa"/>
            <w:tcBorders>
              <w:top w:val="nil"/>
              <w:left w:val="nil"/>
              <w:bottom w:val="single" w:sz="4" w:space="0" w:color="auto"/>
              <w:right w:val="single" w:sz="4" w:space="0" w:color="auto"/>
            </w:tcBorders>
            <w:shd w:val="clear" w:color="auto" w:fill="C6EFCE"/>
            <w:noWrap/>
            <w:vAlign w:val="center"/>
            <w:hideMark/>
          </w:tcPr>
          <w:p w14:paraId="64C0709C"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45ACF9E9"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Turismi arendamise projekti lõpuleviimine</w:t>
            </w:r>
          </w:p>
        </w:tc>
      </w:tr>
      <w:tr w:rsidR="006E0EA2" w:rsidRPr="003B132A" w14:paraId="23AAC03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FFFD532"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298</w:t>
            </w:r>
          </w:p>
        </w:tc>
        <w:tc>
          <w:tcPr>
            <w:tcW w:w="4281" w:type="dxa"/>
            <w:tcBorders>
              <w:top w:val="nil"/>
              <w:left w:val="nil"/>
              <w:bottom w:val="single" w:sz="4" w:space="0" w:color="auto"/>
              <w:right w:val="single" w:sz="4" w:space="0" w:color="auto"/>
            </w:tcBorders>
            <w:shd w:val="clear" w:color="auto" w:fill="C6EFCE"/>
            <w:noWrap/>
            <w:vAlign w:val="center"/>
            <w:hideMark/>
          </w:tcPr>
          <w:p w14:paraId="54A2BEC6"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16975_Piirkondlike sadamate ajakohastamine</w:t>
            </w:r>
          </w:p>
        </w:tc>
        <w:tc>
          <w:tcPr>
            <w:tcW w:w="1690" w:type="dxa"/>
            <w:tcBorders>
              <w:top w:val="nil"/>
              <w:left w:val="nil"/>
              <w:bottom w:val="single" w:sz="4" w:space="0" w:color="auto"/>
              <w:right w:val="single" w:sz="4" w:space="0" w:color="auto"/>
            </w:tcBorders>
            <w:shd w:val="clear" w:color="auto" w:fill="C6EFCE"/>
            <w:noWrap/>
            <w:vAlign w:val="center"/>
            <w:hideMark/>
          </w:tcPr>
          <w:p w14:paraId="027D8315"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nil"/>
              <w:left w:val="nil"/>
              <w:bottom w:val="single" w:sz="4" w:space="0" w:color="auto"/>
              <w:right w:val="single" w:sz="4" w:space="0" w:color="auto"/>
            </w:tcBorders>
            <w:shd w:val="clear" w:color="auto" w:fill="C6EFCE"/>
            <w:noWrap/>
            <w:vAlign w:val="center"/>
            <w:hideMark/>
          </w:tcPr>
          <w:p w14:paraId="241A653E"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Piirkondlike sadamate sekkumismeetmete ajakohastamine</w:t>
            </w:r>
          </w:p>
        </w:tc>
      </w:tr>
      <w:tr w:rsidR="006E0EA2" w:rsidRPr="003B132A" w14:paraId="2BA671C6"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89D9DED"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306</w:t>
            </w:r>
          </w:p>
        </w:tc>
        <w:tc>
          <w:tcPr>
            <w:tcW w:w="4281" w:type="dxa"/>
            <w:tcBorders>
              <w:top w:val="nil"/>
              <w:left w:val="nil"/>
              <w:bottom w:val="single" w:sz="4" w:space="0" w:color="auto"/>
              <w:right w:val="single" w:sz="4" w:space="0" w:color="auto"/>
            </w:tcBorders>
            <w:shd w:val="clear" w:color="auto" w:fill="C6EFCE"/>
            <w:noWrap/>
            <w:vAlign w:val="center"/>
            <w:hideMark/>
          </w:tcPr>
          <w:p w14:paraId="01C08F07"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17-4.6. Peamiste majandussektorite ajakohastamine ja vastupanuvõime parandamine – 16599_Majandusdiplomaatia võrgustiku digiteerimine; Eksportijate koolitusprogramm</w:t>
            </w:r>
          </w:p>
        </w:tc>
        <w:tc>
          <w:tcPr>
            <w:tcW w:w="1690" w:type="dxa"/>
            <w:tcBorders>
              <w:top w:val="nil"/>
              <w:left w:val="nil"/>
              <w:bottom w:val="single" w:sz="4" w:space="0" w:color="auto"/>
              <w:right w:val="single" w:sz="4" w:space="0" w:color="auto"/>
            </w:tcBorders>
            <w:shd w:val="clear" w:color="auto" w:fill="C6EFCE"/>
            <w:noWrap/>
            <w:vAlign w:val="center"/>
            <w:hideMark/>
          </w:tcPr>
          <w:p w14:paraId="533BB1AB"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341BDAD2"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Majandusdiplomaatia võrgustiku digitaliseerimine – kõigi meetmete rakendamine</w:t>
            </w:r>
          </w:p>
        </w:tc>
      </w:tr>
      <w:tr w:rsidR="006E0EA2" w:rsidRPr="003B132A" w14:paraId="751C7B79"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2B677759"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307</w:t>
            </w:r>
          </w:p>
        </w:tc>
        <w:tc>
          <w:tcPr>
            <w:tcW w:w="4281" w:type="dxa"/>
            <w:tcBorders>
              <w:top w:val="nil"/>
              <w:left w:val="nil"/>
              <w:bottom w:val="single" w:sz="4" w:space="0" w:color="auto"/>
              <w:right w:val="single" w:sz="4" w:space="0" w:color="auto"/>
            </w:tcBorders>
            <w:shd w:val="clear" w:color="auto" w:fill="C6EFCE"/>
            <w:noWrap/>
            <w:vAlign w:val="center"/>
            <w:hideMark/>
          </w:tcPr>
          <w:p w14:paraId="3B5A5092"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16634_Uued tööstuspargid</w:t>
            </w:r>
          </w:p>
        </w:tc>
        <w:tc>
          <w:tcPr>
            <w:tcW w:w="1690" w:type="dxa"/>
            <w:tcBorders>
              <w:top w:val="nil"/>
              <w:left w:val="nil"/>
              <w:bottom w:val="single" w:sz="4" w:space="0" w:color="auto"/>
              <w:right w:val="single" w:sz="4" w:space="0" w:color="auto"/>
            </w:tcBorders>
            <w:shd w:val="clear" w:color="auto" w:fill="C6EFCE"/>
            <w:noWrap/>
            <w:vAlign w:val="center"/>
            <w:hideMark/>
          </w:tcPr>
          <w:p w14:paraId="12D1D692"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1721573D"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Tööstuspargid – investeeringute rakendamine</w:t>
            </w:r>
          </w:p>
        </w:tc>
      </w:tr>
      <w:tr w:rsidR="006E0EA2" w:rsidRPr="003B132A" w14:paraId="59CEA0F1"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0B9D9A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308</w:t>
            </w:r>
          </w:p>
        </w:tc>
        <w:tc>
          <w:tcPr>
            <w:tcW w:w="4281" w:type="dxa"/>
            <w:tcBorders>
              <w:top w:val="nil"/>
              <w:left w:val="nil"/>
              <w:bottom w:val="single" w:sz="4" w:space="0" w:color="auto"/>
              <w:right w:val="single" w:sz="4" w:space="0" w:color="auto"/>
            </w:tcBorders>
            <w:shd w:val="clear" w:color="auto" w:fill="C6EFCE"/>
            <w:noWrap/>
            <w:vAlign w:val="center"/>
            <w:hideMark/>
          </w:tcPr>
          <w:p w14:paraId="54DEB4F4"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16593_Strateegiliste investeeringute ligimeelitamise õigusraamistiku muutmine</w:t>
            </w:r>
          </w:p>
        </w:tc>
        <w:tc>
          <w:tcPr>
            <w:tcW w:w="1690" w:type="dxa"/>
            <w:tcBorders>
              <w:top w:val="nil"/>
              <w:left w:val="nil"/>
              <w:bottom w:val="single" w:sz="4" w:space="0" w:color="auto"/>
              <w:right w:val="single" w:sz="4" w:space="0" w:color="auto"/>
            </w:tcBorders>
            <w:shd w:val="clear" w:color="auto" w:fill="C6EFCE"/>
            <w:noWrap/>
            <w:vAlign w:val="center"/>
            <w:hideMark/>
          </w:tcPr>
          <w:p w14:paraId="7ED0C8B5"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2AB0C051"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Strateegilised investeeringud – investeeringute rakendamine</w:t>
            </w:r>
          </w:p>
        </w:tc>
      </w:tr>
      <w:tr w:rsidR="006E0EA2" w:rsidRPr="003B132A" w14:paraId="55F85266"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7011C42"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309</w:t>
            </w:r>
          </w:p>
        </w:tc>
        <w:tc>
          <w:tcPr>
            <w:tcW w:w="4281" w:type="dxa"/>
            <w:tcBorders>
              <w:top w:val="nil"/>
              <w:left w:val="nil"/>
              <w:bottom w:val="single" w:sz="4" w:space="0" w:color="auto"/>
              <w:right w:val="single" w:sz="4" w:space="0" w:color="auto"/>
            </w:tcBorders>
            <w:shd w:val="clear" w:color="auto" w:fill="C6EFCE"/>
            <w:noWrap/>
            <w:vAlign w:val="center"/>
            <w:hideMark/>
          </w:tcPr>
          <w:p w14:paraId="30A60098"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16721_Aruka tootmise kiirendamine</w:t>
            </w:r>
          </w:p>
        </w:tc>
        <w:tc>
          <w:tcPr>
            <w:tcW w:w="1690" w:type="dxa"/>
            <w:tcBorders>
              <w:top w:val="nil"/>
              <w:left w:val="nil"/>
              <w:bottom w:val="single" w:sz="4" w:space="0" w:color="auto"/>
              <w:right w:val="single" w:sz="4" w:space="0" w:color="auto"/>
            </w:tcBorders>
            <w:shd w:val="clear" w:color="auto" w:fill="C6EFCE"/>
            <w:noWrap/>
            <w:vAlign w:val="center"/>
            <w:hideMark/>
          </w:tcPr>
          <w:p w14:paraId="6B71A148"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01452DBD"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Tootmine, sektor – investeeringute rakendamine</w:t>
            </w:r>
          </w:p>
        </w:tc>
      </w:tr>
      <w:tr w:rsidR="006E0EA2" w:rsidRPr="003B132A" w14:paraId="4BA73D7C"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27DE960"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314</w:t>
            </w:r>
          </w:p>
        </w:tc>
        <w:tc>
          <w:tcPr>
            <w:tcW w:w="4281" w:type="dxa"/>
            <w:tcBorders>
              <w:top w:val="nil"/>
              <w:left w:val="nil"/>
              <w:bottom w:val="single" w:sz="4" w:space="0" w:color="auto"/>
              <w:right w:val="single" w:sz="4" w:space="0" w:color="auto"/>
            </w:tcBorders>
            <w:shd w:val="clear" w:color="auto" w:fill="C6EFCE"/>
            <w:noWrap/>
            <w:vAlign w:val="center"/>
            <w:hideMark/>
          </w:tcPr>
          <w:p w14:paraId="236ED068"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16626_Põllumajandussektori majanduslik ümberkujundamine</w:t>
            </w:r>
          </w:p>
        </w:tc>
        <w:tc>
          <w:tcPr>
            <w:tcW w:w="1690" w:type="dxa"/>
            <w:tcBorders>
              <w:top w:val="nil"/>
              <w:left w:val="nil"/>
              <w:bottom w:val="single" w:sz="4" w:space="0" w:color="auto"/>
              <w:right w:val="single" w:sz="4" w:space="0" w:color="auto"/>
            </w:tcBorders>
            <w:shd w:val="clear" w:color="auto" w:fill="C6EFCE"/>
            <w:noWrap/>
            <w:vAlign w:val="center"/>
            <w:hideMark/>
          </w:tcPr>
          <w:p w14:paraId="6D3DF906"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7D8753D0"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Põllumajanduse majandusliku ümberkujundamise lõpuleviimine</w:t>
            </w:r>
          </w:p>
        </w:tc>
      </w:tr>
      <w:tr w:rsidR="006E0EA2" w14:paraId="02723968"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9EE9FAD"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315</w:t>
            </w:r>
          </w:p>
        </w:tc>
        <w:tc>
          <w:tcPr>
            <w:tcW w:w="4281" w:type="dxa"/>
            <w:tcBorders>
              <w:top w:val="nil"/>
              <w:left w:val="nil"/>
              <w:bottom w:val="single" w:sz="4" w:space="0" w:color="auto"/>
              <w:right w:val="single" w:sz="4" w:space="0" w:color="auto"/>
            </w:tcBorders>
            <w:shd w:val="clear" w:color="auto" w:fill="C6EFCE"/>
            <w:noWrap/>
            <w:vAlign w:val="center"/>
            <w:hideMark/>
          </w:tcPr>
          <w:p w14:paraId="0270A3B1"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17-4.6. Peamiste majandussektorite ajakohastamine ja vastupanuvõime parandamine – 16584_Ettepanekud vesiviljelussektori meetmete kohta</w:t>
            </w:r>
          </w:p>
        </w:tc>
        <w:tc>
          <w:tcPr>
            <w:tcW w:w="1690" w:type="dxa"/>
            <w:tcBorders>
              <w:top w:val="nil"/>
              <w:left w:val="nil"/>
              <w:bottom w:val="single" w:sz="4" w:space="0" w:color="auto"/>
              <w:right w:val="single" w:sz="4" w:space="0" w:color="auto"/>
            </w:tcBorders>
            <w:shd w:val="clear" w:color="auto" w:fill="C6EFCE"/>
            <w:noWrap/>
            <w:vAlign w:val="center"/>
            <w:hideMark/>
          </w:tcPr>
          <w:p w14:paraId="364469BC"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7999201F"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Vesiviljelus on lõpule viidud</w:t>
            </w:r>
          </w:p>
        </w:tc>
      </w:tr>
      <w:tr w:rsidR="006E0EA2" w14:paraId="2BB7892C"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7310ECDF"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316</w:t>
            </w:r>
          </w:p>
        </w:tc>
        <w:tc>
          <w:tcPr>
            <w:tcW w:w="4281" w:type="dxa"/>
            <w:tcBorders>
              <w:top w:val="nil"/>
              <w:left w:val="nil"/>
              <w:bottom w:val="single" w:sz="4" w:space="0" w:color="auto"/>
              <w:right w:val="single" w:sz="4" w:space="0" w:color="auto"/>
            </w:tcBorders>
            <w:shd w:val="clear" w:color="auto" w:fill="C6EFCE"/>
            <w:noWrap/>
            <w:vAlign w:val="center"/>
            <w:hideMark/>
          </w:tcPr>
          <w:p w14:paraId="6B5C19A7"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4-1.4. Ressursside säästev kasutamine, kliimamuutustele vastupanu võime ja keskkonnakaitse – 16285_Investeeringud riiklikku niisutusvõrku avaliku ja erasektori partnerluse kavade kaudu</w:t>
            </w:r>
          </w:p>
        </w:tc>
        <w:tc>
          <w:tcPr>
            <w:tcW w:w="1690" w:type="dxa"/>
            <w:tcBorders>
              <w:top w:val="nil"/>
              <w:left w:val="nil"/>
              <w:bottom w:val="single" w:sz="4" w:space="0" w:color="auto"/>
              <w:right w:val="single" w:sz="4" w:space="0" w:color="auto"/>
            </w:tcBorders>
            <w:shd w:val="clear" w:color="auto" w:fill="C6EFCE"/>
            <w:noWrap/>
            <w:vAlign w:val="center"/>
            <w:hideMark/>
          </w:tcPr>
          <w:p w14:paraId="47510923"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0AD86C18"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Niisutuse lõpuleviimine</w:t>
            </w:r>
          </w:p>
        </w:tc>
      </w:tr>
      <w:tr w:rsidR="006E0EA2" w:rsidRPr="003B132A" w14:paraId="0F772915"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B161628"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319</w:t>
            </w:r>
          </w:p>
        </w:tc>
        <w:tc>
          <w:tcPr>
            <w:tcW w:w="4281" w:type="dxa"/>
            <w:tcBorders>
              <w:top w:val="nil"/>
              <w:left w:val="nil"/>
              <w:bottom w:val="single" w:sz="4" w:space="0" w:color="auto"/>
              <w:right w:val="single" w:sz="4" w:space="0" w:color="auto"/>
            </w:tcBorders>
            <w:shd w:val="clear" w:color="auto" w:fill="C6EFCE"/>
            <w:noWrap/>
            <w:vAlign w:val="center"/>
            <w:hideMark/>
          </w:tcPr>
          <w:p w14:paraId="595CC6B6"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18-4.7. Parandada konkurentsivõimet ning edendada erainvesteeringuid ja eksporti – 16543_Meetmed ettevõtluskeskkonna lihtsustamiseks ning selle kvaliteedi ja ohutuse parandamiseks</w:t>
            </w:r>
          </w:p>
        </w:tc>
        <w:tc>
          <w:tcPr>
            <w:tcW w:w="1690" w:type="dxa"/>
            <w:tcBorders>
              <w:top w:val="nil"/>
              <w:left w:val="nil"/>
              <w:bottom w:val="single" w:sz="4" w:space="0" w:color="auto"/>
              <w:right w:val="single" w:sz="4" w:space="0" w:color="auto"/>
            </w:tcBorders>
            <w:shd w:val="clear" w:color="auto" w:fill="C6EFCE"/>
            <w:noWrap/>
            <w:vAlign w:val="center"/>
            <w:hideMark/>
          </w:tcPr>
          <w:p w14:paraId="57400736"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4E618D51"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Ettevõtluskeskkonna parandamine – lubade andmine lihtsustamiseks ja turujärelevalveks</w:t>
            </w:r>
          </w:p>
        </w:tc>
      </w:tr>
      <w:tr w:rsidR="006E0EA2" w14:paraId="1A7D2280"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696FB722"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259</w:t>
            </w:r>
          </w:p>
        </w:tc>
        <w:tc>
          <w:tcPr>
            <w:tcW w:w="4281" w:type="dxa"/>
            <w:tcBorders>
              <w:top w:val="nil"/>
              <w:left w:val="nil"/>
              <w:bottom w:val="single" w:sz="4" w:space="0" w:color="auto"/>
              <w:right w:val="single" w:sz="4" w:space="0" w:color="auto"/>
            </w:tcBorders>
            <w:shd w:val="clear" w:color="auto" w:fill="C6EFCE"/>
            <w:noWrap/>
            <w:vAlign w:val="center"/>
            <w:hideMark/>
          </w:tcPr>
          <w:p w14:paraId="7DD18F81" w14:textId="77777777" w:rsidR="00275DFC" w:rsidRDefault="00275DFC" w:rsidP="007B759D">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17-4.6. Peamiste majandussektorite ajakohastamine ja vastupanuvõime parandamine – 16631_Maanteeohutuse suurendamine</w:t>
            </w:r>
          </w:p>
        </w:tc>
        <w:tc>
          <w:tcPr>
            <w:tcW w:w="1690" w:type="dxa"/>
            <w:tcBorders>
              <w:top w:val="nil"/>
              <w:left w:val="nil"/>
              <w:bottom w:val="single" w:sz="4" w:space="0" w:color="auto"/>
              <w:right w:val="single" w:sz="4" w:space="0" w:color="auto"/>
            </w:tcBorders>
            <w:shd w:val="clear" w:color="auto" w:fill="C6EFCE"/>
            <w:noWrap/>
            <w:vAlign w:val="center"/>
            <w:hideMark/>
          </w:tcPr>
          <w:p w14:paraId="6B7B473D"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7368E744" w14:textId="77777777" w:rsidR="00275DFC" w:rsidRDefault="00275DFC" w:rsidP="007B759D">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Liiklusohutuse projekti lõpuleviimine</w:t>
            </w:r>
          </w:p>
        </w:tc>
      </w:tr>
      <w:tr w:rsidR="006E0EA2" w:rsidRPr="003B132A" w14:paraId="0D2501ED"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4DA159A6"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346</w:t>
            </w:r>
          </w:p>
        </w:tc>
        <w:tc>
          <w:tcPr>
            <w:tcW w:w="4281" w:type="dxa"/>
            <w:tcBorders>
              <w:top w:val="nil"/>
              <w:left w:val="nil"/>
              <w:bottom w:val="single" w:sz="4" w:space="0" w:color="auto"/>
              <w:right w:val="single" w:sz="4" w:space="0" w:color="auto"/>
            </w:tcBorders>
            <w:shd w:val="clear" w:color="auto" w:fill="C6EFCE"/>
            <w:noWrap/>
            <w:vAlign w:val="center"/>
            <w:hideMark/>
          </w:tcPr>
          <w:p w14:paraId="41F90448"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16-4.5. Edendada teadusuuringuid ja innovatsiooni – 16622_HORIZON 2020 „Tulemusmärgis“: tipptasemel uuenduslike ettevõtete rahastamine</w:t>
            </w:r>
          </w:p>
        </w:tc>
        <w:tc>
          <w:tcPr>
            <w:tcW w:w="1690" w:type="dxa"/>
            <w:tcBorders>
              <w:top w:val="nil"/>
              <w:left w:val="nil"/>
              <w:bottom w:val="single" w:sz="4" w:space="0" w:color="auto"/>
              <w:right w:val="single" w:sz="4" w:space="0" w:color="auto"/>
            </w:tcBorders>
            <w:shd w:val="clear" w:color="auto" w:fill="C6EFCE"/>
            <w:noWrap/>
            <w:vAlign w:val="center"/>
            <w:hideMark/>
          </w:tcPr>
          <w:p w14:paraId="092602DF"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1248C7C8"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Väikeste ja keskmise suurusega ettevõtjate rakendatud projektide lõpuleviimine</w:t>
            </w:r>
          </w:p>
        </w:tc>
      </w:tr>
      <w:tr w:rsidR="006E0EA2" w14:paraId="02B35A03"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5FC79266"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349</w:t>
            </w:r>
          </w:p>
        </w:tc>
        <w:tc>
          <w:tcPr>
            <w:tcW w:w="4281" w:type="dxa"/>
            <w:tcBorders>
              <w:top w:val="nil"/>
              <w:left w:val="nil"/>
              <w:bottom w:val="single" w:sz="4" w:space="0" w:color="auto"/>
              <w:right w:val="single" w:sz="4" w:space="0" w:color="auto"/>
            </w:tcBorders>
            <w:shd w:val="clear" w:color="auto" w:fill="C6EFCE"/>
            <w:noWrap/>
            <w:vAlign w:val="center"/>
            <w:hideMark/>
          </w:tcPr>
          <w:p w14:paraId="064840D4"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4.6. Peamiste majandussektorite ajakohastamine ja vastupanuvõime parandamine – 16999_Juurdepääsetavuse taastamine pärast tormi „DANIEL“ laastavat mõju</w:t>
            </w:r>
          </w:p>
        </w:tc>
        <w:tc>
          <w:tcPr>
            <w:tcW w:w="1690" w:type="dxa"/>
            <w:tcBorders>
              <w:top w:val="nil"/>
              <w:left w:val="nil"/>
              <w:bottom w:val="single" w:sz="4" w:space="0" w:color="auto"/>
              <w:right w:val="single" w:sz="4" w:space="0" w:color="auto"/>
            </w:tcBorders>
            <w:shd w:val="clear" w:color="auto" w:fill="C6EFCE"/>
            <w:noWrap/>
            <w:vAlign w:val="center"/>
            <w:hideMark/>
          </w:tcPr>
          <w:p w14:paraId="1CEBBC77"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1AA9E498"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Lõpule viidud teede taastamise projektid</w:t>
            </w:r>
          </w:p>
        </w:tc>
      </w:tr>
      <w:tr w:rsidR="006E0EA2" w14:paraId="2CE4FB1A" w14:textId="77777777" w:rsidTr="00445A7D">
        <w:trPr>
          <w:trHeight w:val="302"/>
        </w:trPr>
        <w:tc>
          <w:tcPr>
            <w:tcW w:w="1803" w:type="dxa"/>
            <w:tcBorders>
              <w:top w:val="nil"/>
              <w:left w:val="single" w:sz="4" w:space="0" w:color="auto"/>
              <w:bottom w:val="single" w:sz="4" w:space="0" w:color="auto"/>
              <w:right w:val="single" w:sz="4" w:space="0" w:color="auto"/>
            </w:tcBorders>
            <w:shd w:val="clear" w:color="auto" w:fill="C6EFCE"/>
            <w:noWrap/>
            <w:vAlign w:val="center"/>
            <w:hideMark/>
          </w:tcPr>
          <w:p w14:paraId="3590E0CF"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350</w:t>
            </w:r>
          </w:p>
        </w:tc>
        <w:tc>
          <w:tcPr>
            <w:tcW w:w="4281" w:type="dxa"/>
            <w:tcBorders>
              <w:top w:val="nil"/>
              <w:left w:val="nil"/>
              <w:bottom w:val="single" w:sz="4" w:space="0" w:color="auto"/>
              <w:right w:val="single" w:sz="4" w:space="0" w:color="auto"/>
            </w:tcBorders>
            <w:shd w:val="clear" w:color="auto" w:fill="C6EFCE"/>
            <w:noWrap/>
            <w:vAlign w:val="center"/>
            <w:hideMark/>
          </w:tcPr>
          <w:p w14:paraId="120D3621"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4.6. Peamiste majandussektorite ajakohastamine ja vastupanuvõime parandamine – 16999_Juurdepääsetavuse taastamine pärast tormi „DANIEL“ laastavat mõju</w:t>
            </w:r>
          </w:p>
        </w:tc>
        <w:tc>
          <w:tcPr>
            <w:tcW w:w="1690" w:type="dxa"/>
            <w:tcBorders>
              <w:top w:val="nil"/>
              <w:left w:val="nil"/>
              <w:bottom w:val="single" w:sz="4" w:space="0" w:color="auto"/>
              <w:right w:val="single" w:sz="4" w:space="0" w:color="auto"/>
            </w:tcBorders>
            <w:shd w:val="clear" w:color="auto" w:fill="C6EFCE"/>
            <w:noWrap/>
            <w:vAlign w:val="center"/>
            <w:hideMark/>
          </w:tcPr>
          <w:p w14:paraId="1FE23AB3"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2046" w:type="dxa"/>
            <w:tcBorders>
              <w:top w:val="nil"/>
              <w:left w:val="nil"/>
              <w:bottom w:val="single" w:sz="4" w:space="0" w:color="auto"/>
              <w:right w:val="single" w:sz="4" w:space="0" w:color="auto"/>
            </w:tcBorders>
            <w:shd w:val="clear" w:color="auto" w:fill="C6EFCE"/>
            <w:noWrap/>
            <w:vAlign w:val="center"/>
            <w:hideMark/>
          </w:tcPr>
          <w:p w14:paraId="44F2AD09" w14:textId="77777777" w:rsidR="00275DFC" w:rsidRDefault="00275DFC" w:rsidP="007B759D">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Lõpule viidud raudtee taastamise projektid</w:t>
            </w:r>
          </w:p>
        </w:tc>
      </w:tr>
      <w:tr w:rsidR="006E0EA2" w:rsidRPr="003B132A" w14:paraId="46AA4709" w14:textId="77777777" w:rsidTr="00445A7D">
        <w:trPr>
          <w:trHeight w:val="302"/>
        </w:trPr>
        <w:tc>
          <w:tcPr>
            <w:tcW w:w="1803" w:type="dxa"/>
            <w:tcBorders>
              <w:top w:val="single" w:sz="4" w:space="0" w:color="auto"/>
              <w:left w:val="single" w:sz="4" w:space="0" w:color="auto"/>
              <w:bottom w:val="single" w:sz="4" w:space="0" w:color="auto"/>
              <w:right w:val="single" w:sz="4" w:space="0" w:color="auto"/>
            </w:tcBorders>
            <w:shd w:val="clear" w:color="auto" w:fill="C6EFCE"/>
            <w:noWrap/>
            <w:hideMark/>
          </w:tcPr>
          <w:p w14:paraId="6781DD33"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360</w:t>
            </w:r>
          </w:p>
        </w:tc>
        <w:tc>
          <w:tcPr>
            <w:tcW w:w="4281" w:type="dxa"/>
            <w:tcBorders>
              <w:top w:val="single" w:sz="4" w:space="0" w:color="auto"/>
              <w:left w:val="nil"/>
              <w:bottom w:val="single" w:sz="4" w:space="0" w:color="auto"/>
              <w:right w:val="single" w:sz="4" w:space="0" w:color="auto"/>
            </w:tcBorders>
            <w:shd w:val="clear" w:color="auto" w:fill="C6EFCE"/>
            <w:noWrap/>
            <w:hideMark/>
          </w:tcPr>
          <w:p w14:paraId="7C0FD5AD"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20-5.1. REPowerEU reformid – 16991_Regulatiivne raamistik aruka võrgu suunas liikumiseks</w:t>
            </w:r>
          </w:p>
        </w:tc>
        <w:tc>
          <w:tcPr>
            <w:tcW w:w="1690" w:type="dxa"/>
            <w:tcBorders>
              <w:top w:val="single" w:sz="4" w:space="0" w:color="auto"/>
              <w:left w:val="nil"/>
              <w:bottom w:val="single" w:sz="4" w:space="0" w:color="auto"/>
              <w:right w:val="single" w:sz="4" w:space="0" w:color="auto"/>
            </w:tcBorders>
            <w:shd w:val="clear" w:color="auto" w:fill="C6EFCE"/>
            <w:noWrap/>
            <w:hideMark/>
          </w:tcPr>
          <w:p w14:paraId="06853A1F" w14:textId="77777777"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single" w:sz="4" w:space="0" w:color="auto"/>
              <w:left w:val="nil"/>
              <w:bottom w:val="single" w:sz="4" w:space="0" w:color="auto"/>
              <w:right w:val="single" w:sz="4" w:space="0" w:color="auto"/>
            </w:tcBorders>
            <w:shd w:val="clear" w:color="auto" w:fill="C6EFCE"/>
            <w:noWrap/>
            <w:hideMark/>
          </w:tcPr>
          <w:p w14:paraId="40137CDF" w14:textId="77777777"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Jaotusvõrguettevõtja juhtimiskeskuse arendamine</w:t>
            </w:r>
          </w:p>
        </w:tc>
      </w:tr>
      <w:tr w:rsidR="006E0EA2" w14:paraId="1E40AA15" w14:textId="77777777" w:rsidTr="00445A7D">
        <w:trPr>
          <w:trHeight w:val="302"/>
        </w:trPr>
        <w:tc>
          <w:tcPr>
            <w:tcW w:w="1803" w:type="dxa"/>
            <w:tcBorders>
              <w:top w:val="single" w:sz="4" w:space="0" w:color="auto"/>
              <w:left w:val="single" w:sz="4" w:space="0" w:color="auto"/>
              <w:bottom w:val="single" w:sz="4" w:space="0" w:color="auto"/>
              <w:right w:val="single" w:sz="4" w:space="0" w:color="auto"/>
            </w:tcBorders>
            <w:shd w:val="clear" w:color="auto" w:fill="C6EFCE"/>
            <w:noWrap/>
            <w:hideMark/>
          </w:tcPr>
          <w:p w14:paraId="0D73FDD0"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366</w:t>
            </w:r>
          </w:p>
        </w:tc>
        <w:tc>
          <w:tcPr>
            <w:tcW w:w="4281" w:type="dxa"/>
            <w:tcBorders>
              <w:top w:val="single" w:sz="4" w:space="0" w:color="auto"/>
              <w:left w:val="nil"/>
              <w:bottom w:val="single" w:sz="4" w:space="0" w:color="auto"/>
              <w:right w:val="single" w:sz="4" w:space="0" w:color="auto"/>
            </w:tcBorders>
            <w:shd w:val="clear" w:color="auto" w:fill="C6EFCE"/>
            <w:noWrap/>
            <w:hideMark/>
          </w:tcPr>
          <w:p w14:paraId="35DCCA5D"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21–5.2. REPowerEU investeeringud – 16996_Energia salvestamise paigaldamine taastuvate energiaallikate täiendavaks kasutuselevõtuks</w:t>
            </w:r>
          </w:p>
        </w:tc>
        <w:tc>
          <w:tcPr>
            <w:tcW w:w="1690" w:type="dxa"/>
            <w:tcBorders>
              <w:top w:val="single" w:sz="4" w:space="0" w:color="auto"/>
              <w:left w:val="nil"/>
              <w:bottom w:val="single" w:sz="4" w:space="0" w:color="auto"/>
              <w:right w:val="single" w:sz="4" w:space="0" w:color="auto"/>
            </w:tcBorders>
            <w:shd w:val="clear" w:color="auto" w:fill="C6EFCE"/>
            <w:noWrap/>
            <w:hideMark/>
          </w:tcPr>
          <w:p w14:paraId="724C154B" w14:textId="77777777"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single" w:sz="4" w:space="0" w:color="auto"/>
              <w:left w:val="nil"/>
              <w:bottom w:val="single" w:sz="4" w:space="0" w:color="auto"/>
              <w:right w:val="single" w:sz="4" w:space="0" w:color="auto"/>
            </w:tcBorders>
            <w:shd w:val="clear" w:color="auto" w:fill="C6EFCE"/>
            <w:noWrap/>
            <w:hideMark/>
          </w:tcPr>
          <w:p w14:paraId="6BD9D155" w14:textId="77777777"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Ladustamisrajatiste lõpuleviimine</w:t>
            </w:r>
          </w:p>
        </w:tc>
      </w:tr>
      <w:tr w:rsidR="006E0EA2" w:rsidRPr="003B132A" w14:paraId="5207ADD0" w14:textId="77777777" w:rsidTr="00445A7D">
        <w:trPr>
          <w:trHeight w:val="302"/>
        </w:trPr>
        <w:tc>
          <w:tcPr>
            <w:tcW w:w="1803" w:type="dxa"/>
            <w:tcBorders>
              <w:top w:val="single" w:sz="4" w:space="0" w:color="auto"/>
              <w:left w:val="single" w:sz="4" w:space="0" w:color="auto"/>
              <w:bottom w:val="single" w:sz="4" w:space="0" w:color="auto"/>
              <w:right w:val="single" w:sz="4" w:space="0" w:color="auto"/>
            </w:tcBorders>
            <w:shd w:val="clear" w:color="auto" w:fill="C6EFCE"/>
            <w:noWrap/>
            <w:hideMark/>
          </w:tcPr>
          <w:p w14:paraId="31C9B960"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369</w:t>
            </w:r>
          </w:p>
        </w:tc>
        <w:tc>
          <w:tcPr>
            <w:tcW w:w="4281" w:type="dxa"/>
            <w:tcBorders>
              <w:top w:val="single" w:sz="4" w:space="0" w:color="auto"/>
              <w:left w:val="nil"/>
              <w:bottom w:val="single" w:sz="4" w:space="0" w:color="auto"/>
              <w:right w:val="single" w:sz="4" w:space="0" w:color="auto"/>
            </w:tcBorders>
            <w:shd w:val="clear" w:color="auto" w:fill="C6EFCE"/>
            <w:noWrap/>
            <w:hideMark/>
          </w:tcPr>
          <w:p w14:paraId="22D9783C"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21–5.2. REPowerEU investeeringud – 16994_Energiatõhusus ja taastuvate energiaallikate edendamine oma tarbeks</w:t>
            </w:r>
          </w:p>
        </w:tc>
        <w:tc>
          <w:tcPr>
            <w:tcW w:w="1690" w:type="dxa"/>
            <w:tcBorders>
              <w:top w:val="single" w:sz="4" w:space="0" w:color="auto"/>
              <w:left w:val="nil"/>
              <w:bottom w:val="single" w:sz="4" w:space="0" w:color="auto"/>
              <w:right w:val="single" w:sz="4" w:space="0" w:color="auto"/>
            </w:tcBorders>
            <w:shd w:val="clear" w:color="auto" w:fill="C6EFCE"/>
            <w:noWrap/>
            <w:hideMark/>
          </w:tcPr>
          <w:p w14:paraId="0BE65FE8" w14:textId="77777777"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single" w:sz="4" w:space="0" w:color="auto"/>
              <w:left w:val="nil"/>
              <w:bottom w:val="single" w:sz="4" w:space="0" w:color="auto"/>
              <w:right w:val="single" w:sz="4" w:space="0" w:color="auto"/>
            </w:tcBorders>
            <w:shd w:val="clear" w:color="auto" w:fill="C6EFCE"/>
            <w:noWrap/>
            <w:hideMark/>
          </w:tcPr>
          <w:p w14:paraId="1FF9ED0C" w14:textId="77777777"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Energiatõhususe parandamise allinvesteeringute, päikeseveesoojendite ning kohalike vee- ja kanalisatsiooniettevõtete lõpuleviimine</w:t>
            </w:r>
          </w:p>
        </w:tc>
      </w:tr>
      <w:tr w:rsidR="006E0EA2" w:rsidRPr="003B132A" w14:paraId="49EEC900" w14:textId="77777777" w:rsidTr="00445A7D">
        <w:trPr>
          <w:trHeight w:val="302"/>
        </w:trPr>
        <w:tc>
          <w:tcPr>
            <w:tcW w:w="1803" w:type="dxa"/>
            <w:tcBorders>
              <w:top w:val="single" w:sz="4" w:space="0" w:color="auto"/>
              <w:left w:val="single" w:sz="4" w:space="0" w:color="auto"/>
              <w:bottom w:val="single" w:sz="4" w:space="0" w:color="auto"/>
              <w:right w:val="single" w:sz="4" w:space="0" w:color="auto"/>
            </w:tcBorders>
            <w:shd w:val="clear" w:color="auto" w:fill="C6EFCE"/>
            <w:noWrap/>
            <w:hideMark/>
          </w:tcPr>
          <w:p w14:paraId="0BA3F735"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371</w:t>
            </w:r>
          </w:p>
        </w:tc>
        <w:tc>
          <w:tcPr>
            <w:tcW w:w="4281" w:type="dxa"/>
            <w:tcBorders>
              <w:top w:val="single" w:sz="4" w:space="0" w:color="auto"/>
              <w:left w:val="nil"/>
              <w:bottom w:val="single" w:sz="4" w:space="0" w:color="auto"/>
              <w:right w:val="single" w:sz="4" w:space="0" w:color="auto"/>
            </w:tcBorders>
            <w:shd w:val="clear" w:color="auto" w:fill="C6EFCE"/>
            <w:noWrap/>
            <w:hideMark/>
          </w:tcPr>
          <w:p w14:paraId="2C4F5C49"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21–5.2. REPowerEU investeeringud – 16995_Biometaani ja taastuvallikatest toodetud vesiniku tootmise katseprojektid</w:t>
            </w:r>
          </w:p>
        </w:tc>
        <w:tc>
          <w:tcPr>
            <w:tcW w:w="1690" w:type="dxa"/>
            <w:tcBorders>
              <w:top w:val="single" w:sz="4" w:space="0" w:color="auto"/>
              <w:left w:val="nil"/>
              <w:bottom w:val="single" w:sz="4" w:space="0" w:color="auto"/>
              <w:right w:val="single" w:sz="4" w:space="0" w:color="auto"/>
            </w:tcBorders>
            <w:shd w:val="clear" w:color="auto" w:fill="C6EFCE"/>
            <w:noWrap/>
            <w:hideMark/>
          </w:tcPr>
          <w:p w14:paraId="7B94208D" w14:textId="77777777"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Siht</w:t>
            </w:r>
          </w:p>
        </w:tc>
        <w:tc>
          <w:tcPr>
            <w:tcW w:w="2046" w:type="dxa"/>
            <w:tcBorders>
              <w:top w:val="single" w:sz="4" w:space="0" w:color="auto"/>
              <w:left w:val="nil"/>
              <w:bottom w:val="single" w:sz="4" w:space="0" w:color="auto"/>
              <w:right w:val="single" w:sz="4" w:space="0" w:color="auto"/>
            </w:tcBorders>
            <w:shd w:val="clear" w:color="auto" w:fill="C6EFCE"/>
            <w:noWrap/>
            <w:hideMark/>
          </w:tcPr>
          <w:p w14:paraId="7CB1BEB9" w14:textId="77777777"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Täiendav taastuvallikatest toodetud vesiniku ja taastuvallikatest toodetud gaasi tootmisvõimsus</w:t>
            </w:r>
          </w:p>
        </w:tc>
      </w:tr>
      <w:tr w:rsidR="006E0EA2" w:rsidRPr="003B132A" w14:paraId="2014909B" w14:textId="77777777" w:rsidTr="00445A7D">
        <w:trPr>
          <w:trHeight w:val="302"/>
        </w:trPr>
        <w:tc>
          <w:tcPr>
            <w:tcW w:w="1803" w:type="dxa"/>
            <w:tcBorders>
              <w:top w:val="single" w:sz="4" w:space="0" w:color="auto"/>
              <w:left w:val="single" w:sz="4" w:space="0" w:color="auto"/>
              <w:bottom w:val="single" w:sz="4" w:space="0" w:color="auto"/>
              <w:right w:val="single" w:sz="4" w:space="0" w:color="auto"/>
            </w:tcBorders>
            <w:shd w:val="clear" w:color="auto" w:fill="C6EFCE"/>
            <w:noWrap/>
            <w:vAlign w:val="bottom"/>
            <w:hideMark/>
          </w:tcPr>
          <w:p w14:paraId="68A1E056"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373</w:t>
            </w:r>
          </w:p>
        </w:tc>
        <w:tc>
          <w:tcPr>
            <w:tcW w:w="4281" w:type="dxa"/>
            <w:tcBorders>
              <w:top w:val="single" w:sz="4" w:space="0" w:color="auto"/>
              <w:left w:val="nil"/>
              <w:bottom w:val="single" w:sz="4" w:space="0" w:color="auto"/>
              <w:right w:val="single" w:sz="4" w:space="0" w:color="auto"/>
            </w:tcBorders>
            <w:shd w:val="clear" w:color="auto" w:fill="C6EFCE"/>
            <w:noWrap/>
            <w:vAlign w:val="bottom"/>
            <w:hideMark/>
          </w:tcPr>
          <w:p w14:paraId="25282D31"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21–5.2. REPowerEU investeeringud – 16997_Süsinikdioksiidi kogumise ja säilitamise tehnoloogia edendamine tööstuse CO</w:t>
            </w:r>
            <w:r>
              <w:rPr>
                <w:rFonts w:ascii="Times New Roman" w:hAnsi="Times New Roman"/>
                <w:noProof/>
                <w:sz w:val="18"/>
                <w:vertAlign w:val="subscript"/>
              </w:rPr>
              <w:t>2</w:t>
            </w:r>
            <w:r>
              <w:rPr>
                <w:rFonts w:ascii="Times New Roman" w:hAnsi="Times New Roman"/>
                <w:noProof/>
                <w:sz w:val="18"/>
              </w:rPr>
              <w:t xml:space="preserve"> heite vähendamiseks</w:t>
            </w:r>
          </w:p>
        </w:tc>
        <w:tc>
          <w:tcPr>
            <w:tcW w:w="1690" w:type="dxa"/>
            <w:tcBorders>
              <w:top w:val="single" w:sz="4" w:space="0" w:color="auto"/>
              <w:left w:val="nil"/>
              <w:bottom w:val="single" w:sz="4" w:space="0" w:color="auto"/>
              <w:right w:val="single" w:sz="4" w:space="0" w:color="auto"/>
            </w:tcBorders>
            <w:shd w:val="clear" w:color="auto" w:fill="C6EFCE"/>
            <w:noWrap/>
            <w:vAlign w:val="bottom"/>
            <w:hideMark/>
          </w:tcPr>
          <w:p w14:paraId="115A8480" w14:textId="77777777"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Eesmärk</w:t>
            </w:r>
          </w:p>
        </w:tc>
        <w:tc>
          <w:tcPr>
            <w:tcW w:w="2046" w:type="dxa"/>
            <w:tcBorders>
              <w:top w:val="single" w:sz="4" w:space="0" w:color="auto"/>
              <w:left w:val="nil"/>
              <w:bottom w:val="single" w:sz="4" w:space="0" w:color="auto"/>
              <w:right w:val="single" w:sz="4" w:space="0" w:color="auto"/>
            </w:tcBorders>
            <w:shd w:val="clear" w:color="auto" w:fill="C6EFCE"/>
            <w:noWrap/>
            <w:vAlign w:val="bottom"/>
            <w:hideMark/>
          </w:tcPr>
          <w:p w14:paraId="5899D1DA" w14:textId="77777777"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Investeeringutega seotud tööde lõpuleviimine</w:t>
            </w:r>
          </w:p>
        </w:tc>
      </w:tr>
      <w:tr w:rsidR="006E0EA2" w14:paraId="4220C52A" w14:textId="77777777" w:rsidTr="00445A7D">
        <w:trPr>
          <w:trHeight w:val="302"/>
        </w:trPr>
        <w:tc>
          <w:tcPr>
            <w:tcW w:w="180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4FFC602D"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lang w:val="en-GB" w:eastAsia="en-GB"/>
              </w:rPr>
            </w:pPr>
          </w:p>
        </w:tc>
        <w:tc>
          <w:tcPr>
            <w:tcW w:w="4281" w:type="dxa"/>
            <w:tcBorders>
              <w:top w:val="single" w:sz="4" w:space="0" w:color="auto"/>
              <w:left w:val="nil"/>
              <w:bottom w:val="single" w:sz="4" w:space="0" w:color="auto"/>
              <w:right w:val="single" w:sz="4" w:space="0" w:color="auto"/>
            </w:tcBorders>
            <w:shd w:val="clear" w:color="auto" w:fill="C6EFCE"/>
            <w:noWrap/>
            <w:vAlign w:val="bottom"/>
          </w:tcPr>
          <w:p w14:paraId="20027E55" w14:textId="77777777" w:rsidR="00275DFC" w:rsidRDefault="00275DFC" w:rsidP="006E0EA2">
            <w:pPr>
              <w:keepNext/>
              <w:spacing w:before="40" w:after="0" w:line="256" w:lineRule="auto"/>
              <w:jc w:val="both"/>
              <w:rPr>
                <w:rFonts w:ascii="Times New Roman" w:eastAsia="Times New Roman" w:hAnsi="Times New Roman" w:cs="Times New Roman"/>
                <w:bCs/>
                <w:noProof/>
                <w:sz w:val="18"/>
                <w:szCs w:val="18"/>
                <w:lang w:val="en-GB" w:eastAsia="en-GB"/>
              </w:rPr>
            </w:pPr>
          </w:p>
        </w:tc>
        <w:tc>
          <w:tcPr>
            <w:tcW w:w="1690" w:type="dxa"/>
            <w:tcBorders>
              <w:top w:val="single" w:sz="4" w:space="0" w:color="auto"/>
              <w:left w:val="nil"/>
              <w:bottom w:val="single" w:sz="4" w:space="0" w:color="auto"/>
              <w:right w:val="single" w:sz="4" w:space="0" w:color="auto"/>
            </w:tcBorders>
            <w:shd w:val="clear" w:color="auto" w:fill="C6EFCE"/>
            <w:noWrap/>
            <w:vAlign w:val="bottom"/>
            <w:hideMark/>
          </w:tcPr>
          <w:p w14:paraId="1AB55082" w14:textId="77777777"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2046" w:type="dxa"/>
            <w:tcBorders>
              <w:top w:val="single" w:sz="4" w:space="0" w:color="auto"/>
              <w:left w:val="nil"/>
              <w:bottom w:val="single" w:sz="4" w:space="0" w:color="auto"/>
              <w:right w:val="single" w:sz="4" w:space="0" w:color="auto"/>
            </w:tcBorders>
            <w:shd w:val="clear" w:color="auto" w:fill="C6EFCE"/>
            <w:noWrap/>
            <w:vAlign w:val="bottom"/>
            <w:hideMark/>
          </w:tcPr>
          <w:p w14:paraId="38DE4599" w14:textId="01AE901B" w:rsidR="00275DFC" w:rsidRDefault="00275DFC" w:rsidP="006E0EA2">
            <w:pPr>
              <w:keepNext/>
              <w:spacing w:before="40" w:after="0" w:line="256" w:lineRule="auto"/>
              <w:jc w:val="both"/>
              <w:rPr>
                <w:rFonts w:ascii="Times New Roman" w:eastAsia="Times New Roman" w:hAnsi="Times New Roman" w:cs="Times New Roman"/>
                <w:noProof/>
                <w:sz w:val="18"/>
                <w:szCs w:val="18"/>
              </w:rPr>
            </w:pPr>
            <w:r>
              <w:rPr>
                <w:rFonts w:ascii="Times New Roman" w:hAnsi="Times New Roman"/>
                <w:noProof/>
                <w:sz w:val="18"/>
              </w:rPr>
              <w:t>3 499 999 999 eurot</w:t>
            </w:r>
          </w:p>
        </w:tc>
      </w:tr>
    </w:tbl>
    <w:p w14:paraId="7E38BA24" w14:textId="77777777" w:rsidR="00A70BCF" w:rsidRPr="006E0EA2" w:rsidRDefault="00A70BCF" w:rsidP="006E0EA2">
      <w:pPr>
        <w:keepNext/>
        <w:spacing w:before="40" w:after="160" w:line="259" w:lineRule="auto"/>
        <w:contextualSpacing/>
        <w:jc w:val="both"/>
        <w:rPr>
          <w:rFonts w:ascii="Times New Roman" w:hAnsi="Times New Roman"/>
          <w:noProof/>
          <w:sz w:val="24"/>
          <w:lang w:val="en-GB"/>
        </w:rPr>
      </w:pPr>
    </w:p>
    <w:p w14:paraId="6149E7C5" w14:textId="77777777" w:rsidR="00A70BCF" w:rsidRPr="006E0EA2" w:rsidRDefault="00A70BCF" w:rsidP="00A70BCF">
      <w:pPr>
        <w:keepNext/>
        <w:spacing w:before="40" w:after="160" w:line="259" w:lineRule="auto"/>
        <w:contextualSpacing/>
        <w:jc w:val="both"/>
        <w:rPr>
          <w:rFonts w:ascii="Times New Roman" w:hAnsi="Times New Roman"/>
          <w:noProof/>
          <w:sz w:val="24"/>
          <w:lang w:val="en-GB"/>
        </w:rPr>
      </w:pPr>
    </w:p>
    <w:p w14:paraId="6B4D5199" w14:textId="77777777" w:rsidR="00B430F0" w:rsidRPr="00E02B5D" w:rsidRDefault="00B430F0" w:rsidP="00645BC7">
      <w:pPr>
        <w:keepNext/>
        <w:spacing w:before="40" w:after="0" w:line="259" w:lineRule="auto"/>
        <w:jc w:val="both"/>
        <w:rPr>
          <w:rFonts w:ascii="Times New Roman" w:eastAsia="Times New Roman" w:hAnsi="Times New Roman" w:cs="Times New Roman"/>
          <w:bCs/>
          <w:noProof/>
          <w:sz w:val="18"/>
          <w:szCs w:val="18"/>
          <w:lang w:val="en-GB"/>
        </w:rPr>
      </w:pPr>
    </w:p>
    <w:p w14:paraId="10403D0B" w14:textId="2377B999" w:rsidR="00884660" w:rsidRDefault="00884660">
      <w:pPr>
        <w:rPr>
          <w:rFonts w:ascii="Times New Roman" w:eastAsia="Times New Roman" w:hAnsi="Times New Roman" w:cs="Times New Roman"/>
          <w:noProof/>
          <w:sz w:val="18"/>
          <w:szCs w:val="18"/>
        </w:rPr>
      </w:pPr>
      <w:r>
        <w:rPr>
          <w:noProof/>
        </w:rPr>
        <w:br w:type="page"/>
      </w:r>
    </w:p>
    <w:p w14:paraId="4317E904" w14:textId="77777777" w:rsidR="00B430F0" w:rsidRPr="00E02B5D" w:rsidRDefault="00B430F0" w:rsidP="00645BC7">
      <w:pPr>
        <w:keepNext/>
        <w:spacing w:before="40" w:after="160" w:line="259" w:lineRule="auto"/>
        <w:contextualSpacing/>
        <w:jc w:val="both"/>
        <w:rPr>
          <w:rFonts w:ascii="Times New Roman" w:eastAsia="Times New Roman" w:hAnsi="Times New Roman" w:cs="Times New Roman"/>
          <w:noProof/>
          <w:sz w:val="18"/>
          <w:szCs w:val="18"/>
          <w:lang w:val="en-GB"/>
        </w:rPr>
      </w:pPr>
    </w:p>
    <w:p w14:paraId="0B727630" w14:textId="77777777" w:rsidR="00B430F0" w:rsidRPr="00E02B5D" w:rsidRDefault="00B430F0" w:rsidP="00DE1EE5">
      <w:pPr>
        <w:keepNext/>
        <w:numPr>
          <w:ilvl w:val="0"/>
          <w:numId w:val="22"/>
        </w:numPr>
        <w:spacing w:before="40" w:after="0" w:line="259" w:lineRule="auto"/>
        <w:ind w:left="0"/>
        <w:jc w:val="both"/>
        <w:outlineLvl w:val="1"/>
        <w:rPr>
          <w:rFonts w:ascii="Times New Roman" w:eastAsia="Times New Roman" w:hAnsi="Times New Roman" w:cs="Times New Roman"/>
          <w:b/>
          <w:noProof/>
          <w:sz w:val="24"/>
          <w:u w:val="single"/>
        </w:rPr>
      </w:pPr>
      <w:r>
        <w:rPr>
          <w:rFonts w:ascii="Times New Roman" w:hAnsi="Times New Roman"/>
          <w:b/>
          <w:noProof/>
          <w:sz w:val="24"/>
          <w:u w:val="single"/>
        </w:rPr>
        <w:t xml:space="preserve">Laen </w:t>
      </w:r>
    </w:p>
    <w:p w14:paraId="6D3B7CCE" w14:textId="77777777" w:rsidR="00B430F0" w:rsidRPr="006E0EA2" w:rsidRDefault="00B430F0" w:rsidP="006E0EA2">
      <w:pPr>
        <w:keepNext/>
        <w:spacing w:before="40" w:after="0" w:line="259" w:lineRule="auto"/>
        <w:jc w:val="both"/>
        <w:outlineLvl w:val="1"/>
        <w:rPr>
          <w:rFonts w:ascii="Times New Roman" w:hAnsi="Times New Roman"/>
          <w:b/>
          <w:noProof/>
          <w:sz w:val="24"/>
          <w:u w:val="single"/>
        </w:rPr>
      </w:pPr>
      <w:r>
        <w:rPr>
          <w:rFonts w:ascii="Times New Roman" w:hAnsi="Times New Roman"/>
          <w:noProof/>
          <w:sz w:val="24"/>
        </w:rPr>
        <w:t>Artikli 3 lõikes 2 osutatud osamaksed korraldatakse järgmiselt.</w:t>
      </w:r>
    </w:p>
    <w:p w14:paraId="1E2FEEB6" w14:textId="77777777" w:rsidR="00B430F0" w:rsidRPr="00AD4052" w:rsidRDefault="00B430F0" w:rsidP="00645BC7">
      <w:pPr>
        <w:keepNext/>
        <w:spacing w:before="120" w:after="160" w:line="259" w:lineRule="auto"/>
        <w:contextualSpacing/>
        <w:jc w:val="both"/>
        <w:rPr>
          <w:rFonts w:ascii="Times New Roman" w:eastAsia="Times New Roman" w:hAnsi="Times New Roman" w:cs="Times New Roman"/>
          <w:bCs/>
          <w:noProof/>
          <w:sz w:val="24"/>
          <w:szCs w:val="24"/>
        </w:rPr>
      </w:pPr>
    </w:p>
    <w:p w14:paraId="2FE589F8"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Esimene osamakse (laenutoetus): </w:t>
      </w:r>
    </w:p>
    <w:tbl>
      <w:tblPr>
        <w:tblW w:w="9535" w:type="dxa"/>
        <w:tblInd w:w="113" w:type="dxa"/>
        <w:tblLook w:val="04A0" w:firstRow="1" w:lastRow="0" w:firstColumn="1" w:lastColumn="0" w:noHBand="0" w:noVBand="1"/>
      </w:tblPr>
      <w:tblGrid>
        <w:gridCol w:w="1804"/>
        <w:gridCol w:w="4283"/>
        <w:gridCol w:w="1692"/>
        <w:gridCol w:w="1756"/>
      </w:tblGrid>
      <w:tr w:rsidR="00B430F0" w:rsidRPr="00E02B5D" w14:paraId="30A3E3CB" w14:textId="77777777" w:rsidTr="00D16F13">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3EABE5F"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F95FCBB"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80D70F2"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26B2B3AE"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1B889A37" w14:textId="77777777" w:rsidTr="00D16F13">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1A66A476"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24"/>
                <w:szCs w:val="26"/>
                <w:lang w:val="en-GB"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6EC001CE"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24"/>
                <w:szCs w:val="26"/>
                <w:lang w:val="en-GB"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57122BDA"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24"/>
                <w:szCs w:val="26"/>
                <w:lang w:val="en-GB" w:eastAsia="en-GB"/>
              </w:rPr>
            </w:pPr>
          </w:p>
        </w:tc>
        <w:tc>
          <w:tcPr>
            <w:tcW w:w="1756" w:type="dxa"/>
            <w:vMerge/>
            <w:tcBorders>
              <w:top w:val="single" w:sz="4" w:space="0" w:color="auto"/>
              <w:left w:val="nil"/>
              <w:bottom w:val="single" w:sz="4" w:space="0" w:color="000000"/>
              <w:right w:val="single" w:sz="4" w:space="0" w:color="auto"/>
            </w:tcBorders>
            <w:vAlign w:val="center"/>
            <w:hideMark/>
          </w:tcPr>
          <w:p w14:paraId="6F293950"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24"/>
                <w:szCs w:val="26"/>
                <w:lang w:val="en-GB" w:eastAsia="en-GB"/>
              </w:rPr>
            </w:pPr>
          </w:p>
        </w:tc>
      </w:tr>
      <w:tr w:rsidR="00B430F0" w:rsidRPr="00E02B5D" w14:paraId="71159799"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290F609"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320</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6E3BB11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4.7. Parandada konkurentsivõimet ning edendada erainvesteeringuid ja eksporti – 16980_RRP laenurahastu</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030619A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1C11C74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Tegevuskokkulepped rahvusvaheliste finantsasutustega</w:t>
            </w:r>
          </w:p>
        </w:tc>
      </w:tr>
      <w:tr w:rsidR="00B430F0" w:rsidRPr="003B132A" w14:paraId="722F998C"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14:paraId="6465C60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321</w:t>
            </w:r>
          </w:p>
        </w:tc>
        <w:tc>
          <w:tcPr>
            <w:tcW w:w="4283" w:type="dxa"/>
            <w:tcBorders>
              <w:top w:val="nil"/>
              <w:left w:val="nil"/>
              <w:bottom w:val="single" w:sz="4" w:space="0" w:color="auto"/>
              <w:right w:val="single" w:sz="4" w:space="0" w:color="auto"/>
            </w:tcBorders>
            <w:shd w:val="clear" w:color="000000" w:fill="C6EFCE"/>
            <w:noWrap/>
            <w:vAlign w:val="center"/>
            <w:hideMark/>
          </w:tcPr>
          <w:p w14:paraId="2F6A3DA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4.7. Parandada konkurentsivõimet ning edendada erainvesteeringuid ja eksporti – 16980_RRP laenurahastu</w:t>
            </w:r>
          </w:p>
        </w:tc>
        <w:tc>
          <w:tcPr>
            <w:tcW w:w="1692" w:type="dxa"/>
            <w:tcBorders>
              <w:top w:val="nil"/>
              <w:left w:val="nil"/>
              <w:bottom w:val="single" w:sz="4" w:space="0" w:color="auto"/>
              <w:right w:val="single" w:sz="4" w:space="0" w:color="auto"/>
            </w:tcBorders>
            <w:shd w:val="clear" w:color="000000" w:fill="C6EFCE"/>
            <w:noWrap/>
            <w:vAlign w:val="center"/>
            <w:hideMark/>
          </w:tcPr>
          <w:p w14:paraId="19CB097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56" w:type="dxa"/>
            <w:tcBorders>
              <w:top w:val="nil"/>
              <w:left w:val="nil"/>
              <w:bottom w:val="single" w:sz="4" w:space="0" w:color="auto"/>
              <w:right w:val="single" w:sz="4" w:space="0" w:color="auto"/>
            </w:tcBorders>
            <w:shd w:val="clear" w:color="000000" w:fill="C6EFCE"/>
            <w:noWrap/>
            <w:vAlign w:val="center"/>
            <w:hideMark/>
          </w:tcPr>
          <w:p w14:paraId="1D376BC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Kommertspankade projektikonkursi algatamine</w:t>
            </w:r>
          </w:p>
        </w:tc>
      </w:tr>
      <w:tr w:rsidR="00B430F0" w:rsidRPr="00E02B5D" w14:paraId="20B304C6"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722764A"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7020B40B"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31A80EEC"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17513034"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2 121 256 487 eurot</w:t>
            </w:r>
          </w:p>
        </w:tc>
      </w:tr>
    </w:tbl>
    <w:p w14:paraId="0ECAD728" w14:textId="77777777" w:rsidR="00B430F0" w:rsidRPr="00E02B5D" w:rsidRDefault="00B430F0" w:rsidP="00645BC7">
      <w:pPr>
        <w:keepNext/>
        <w:spacing w:before="120" w:after="160" w:line="259" w:lineRule="auto"/>
        <w:ind w:hanging="360"/>
        <w:contextualSpacing/>
        <w:jc w:val="both"/>
        <w:rPr>
          <w:rFonts w:ascii="Times New Roman" w:eastAsia="Times New Roman" w:hAnsi="Times New Roman" w:cs="Times New Roman"/>
          <w:bCs/>
          <w:noProof/>
          <w:sz w:val="24"/>
          <w:szCs w:val="24"/>
          <w:lang w:val="en-GB"/>
        </w:rPr>
      </w:pPr>
    </w:p>
    <w:p w14:paraId="16ACC7FD"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Teine osamakse (laenutoetus): </w:t>
      </w:r>
    </w:p>
    <w:tbl>
      <w:tblPr>
        <w:tblW w:w="9535" w:type="dxa"/>
        <w:tblInd w:w="113" w:type="dxa"/>
        <w:tblLook w:val="04A0" w:firstRow="1" w:lastRow="0" w:firstColumn="1" w:lastColumn="0" w:noHBand="0" w:noVBand="1"/>
      </w:tblPr>
      <w:tblGrid>
        <w:gridCol w:w="1804"/>
        <w:gridCol w:w="4283"/>
        <w:gridCol w:w="1692"/>
        <w:gridCol w:w="1816"/>
      </w:tblGrid>
      <w:tr w:rsidR="00B430F0" w:rsidRPr="00E02B5D" w14:paraId="0508890F" w14:textId="77777777" w:rsidTr="00D16F13">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D81000F"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8EC46C5"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B63CF33"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3F10DD5A"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3BC7DAE8" w14:textId="77777777" w:rsidTr="00D16F13">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337EC33D"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2114DD3E"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38786472"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56" w:type="dxa"/>
            <w:vMerge/>
            <w:tcBorders>
              <w:top w:val="single" w:sz="4" w:space="0" w:color="auto"/>
              <w:left w:val="nil"/>
              <w:bottom w:val="single" w:sz="4" w:space="0" w:color="000000"/>
              <w:right w:val="single" w:sz="4" w:space="0" w:color="auto"/>
            </w:tcBorders>
            <w:vAlign w:val="center"/>
            <w:hideMark/>
          </w:tcPr>
          <w:p w14:paraId="7DB249D8"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B430F0" w:rsidRPr="00E02B5D" w14:paraId="3E95F9B5"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D25BE6F"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322</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2C07A575"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4.7. Parandada konkurentsivõimet ning edendada erainvesteeringuid ja eksporti – 16980_RRP laenurahastu</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3C633A2B"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45BB541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Omakapitali platvormi leping</w:t>
            </w:r>
          </w:p>
        </w:tc>
      </w:tr>
      <w:tr w:rsidR="00B430F0" w:rsidRPr="00E02B5D" w14:paraId="343B3577"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A995831"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323</w:t>
            </w:r>
          </w:p>
        </w:tc>
        <w:tc>
          <w:tcPr>
            <w:tcW w:w="4283" w:type="dxa"/>
            <w:tcBorders>
              <w:top w:val="nil"/>
              <w:left w:val="nil"/>
              <w:bottom w:val="single" w:sz="4" w:space="0" w:color="auto"/>
              <w:right w:val="single" w:sz="4" w:space="0" w:color="auto"/>
            </w:tcBorders>
            <w:shd w:val="clear" w:color="000000" w:fill="C6EFCE"/>
            <w:noWrap/>
            <w:vAlign w:val="center"/>
          </w:tcPr>
          <w:p w14:paraId="07D91590"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4.7. Parandada konkurentsivõimet ning edendada erainvesteeringuid ja eksporti – 16980_RRP laenurahastu</w:t>
            </w:r>
          </w:p>
        </w:tc>
        <w:tc>
          <w:tcPr>
            <w:tcW w:w="1692" w:type="dxa"/>
            <w:tcBorders>
              <w:top w:val="nil"/>
              <w:left w:val="nil"/>
              <w:bottom w:val="single" w:sz="4" w:space="0" w:color="auto"/>
              <w:right w:val="single" w:sz="4" w:space="0" w:color="auto"/>
            </w:tcBorders>
            <w:shd w:val="clear" w:color="000000" w:fill="C6EFCE"/>
            <w:noWrap/>
            <w:vAlign w:val="center"/>
          </w:tcPr>
          <w:p w14:paraId="2E1CECE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56" w:type="dxa"/>
            <w:tcBorders>
              <w:top w:val="nil"/>
              <w:left w:val="nil"/>
              <w:bottom w:val="single" w:sz="4" w:space="0" w:color="auto"/>
              <w:right w:val="single" w:sz="4" w:space="0" w:color="auto"/>
            </w:tcBorders>
            <w:shd w:val="clear" w:color="000000" w:fill="C6EFCE"/>
            <w:noWrap/>
            <w:vAlign w:val="center"/>
          </w:tcPr>
          <w:p w14:paraId="26B977F2"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InvestEU toetusleping</w:t>
            </w:r>
          </w:p>
        </w:tc>
      </w:tr>
      <w:tr w:rsidR="00B430F0" w:rsidRPr="003B132A" w14:paraId="6D83C2BF" w14:textId="77777777" w:rsidTr="00D16F13">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E7ED2B2"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324</w:t>
            </w:r>
          </w:p>
        </w:tc>
        <w:tc>
          <w:tcPr>
            <w:tcW w:w="4283" w:type="dxa"/>
            <w:tcBorders>
              <w:top w:val="nil"/>
              <w:left w:val="nil"/>
              <w:bottom w:val="single" w:sz="4" w:space="0" w:color="auto"/>
              <w:right w:val="single" w:sz="4" w:space="0" w:color="auto"/>
            </w:tcBorders>
            <w:shd w:val="clear" w:color="000000" w:fill="C6EFCE"/>
            <w:noWrap/>
            <w:vAlign w:val="center"/>
          </w:tcPr>
          <w:p w14:paraId="4265E6E8"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4.7. Parandada konkurentsivõimet ning edendada erainvesteeringuid ja eksporti – 16980_RRP laenurahastu</w:t>
            </w:r>
          </w:p>
        </w:tc>
        <w:tc>
          <w:tcPr>
            <w:tcW w:w="1692" w:type="dxa"/>
            <w:tcBorders>
              <w:top w:val="nil"/>
              <w:left w:val="nil"/>
              <w:bottom w:val="single" w:sz="4" w:space="0" w:color="auto"/>
              <w:right w:val="single" w:sz="4" w:space="0" w:color="auto"/>
            </w:tcBorders>
            <w:shd w:val="clear" w:color="000000" w:fill="C6EFCE"/>
            <w:noWrap/>
            <w:vAlign w:val="center"/>
          </w:tcPr>
          <w:p w14:paraId="5A582FD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756" w:type="dxa"/>
            <w:tcBorders>
              <w:top w:val="nil"/>
              <w:left w:val="nil"/>
              <w:bottom w:val="single" w:sz="4" w:space="0" w:color="auto"/>
              <w:right w:val="single" w:sz="4" w:space="0" w:color="auto"/>
            </w:tcBorders>
            <w:shd w:val="clear" w:color="000000" w:fill="C6EFCE"/>
            <w:noWrap/>
            <w:vAlign w:val="center"/>
          </w:tcPr>
          <w:p w14:paraId="04312C79"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586,4 miljonit eurot finantsinstitutsioonide vahendeid, mis on allkirjastatud lõplike abisaajatega</w:t>
            </w:r>
          </w:p>
        </w:tc>
      </w:tr>
      <w:tr w:rsidR="00B430F0" w:rsidRPr="00E02B5D" w14:paraId="1D382D67"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2D2FA57"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22DADD9C"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417462D8"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2900C2A6" w14:textId="77777777" w:rsidR="00B430F0" w:rsidRPr="00E02B5D" w:rsidRDefault="00B430F0" w:rsidP="00D16F13">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2 121 256 487 eurot</w:t>
            </w:r>
          </w:p>
        </w:tc>
      </w:tr>
    </w:tbl>
    <w:p w14:paraId="0F328CC2" w14:textId="77777777" w:rsidR="00B430F0" w:rsidRPr="00E02B5D" w:rsidRDefault="00B430F0" w:rsidP="00645BC7">
      <w:pPr>
        <w:keepNext/>
        <w:spacing w:before="40" w:after="160" w:line="259" w:lineRule="auto"/>
        <w:contextualSpacing/>
        <w:jc w:val="both"/>
        <w:rPr>
          <w:rFonts w:ascii="Times New Roman" w:eastAsia="Times New Roman" w:hAnsi="Times New Roman" w:cs="Times New Roman"/>
          <w:noProof/>
          <w:sz w:val="24"/>
          <w:lang w:val="en-GB"/>
        </w:rPr>
      </w:pPr>
    </w:p>
    <w:p w14:paraId="55343648" w14:textId="77777777" w:rsidR="00230F85" w:rsidRDefault="00230F85" w:rsidP="00DE1EE5">
      <w:pPr>
        <w:keepNext/>
        <w:numPr>
          <w:ilvl w:val="1"/>
          <w:numId w:val="22"/>
        </w:numPr>
        <w:spacing w:before="40" w:after="160" w:line="259" w:lineRule="auto"/>
        <w:ind w:left="0"/>
        <w:contextualSpacing/>
        <w:jc w:val="both"/>
        <w:rPr>
          <w:rFonts w:ascii="Times New Roman" w:hAnsi="Times New Roman"/>
          <w:noProof/>
          <w:sz w:val="24"/>
          <w:lang w:val="en-GB"/>
        </w:rPr>
        <w:sectPr w:rsidR="00230F85" w:rsidSect="00271D33">
          <w:headerReference w:type="even" r:id="rId452"/>
          <w:headerReference w:type="default" r:id="rId453"/>
          <w:footerReference w:type="even" r:id="rId454"/>
          <w:footerReference w:type="default" r:id="rId455"/>
          <w:headerReference w:type="first" r:id="rId456"/>
          <w:footerReference w:type="first" r:id="rId457"/>
          <w:pgSz w:w="11907" w:h="16839"/>
          <w:pgMar w:top="1134" w:right="1418" w:bottom="1134" w:left="1418" w:header="709" w:footer="468" w:gutter="0"/>
          <w:cols w:space="720"/>
          <w:docGrid w:linePitch="360"/>
        </w:sectPr>
      </w:pPr>
    </w:p>
    <w:p w14:paraId="4F1345E4"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Kolmas osamakse (laenutoetus): </w:t>
      </w:r>
    </w:p>
    <w:tbl>
      <w:tblPr>
        <w:tblW w:w="9535" w:type="dxa"/>
        <w:tblInd w:w="113" w:type="dxa"/>
        <w:tblLook w:val="04A0" w:firstRow="1" w:lastRow="0" w:firstColumn="1" w:lastColumn="0" w:noHBand="0" w:noVBand="1"/>
      </w:tblPr>
      <w:tblGrid>
        <w:gridCol w:w="1804"/>
        <w:gridCol w:w="4283"/>
        <w:gridCol w:w="1692"/>
        <w:gridCol w:w="1816"/>
      </w:tblGrid>
      <w:tr w:rsidR="00B430F0" w:rsidRPr="00E02B5D" w14:paraId="05BEE94B" w14:textId="77777777" w:rsidTr="00D16F13">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16D1E96"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23B2367"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1CA081F"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6EA68811"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510B9805" w14:textId="77777777" w:rsidTr="00D16F13">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08089221"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4BDAB216"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1FEED561"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56" w:type="dxa"/>
            <w:vMerge/>
            <w:tcBorders>
              <w:top w:val="single" w:sz="4" w:space="0" w:color="auto"/>
              <w:left w:val="nil"/>
              <w:bottom w:val="single" w:sz="4" w:space="0" w:color="000000"/>
              <w:right w:val="single" w:sz="4" w:space="0" w:color="auto"/>
            </w:tcBorders>
            <w:vAlign w:val="center"/>
            <w:hideMark/>
          </w:tcPr>
          <w:p w14:paraId="287CA67B"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B430F0" w:rsidRPr="003B132A" w14:paraId="64B1F130"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4D3E1C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325</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0F88EFE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4.7. Parandada konkurentsivõimet ning edendada erainvesteeringuid ja eksporti – 16980_RRP laenurahastu</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13682047"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1CAAEF7B" w14:textId="3D574E88"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3 518,4 miljonit eurot finantsinstitutsioonide vahendeid, mis on allkirjastatud lõplike abisaajatega</w:t>
            </w:r>
          </w:p>
        </w:tc>
      </w:tr>
      <w:tr w:rsidR="00B430F0" w:rsidRPr="00E02B5D" w14:paraId="53D82DEB"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97E9E6C"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299062DD"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lang w:val="en-GB"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232D72A8"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21945D9E"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2 121 256 487 eurot</w:t>
            </w:r>
          </w:p>
        </w:tc>
      </w:tr>
    </w:tbl>
    <w:p w14:paraId="27668111" w14:textId="77777777" w:rsidR="00B430F0" w:rsidRPr="00E02B5D" w:rsidRDefault="00B430F0" w:rsidP="00645BC7">
      <w:pPr>
        <w:keepNext/>
        <w:spacing w:before="40" w:after="0" w:line="259" w:lineRule="auto"/>
        <w:jc w:val="both"/>
        <w:rPr>
          <w:rFonts w:ascii="Times New Roman" w:eastAsia="Times New Roman" w:hAnsi="Times New Roman" w:cs="Times New Roman"/>
          <w:bCs/>
          <w:noProof/>
          <w:sz w:val="24"/>
          <w:szCs w:val="26"/>
          <w:lang w:val="en-GB"/>
        </w:rPr>
      </w:pPr>
    </w:p>
    <w:p w14:paraId="227223D9"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Neljas osamakse (laenutoetus): </w:t>
      </w:r>
    </w:p>
    <w:tbl>
      <w:tblPr>
        <w:tblW w:w="9535" w:type="dxa"/>
        <w:tblInd w:w="113" w:type="dxa"/>
        <w:tblLayout w:type="fixed"/>
        <w:tblLook w:val="04A0" w:firstRow="1" w:lastRow="0" w:firstColumn="1" w:lastColumn="0" w:noHBand="0" w:noVBand="1"/>
      </w:tblPr>
      <w:tblGrid>
        <w:gridCol w:w="1804"/>
        <w:gridCol w:w="4283"/>
        <w:gridCol w:w="1692"/>
        <w:gridCol w:w="1756"/>
      </w:tblGrid>
      <w:tr w:rsidR="007B4D63" w:rsidRPr="00E02B5D" w14:paraId="14E636A2" w14:textId="77777777" w:rsidTr="0045484A">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FD5F7EE" w14:textId="77777777" w:rsidR="00B430F0" w:rsidRPr="00E02B5D" w:rsidRDefault="00B430F0" w:rsidP="00230F85">
            <w:pPr>
              <w:keepNext/>
              <w:spacing w:before="40" w:after="0" w:line="259" w:lineRule="auto"/>
              <w:jc w:val="center"/>
              <w:rPr>
                <w:rFonts w:ascii="Times New Roman" w:eastAsia="Times New Roman" w:hAnsi="Times New Roman" w:cs="Times New Roman"/>
                <w:noProof/>
                <w:sz w:val="18"/>
                <w:szCs w:val="18"/>
              </w:rPr>
            </w:pPr>
            <w:bookmarkStart w:id="3" w:name="_Hlk150347477"/>
            <w:r>
              <w:rPr>
                <w:rFonts w:ascii="Times New Roman" w:hAnsi="Times New Roman"/>
                <w:noProof/>
                <w:sz w:val="18"/>
              </w:rPr>
              <w:t>Järjekorranumber</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E950C80" w14:textId="77777777" w:rsidR="00B430F0" w:rsidRPr="00E02B5D" w:rsidRDefault="00B430F0" w:rsidP="00230F85">
            <w:pPr>
              <w:keepNext/>
              <w:spacing w:before="40" w:after="0" w:line="259" w:lineRule="auto"/>
              <w:jc w:val="center"/>
              <w:rPr>
                <w:rFonts w:ascii="Times New Roman" w:eastAsia="Times New Roman" w:hAnsi="Times New Roman" w:cs="Times New Roman"/>
                <w:noProof/>
                <w:sz w:val="18"/>
                <w:szCs w:val="18"/>
              </w:rPr>
            </w:pPr>
            <w:r>
              <w:rPr>
                <w:rFonts w:ascii="Times New Roman" w:hAnsi="Times New Roman"/>
                <w:noProof/>
                <w:sz w:val="18"/>
              </w:rPr>
              <w:t>Seotud meede (reform või investeering)</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70D5654" w14:textId="77777777" w:rsidR="00B430F0" w:rsidRPr="00E02B5D" w:rsidRDefault="00B430F0" w:rsidP="00230F85">
            <w:pPr>
              <w:keepNext/>
              <w:spacing w:before="40" w:after="0" w:line="259" w:lineRule="auto"/>
              <w:jc w:val="center"/>
              <w:rPr>
                <w:rFonts w:ascii="Times New Roman" w:eastAsia="Times New Roman" w:hAnsi="Times New Roman" w:cs="Times New Roman"/>
                <w:noProof/>
                <w:sz w:val="18"/>
                <w:szCs w:val="18"/>
              </w:rPr>
            </w:pPr>
            <w:r>
              <w:rPr>
                <w:rFonts w:ascii="Times New Roman" w:hAnsi="Times New Roman"/>
                <w:noProof/>
                <w:sz w:val="18"/>
              </w:rPr>
              <w:t>Eesmärk / siht</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35B5A776" w14:textId="77777777" w:rsidR="00B430F0" w:rsidRPr="00E02B5D" w:rsidRDefault="00B430F0" w:rsidP="00230F85">
            <w:pPr>
              <w:keepNext/>
              <w:spacing w:before="40" w:after="0" w:line="259" w:lineRule="auto"/>
              <w:jc w:val="center"/>
              <w:rPr>
                <w:rFonts w:ascii="Times New Roman" w:eastAsia="Times New Roman" w:hAnsi="Times New Roman" w:cs="Times New Roman"/>
                <w:noProof/>
                <w:sz w:val="18"/>
                <w:szCs w:val="18"/>
              </w:rPr>
            </w:pPr>
            <w:r>
              <w:rPr>
                <w:rFonts w:ascii="Times New Roman" w:hAnsi="Times New Roman"/>
                <w:noProof/>
                <w:sz w:val="18"/>
              </w:rPr>
              <w:t>Nimi</w:t>
            </w:r>
          </w:p>
        </w:tc>
      </w:tr>
      <w:tr w:rsidR="00B430F0" w:rsidRPr="00E02B5D" w14:paraId="660CF0EC" w14:textId="77777777" w:rsidTr="000F5711">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5ECA9361"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1C84E8BA"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31E0DE0B"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56" w:type="dxa"/>
            <w:vMerge/>
            <w:tcBorders>
              <w:top w:val="single" w:sz="4" w:space="0" w:color="auto"/>
              <w:left w:val="nil"/>
              <w:bottom w:val="single" w:sz="4" w:space="0" w:color="000000"/>
              <w:right w:val="single" w:sz="4" w:space="0" w:color="auto"/>
            </w:tcBorders>
            <w:vAlign w:val="center"/>
            <w:hideMark/>
          </w:tcPr>
          <w:p w14:paraId="1AB327DC"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7B4D63" w:rsidRPr="003B132A" w14:paraId="016DDE52" w14:textId="77777777" w:rsidTr="0045484A">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9836AF3"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325a</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61AA9E41"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4.7. Parandada konkurentsivõimet ning edendada erainvesteeringuid ja eksporti – 16980_RRP laenurahastu</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6986035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553C3298" w14:textId="51F2F05F"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4 518,4 miljonit eurot finantsinstitutsioonide vahendeid, mis on allkirjastatud lõplike abisaajatega</w:t>
            </w:r>
          </w:p>
        </w:tc>
      </w:tr>
      <w:tr w:rsidR="007B4D63" w:rsidRPr="00E02B5D" w14:paraId="2956D403" w14:textId="77777777" w:rsidTr="0045484A">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EF68EE2"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03D45C8F"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lang w:val="en-GB"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04EF7A8C"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723D00DB" w14:textId="3226433A"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2 534 514 342 eurot</w:t>
            </w:r>
          </w:p>
        </w:tc>
      </w:tr>
      <w:bookmarkEnd w:id="3"/>
    </w:tbl>
    <w:p w14:paraId="031033B6" w14:textId="77777777" w:rsidR="00B430F0" w:rsidRPr="00E02B5D" w:rsidRDefault="00B430F0" w:rsidP="00645BC7">
      <w:pPr>
        <w:keepNext/>
        <w:spacing w:before="40" w:after="0" w:line="259" w:lineRule="auto"/>
        <w:jc w:val="both"/>
        <w:rPr>
          <w:rFonts w:ascii="Times New Roman" w:eastAsia="Times New Roman" w:hAnsi="Times New Roman" w:cs="Times New Roman"/>
          <w:bCs/>
          <w:noProof/>
          <w:sz w:val="24"/>
          <w:szCs w:val="26"/>
          <w:lang w:val="en-GB"/>
        </w:rPr>
      </w:pPr>
    </w:p>
    <w:p w14:paraId="51B07C62"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Viies osamakse (laenutoetus): </w:t>
      </w:r>
    </w:p>
    <w:tbl>
      <w:tblPr>
        <w:tblW w:w="9519" w:type="dxa"/>
        <w:tblInd w:w="113" w:type="dxa"/>
        <w:tblLayout w:type="fixed"/>
        <w:tblLook w:val="04A0" w:firstRow="1" w:lastRow="0" w:firstColumn="1" w:lastColumn="0" w:noHBand="0" w:noVBand="1"/>
      </w:tblPr>
      <w:tblGrid>
        <w:gridCol w:w="1804"/>
        <w:gridCol w:w="4283"/>
        <w:gridCol w:w="1692"/>
        <w:gridCol w:w="1740"/>
      </w:tblGrid>
      <w:tr w:rsidR="007B4D63" w:rsidRPr="00E02B5D" w14:paraId="51412791" w14:textId="77777777" w:rsidTr="0045484A">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AA0A82B" w14:textId="77777777" w:rsidR="00B430F0" w:rsidRPr="005622B6" w:rsidRDefault="00B430F0" w:rsidP="00230F85">
            <w:pPr>
              <w:keepNext/>
              <w:spacing w:before="4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0608165" w14:textId="77777777" w:rsidR="00B430F0" w:rsidRPr="005622B6" w:rsidRDefault="00B430F0" w:rsidP="00230F85">
            <w:pPr>
              <w:keepNext/>
              <w:spacing w:before="4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150B844" w14:textId="77777777" w:rsidR="00B430F0" w:rsidRPr="005622B6" w:rsidRDefault="00B430F0" w:rsidP="00230F85">
            <w:pPr>
              <w:keepNext/>
              <w:spacing w:before="4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14:paraId="60B9C180" w14:textId="77777777" w:rsidR="00B430F0" w:rsidRPr="005622B6" w:rsidRDefault="00B430F0" w:rsidP="00230F85">
            <w:pPr>
              <w:keepNext/>
              <w:spacing w:before="4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51C3E6DB" w14:textId="77777777" w:rsidTr="000F5711">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4B97D073"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1A249F66"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0A03DACF"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40" w:type="dxa"/>
            <w:vMerge/>
            <w:tcBorders>
              <w:top w:val="single" w:sz="4" w:space="0" w:color="auto"/>
              <w:left w:val="nil"/>
              <w:bottom w:val="single" w:sz="4" w:space="0" w:color="000000"/>
              <w:right w:val="single" w:sz="4" w:space="0" w:color="auto"/>
            </w:tcBorders>
            <w:vAlign w:val="center"/>
            <w:hideMark/>
          </w:tcPr>
          <w:p w14:paraId="50EDE701"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8C127F" w:rsidRPr="003B132A" w14:paraId="4F81D4AE" w14:textId="77777777" w:rsidTr="00030D15">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65FB75E" w14:textId="1C537199" w:rsidR="008C127F" w:rsidRPr="00E02B5D" w:rsidRDefault="00B71EDC" w:rsidP="008C127F">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374</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10A5721" w14:textId="77777777" w:rsidR="008C127F" w:rsidRPr="00E02B5D" w:rsidRDefault="008C127F" w:rsidP="008C127F">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16401_Energiauuendusprogramm „Upgrade My Home“</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34BD7FDB" w14:textId="77777777" w:rsidR="008C127F" w:rsidRPr="00E02B5D" w:rsidRDefault="008C127F" w:rsidP="008C127F">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64DEB991" w14:textId="5006CA9E" w:rsidR="008C127F" w:rsidRPr="00E02B5D" w:rsidRDefault="008C127F" w:rsidP="008C127F">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„Upgrade My Home“ – Kreeka Arengupanga ja rahandusministeeriumi vaheline rakendusleping</w:t>
            </w:r>
          </w:p>
        </w:tc>
      </w:tr>
      <w:tr w:rsidR="008C127F" w:rsidRPr="003B132A" w14:paraId="050AFA45" w14:textId="77777777" w:rsidTr="00030D15">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67E2CD39" w14:textId="12CFE0D5" w:rsidR="008C127F" w:rsidRPr="00E02B5D" w:rsidRDefault="00CA22E7" w:rsidP="008C127F">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378</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02E7F6A7" w14:textId="77777777" w:rsidR="008C127F" w:rsidRPr="00E02B5D" w:rsidRDefault="008C127F" w:rsidP="008C127F">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11-3.4. Juurdepääsu parandamine tõhusale ja kaasavale sotsiaalpoliitikale – 16400_taskukohase eluaseme programm „My Home II“</w:t>
            </w:r>
            <w:r>
              <w:rPr>
                <w:rFonts w:ascii="Times New Roman" w:hAnsi="Times New Roman"/>
                <w:noProof/>
                <w:sz w:val="18"/>
              </w:rPr>
              <w:tab/>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17EE0A36" w14:textId="77777777" w:rsidR="008C127F" w:rsidRPr="00E02B5D" w:rsidRDefault="008C127F" w:rsidP="008C127F">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220A6D2C" w14:textId="5A1A0575" w:rsidR="008C127F" w:rsidRPr="00E02B5D" w:rsidRDefault="00CA22E7" w:rsidP="008C127F">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„My Home II“ – Kreeka Arengupanga ja rahandusministeeriumi vaheline rakendusleping</w:t>
            </w:r>
          </w:p>
        </w:tc>
      </w:tr>
      <w:tr w:rsidR="008C127F" w:rsidRPr="003B132A" w14:paraId="12AD0BE5" w14:textId="77777777" w:rsidTr="0045484A">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12FCEE9" w14:textId="77777777" w:rsidR="008C127F" w:rsidRPr="00E02B5D" w:rsidRDefault="008C127F" w:rsidP="008C127F">
            <w:pPr>
              <w:keepNext/>
              <w:spacing w:before="40" w:after="0" w:line="240" w:lineRule="auto"/>
              <w:jc w:val="both"/>
              <w:rPr>
                <w:rFonts w:ascii="Times New Roman" w:hAnsi="Times New Roman"/>
                <w:noProof/>
                <w:sz w:val="18"/>
              </w:rPr>
            </w:pPr>
            <w:r>
              <w:rPr>
                <w:rFonts w:ascii="Times New Roman" w:hAnsi="Times New Roman"/>
                <w:noProof/>
                <w:sz w:val="18"/>
              </w:rPr>
              <w:t>326</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22169B4" w14:textId="77777777" w:rsidR="008C127F" w:rsidRPr="00E02B5D" w:rsidRDefault="008C127F" w:rsidP="008C127F">
            <w:pPr>
              <w:keepNext/>
              <w:spacing w:before="40" w:after="0" w:line="240" w:lineRule="auto"/>
              <w:jc w:val="both"/>
              <w:rPr>
                <w:rFonts w:ascii="Times New Roman" w:hAnsi="Times New Roman"/>
                <w:noProof/>
                <w:sz w:val="18"/>
              </w:rPr>
            </w:pPr>
            <w:r>
              <w:rPr>
                <w:rFonts w:ascii="Times New Roman" w:hAnsi="Times New Roman"/>
                <w:noProof/>
                <w:sz w:val="18"/>
              </w:rPr>
              <w:t>4.7. Parandada konkurentsivõimet ning edendada erainvesteeringuid ja eksporti – 16980_RRP laenurahastu</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06E10CEA" w14:textId="77777777" w:rsidR="008C127F" w:rsidRPr="00E02B5D" w:rsidRDefault="008C127F" w:rsidP="008C127F">
            <w:pPr>
              <w:keepNext/>
              <w:spacing w:before="40" w:after="0" w:line="240" w:lineRule="auto"/>
              <w:jc w:val="both"/>
              <w:rPr>
                <w:rFonts w:ascii="Times New Roman" w:hAnsi="Times New Roman"/>
                <w:noProof/>
                <w:sz w:val="18"/>
              </w:rPr>
            </w:pPr>
            <w:r>
              <w:rPr>
                <w:rFonts w:ascii="Times New Roman" w:hAnsi="Times New Roman"/>
                <w:noProof/>
                <w:sz w:val="18"/>
              </w:rPr>
              <w:t>Siht</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02B91D7E" w14:textId="350A9BC9" w:rsidR="008C127F" w:rsidRPr="00E02B5D" w:rsidRDefault="008C127F" w:rsidP="008C127F">
            <w:pPr>
              <w:keepNext/>
              <w:spacing w:before="40" w:after="0" w:line="240" w:lineRule="auto"/>
              <w:jc w:val="both"/>
              <w:rPr>
                <w:rFonts w:ascii="Times New Roman" w:hAnsi="Times New Roman"/>
                <w:noProof/>
                <w:sz w:val="18"/>
              </w:rPr>
            </w:pPr>
            <w:r>
              <w:rPr>
                <w:rFonts w:ascii="Times New Roman" w:hAnsi="Times New Roman"/>
                <w:noProof/>
                <w:sz w:val="18"/>
              </w:rPr>
              <w:t>7064 miljonit eurot finantsinstitutsioonide vahendeid, mis on allkirjastatud lõplike abisaajatega</w:t>
            </w:r>
          </w:p>
        </w:tc>
      </w:tr>
      <w:tr w:rsidR="00B430F0" w:rsidRPr="00E02B5D" w14:paraId="43FE1C6D" w14:textId="77777777" w:rsidTr="0045484A">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3AE0E9D"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17734CEB" w14:textId="77777777" w:rsidR="00B430F0" w:rsidRPr="00E02B5D" w:rsidRDefault="00B430F0" w:rsidP="0092204B">
            <w:pPr>
              <w:keepNext/>
              <w:spacing w:before="40" w:after="0" w:line="240" w:lineRule="auto"/>
              <w:jc w:val="both"/>
              <w:rPr>
                <w:rFonts w:ascii="Times New Roman" w:eastAsia="Times New Roman" w:hAnsi="Times New Roman" w:cs="Times New Roman"/>
                <w:bCs/>
                <w:noProof/>
                <w:sz w:val="18"/>
                <w:szCs w:val="18"/>
                <w:lang w:val="en-GB"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3D5A8978" w14:textId="77777777" w:rsidR="00B430F0" w:rsidRPr="00E02B5D" w:rsidRDefault="00B430F0" w:rsidP="0092204B">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14:paraId="55589FFA" w14:textId="157119AB" w:rsidR="00B430F0" w:rsidRPr="00E02B5D" w:rsidRDefault="00B430F0" w:rsidP="00E6168E">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1 940 000 000 eurot</w:t>
            </w:r>
          </w:p>
        </w:tc>
      </w:tr>
    </w:tbl>
    <w:p w14:paraId="06955CF0"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24"/>
          <w:szCs w:val="26"/>
          <w:lang w:val="en-GB"/>
        </w:rPr>
      </w:pPr>
    </w:p>
    <w:p w14:paraId="2B1B26C6" w14:textId="77777777" w:rsidR="00230F85" w:rsidRDefault="00230F85" w:rsidP="00DE1EE5">
      <w:pPr>
        <w:keepNext/>
        <w:numPr>
          <w:ilvl w:val="1"/>
          <w:numId w:val="22"/>
        </w:numPr>
        <w:spacing w:before="40" w:after="160" w:line="259" w:lineRule="auto"/>
        <w:ind w:left="0"/>
        <w:contextualSpacing/>
        <w:jc w:val="both"/>
        <w:rPr>
          <w:rFonts w:ascii="Times New Roman" w:hAnsi="Times New Roman"/>
          <w:noProof/>
          <w:sz w:val="24"/>
          <w:lang w:val="en-GB"/>
        </w:rPr>
        <w:sectPr w:rsidR="00230F85" w:rsidSect="00271D33">
          <w:headerReference w:type="even" r:id="rId458"/>
          <w:headerReference w:type="default" r:id="rId459"/>
          <w:footerReference w:type="even" r:id="rId460"/>
          <w:footerReference w:type="default" r:id="rId461"/>
          <w:headerReference w:type="first" r:id="rId462"/>
          <w:footerReference w:type="first" r:id="rId463"/>
          <w:pgSz w:w="11907" w:h="16839"/>
          <w:pgMar w:top="1134" w:right="1418" w:bottom="1134" w:left="1418" w:header="709" w:footer="709" w:gutter="0"/>
          <w:cols w:space="720"/>
          <w:docGrid w:linePitch="360"/>
        </w:sectPr>
      </w:pPr>
    </w:p>
    <w:p w14:paraId="4BAB4DA0"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Kuues osamakse (laenutoetus): </w:t>
      </w:r>
    </w:p>
    <w:tbl>
      <w:tblPr>
        <w:tblW w:w="95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4283"/>
        <w:gridCol w:w="1692"/>
        <w:gridCol w:w="1816"/>
      </w:tblGrid>
      <w:tr w:rsidR="006E0EA2" w:rsidRPr="00E02B5D" w14:paraId="00A1C00F" w14:textId="77777777" w:rsidTr="005622B6">
        <w:trPr>
          <w:trHeight w:val="906"/>
        </w:trPr>
        <w:tc>
          <w:tcPr>
            <w:tcW w:w="1804" w:type="dxa"/>
            <w:vMerge w:val="restart"/>
            <w:shd w:val="clear" w:color="auto" w:fill="BDD7EE"/>
            <w:vAlign w:val="center"/>
            <w:hideMark/>
          </w:tcPr>
          <w:p w14:paraId="05CDC8D9" w14:textId="77777777" w:rsidR="00B430F0" w:rsidRPr="005622B6" w:rsidRDefault="00B430F0" w:rsidP="00230F85">
            <w:pPr>
              <w:keepNext/>
              <w:spacing w:before="4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shd w:val="clear" w:color="auto" w:fill="BDD7EE"/>
            <w:vAlign w:val="center"/>
            <w:hideMark/>
          </w:tcPr>
          <w:p w14:paraId="429ED884" w14:textId="77777777" w:rsidR="00B430F0" w:rsidRPr="005622B6" w:rsidRDefault="00B430F0" w:rsidP="00230F85">
            <w:pPr>
              <w:keepNext/>
              <w:spacing w:before="4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shd w:val="clear" w:color="auto" w:fill="BDD7EE"/>
            <w:vAlign w:val="center"/>
            <w:hideMark/>
          </w:tcPr>
          <w:p w14:paraId="62E515D2" w14:textId="77777777" w:rsidR="00B430F0" w:rsidRPr="005622B6" w:rsidRDefault="00B430F0" w:rsidP="00230F85">
            <w:pPr>
              <w:keepNext/>
              <w:spacing w:before="4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740" w:type="dxa"/>
            <w:vMerge w:val="restart"/>
            <w:shd w:val="clear" w:color="auto" w:fill="BDD7EE"/>
            <w:vAlign w:val="center"/>
            <w:hideMark/>
          </w:tcPr>
          <w:p w14:paraId="0982F947" w14:textId="77777777" w:rsidR="00B430F0" w:rsidRPr="005622B6" w:rsidRDefault="00B430F0" w:rsidP="00230F85">
            <w:pPr>
              <w:keepNext/>
              <w:spacing w:before="4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70076C67" w14:textId="77777777" w:rsidTr="005622B6">
        <w:trPr>
          <w:trHeight w:val="990"/>
        </w:trPr>
        <w:tc>
          <w:tcPr>
            <w:tcW w:w="1804" w:type="dxa"/>
            <w:vMerge/>
            <w:vAlign w:val="center"/>
            <w:hideMark/>
          </w:tcPr>
          <w:p w14:paraId="5851B9D1"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vAlign w:val="center"/>
            <w:hideMark/>
          </w:tcPr>
          <w:p w14:paraId="525273DF"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vAlign w:val="center"/>
            <w:hideMark/>
          </w:tcPr>
          <w:p w14:paraId="40341B5C"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40" w:type="dxa"/>
            <w:vMerge/>
            <w:vAlign w:val="center"/>
            <w:hideMark/>
          </w:tcPr>
          <w:p w14:paraId="2A0A8119"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6E0EA2" w:rsidRPr="003B132A" w14:paraId="72FED212" w14:textId="77777777" w:rsidTr="005622B6">
        <w:trPr>
          <w:trHeight w:val="302"/>
        </w:trPr>
        <w:tc>
          <w:tcPr>
            <w:tcW w:w="1804" w:type="dxa"/>
            <w:shd w:val="clear" w:color="auto" w:fill="C6EFCE"/>
            <w:noWrap/>
            <w:vAlign w:val="center"/>
          </w:tcPr>
          <w:p w14:paraId="5D5A6800" w14:textId="77777777" w:rsidR="008D7F6A" w:rsidRPr="00E02B5D" w:rsidRDefault="008D7F6A" w:rsidP="008D7F6A">
            <w:pPr>
              <w:keepNext/>
              <w:spacing w:before="40" w:after="0" w:line="240" w:lineRule="auto"/>
              <w:jc w:val="both"/>
              <w:rPr>
                <w:rFonts w:ascii="Times New Roman" w:hAnsi="Times New Roman"/>
                <w:noProof/>
                <w:sz w:val="18"/>
              </w:rPr>
            </w:pPr>
            <w:r>
              <w:rPr>
                <w:rFonts w:ascii="Times New Roman" w:hAnsi="Times New Roman"/>
                <w:noProof/>
                <w:sz w:val="18"/>
              </w:rPr>
              <w:t>326a</w:t>
            </w:r>
          </w:p>
        </w:tc>
        <w:tc>
          <w:tcPr>
            <w:tcW w:w="4283" w:type="dxa"/>
            <w:shd w:val="clear" w:color="auto" w:fill="C6EFCE"/>
            <w:noWrap/>
            <w:vAlign w:val="center"/>
          </w:tcPr>
          <w:p w14:paraId="70549DF1" w14:textId="77777777" w:rsidR="008D7F6A" w:rsidRPr="00E02B5D" w:rsidRDefault="008D7F6A" w:rsidP="008D7F6A">
            <w:pPr>
              <w:keepNext/>
              <w:spacing w:before="40" w:after="0" w:line="240" w:lineRule="auto"/>
              <w:jc w:val="both"/>
              <w:rPr>
                <w:rFonts w:ascii="Times New Roman" w:hAnsi="Times New Roman"/>
                <w:noProof/>
                <w:sz w:val="18"/>
              </w:rPr>
            </w:pPr>
            <w:r>
              <w:rPr>
                <w:rFonts w:ascii="Times New Roman" w:hAnsi="Times New Roman"/>
                <w:noProof/>
                <w:sz w:val="18"/>
              </w:rPr>
              <w:t>4.7. Parandada konkurentsivõimet ning edendada erainvesteeringuid ja eksporti – 16980_RRP laenurahastu</w:t>
            </w:r>
          </w:p>
        </w:tc>
        <w:tc>
          <w:tcPr>
            <w:tcW w:w="1692" w:type="dxa"/>
            <w:shd w:val="clear" w:color="auto" w:fill="C6EFCE"/>
            <w:noWrap/>
            <w:vAlign w:val="center"/>
          </w:tcPr>
          <w:p w14:paraId="793C0D80" w14:textId="77777777" w:rsidR="008D7F6A" w:rsidRPr="00E02B5D" w:rsidRDefault="008D7F6A" w:rsidP="008D7F6A">
            <w:pPr>
              <w:keepNext/>
              <w:spacing w:before="40" w:after="0" w:line="240" w:lineRule="auto"/>
              <w:jc w:val="both"/>
              <w:rPr>
                <w:rFonts w:ascii="Times New Roman" w:hAnsi="Times New Roman"/>
                <w:noProof/>
                <w:sz w:val="18"/>
              </w:rPr>
            </w:pPr>
            <w:r>
              <w:rPr>
                <w:rFonts w:ascii="Times New Roman" w:hAnsi="Times New Roman"/>
                <w:noProof/>
                <w:sz w:val="18"/>
              </w:rPr>
              <w:t>Siht</w:t>
            </w:r>
          </w:p>
        </w:tc>
        <w:tc>
          <w:tcPr>
            <w:tcW w:w="1740" w:type="dxa"/>
            <w:shd w:val="clear" w:color="auto" w:fill="C6EFCE"/>
            <w:noWrap/>
            <w:vAlign w:val="center"/>
          </w:tcPr>
          <w:p w14:paraId="0FDED785" w14:textId="2738A983" w:rsidR="008D7F6A" w:rsidRPr="00E02B5D" w:rsidRDefault="008D7F6A" w:rsidP="008D7F6A">
            <w:pPr>
              <w:keepNext/>
              <w:spacing w:before="40" w:after="0" w:line="240" w:lineRule="auto"/>
              <w:jc w:val="both"/>
              <w:rPr>
                <w:rFonts w:ascii="Times New Roman" w:hAnsi="Times New Roman"/>
                <w:noProof/>
                <w:sz w:val="18"/>
              </w:rPr>
            </w:pPr>
            <w:r>
              <w:rPr>
                <w:rFonts w:ascii="Times New Roman" w:hAnsi="Times New Roman"/>
                <w:noProof/>
                <w:sz w:val="18"/>
              </w:rPr>
              <w:t>9 000 miljonit eurot finantsinstitutsioonide vahendeid, mis on allkirjastatud lõplike abisaajatega</w:t>
            </w:r>
          </w:p>
        </w:tc>
      </w:tr>
      <w:tr w:rsidR="00B430F0" w:rsidRPr="00E02B5D" w14:paraId="1ADAAAC7" w14:textId="77777777" w:rsidTr="005622B6">
        <w:trPr>
          <w:trHeight w:val="302"/>
        </w:trPr>
        <w:tc>
          <w:tcPr>
            <w:tcW w:w="1804" w:type="dxa"/>
            <w:shd w:val="clear" w:color="auto" w:fill="C6EFCE"/>
            <w:noWrap/>
            <w:vAlign w:val="bottom"/>
          </w:tcPr>
          <w:p w14:paraId="34CDE4B1"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shd w:val="clear" w:color="auto" w:fill="C6EFCE"/>
            <w:noWrap/>
            <w:vAlign w:val="bottom"/>
          </w:tcPr>
          <w:p w14:paraId="59CB205C"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lang w:val="en-GB" w:eastAsia="en-GB"/>
              </w:rPr>
            </w:pPr>
          </w:p>
        </w:tc>
        <w:tc>
          <w:tcPr>
            <w:tcW w:w="1692" w:type="dxa"/>
            <w:shd w:val="clear" w:color="auto" w:fill="C6EFCE"/>
            <w:noWrap/>
            <w:vAlign w:val="bottom"/>
          </w:tcPr>
          <w:p w14:paraId="60A53CE4" w14:textId="77777777"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740" w:type="dxa"/>
            <w:shd w:val="clear" w:color="auto" w:fill="C6EFCE"/>
            <w:noWrap/>
            <w:vAlign w:val="bottom"/>
          </w:tcPr>
          <w:p w14:paraId="3E1DDE01" w14:textId="2DF5BF2A" w:rsidR="00B430F0" w:rsidRPr="00E02B5D" w:rsidRDefault="00B430F0"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1 940 000 000 eurot</w:t>
            </w:r>
          </w:p>
        </w:tc>
      </w:tr>
    </w:tbl>
    <w:p w14:paraId="51D642AC" w14:textId="77777777" w:rsidR="00B430F0" w:rsidRPr="00E02B5D" w:rsidRDefault="00B430F0" w:rsidP="00645BC7">
      <w:pPr>
        <w:keepNext/>
        <w:spacing w:before="40" w:after="0" w:line="259" w:lineRule="auto"/>
        <w:jc w:val="both"/>
        <w:rPr>
          <w:rFonts w:ascii="Times New Roman" w:eastAsia="Times New Roman" w:hAnsi="Times New Roman" w:cs="Times New Roman"/>
          <w:bCs/>
          <w:noProof/>
          <w:sz w:val="24"/>
          <w:szCs w:val="26"/>
          <w:lang w:val="en-GB"/>
        </w:rPr>
      </w:pPr>
    </w:p>
    <w:p w14:paraId="23C8AB09" w14:textId="77777777" w:rsidR="00B430F0" w:rsidRPr="00E02B5D" w:rsidRDefault="00B430F0"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Seitsmes maksetaotlus (laenutoetus): </w:t>
      </w:r>
    </w:p>
    <w:tbl>
      <w:tblPr>
        <w:tblW w:w="9634" w:type="dxa"/>
        <w:tblInd w:w="113" w:type="dxa"/>
        <w:tblLook w:val="04A0" w:firstRow="1" w:lastRow="0" w:firstColumn="1" w:lastColumn="0" w:noHBand="0" w:noVBand="1"/>
      </w:tblPr>
      <w:tblGrid>
        <w:gridCol w:w="1804"/>
        <w:gridCol w:w="4283"/>
        <w:gridCol w:w="1692"/>
        <w:gridCol w:w="1855"/>
      </w:tblGrid>
      <w:tr w:rsidR="00B430F0" w:rsidRPr="00E02B5D" w14:paraId="57E60FFB" w14:textId="77777777" w:rsidTr="00D16F13">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45636FC"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A883CA9"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78BF470"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855" w:type="dxa"/>
            <w:vMerge w:val="restart"/>
            <w:tcBorders>
              <w:top w:val="single" w:sz="4" w:space="0" w:color="auto"/>
              <w:left w:val="nil"/>
              <w:bottom w:val="single" w:sz="4" w:space="0" w:color="000000"/>
              <w:right w:val="single" w:sz="4" w:space="0" w:color="auto"/>
            </w:tcBorders>
            <w:shd w:val="clear" w:color="auto" w:fill="BDD7EE"/>
            <w:vAlign w:val="center"/>
            <w:hideMark/>
          </w:tcPr>
          <w:p w14:paraId="0F2D4CC0"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B430F0" w:rsidRPr="00E02B5D" w14:paraId="1069E841" w14:textId="77777777" w:rsidTr="00D16F13">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2FFFECCC"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082C1512"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1E31078B"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855" w:type="dxa"/>
            <w:vMerge/>
            <w:tcBorders>
              <w:top w:val="single" w:sz="4" w:space="0" w:color="auto"/>
              <w:left w:val="nil"/>
              <w:bottom w:val="single" w:sz="4" w:space="0" w:color="000000"/>
              <w:right w:val="single" w:sz="4" w:space="0" w:color="auto"/>
            </w:tcBorders>
            <w:vAlign w:val="center"/>
            <w:hideMark/>
          </w:tcPr>
          <w:p w14:paraId="59FB1538"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B430F0" w:rsidRPr="003B132A" w14:paraId="28909711"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9FFB019" w14:textId="0C8D64A8" w:rsidR="00B430F0" w:rsidRPr="00A87AE5" w:rsidRDefault="00B71EDC" w:rsidP="00D16F13">
            <w:pPr>
              <w:keepNext/>
              <w:spacing w:before="40" w:after="0" w:line="240" w:lineRule="auto"/>
              <w:jc w:val="both"/>
              <w:rPr>
                <w:rFonts w:ascii="Times New Roman" w:hAnsi="Times New Roman"/>
                <w:noProof/>
                <w:sz w:val="18"/>
              </w:rPr>
            </w:pPr>
            <w:r>
              <w:rPr>
                <w:rFonts w:ascii="Times New Roman" w:hAnsi="Times New Roman"/>
                <w:noProof/>
                <w:sz w:val="18"/>
              </w:rPr>
              <w:t>375</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7113888B" w14:textId="77777777" w:rsidR="00B430F0" w:rsidRPr="00E02B5D" w:rsidRDefault="00160BA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16401_Energiauuendusprogramm „Upgrade My Home“</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156A380E"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855" w:type="dxa"/>
            <w:tcBorders>
              <w:top w:val="single" w:sz="4" w:space="0" w:color="auto"/>
              <w:left w:val="nil"/>
              <w:bottom w:val="single" w:sz="4" w:space="0" w:color="auto"/>
              <w:right w:val="single" w:sz="4" w:space="0" w:color="auto"/>
            </w:tcBorders>
            <w:shd w:val="clear" w:color="000000" w:fill="C6EFCE"/>
            <w:noWrap/>
            <w:vAlign w:val="center"/>
            <w:hideMark/>
          </w:tcPr>
          <w:p w14:paraId="26F538CB" w14:textId="77777777" w:rsidR="00B430F0" w:rsidRPr="00E02B5D" w:rsidRDefault="001A6C2E"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„Upgrade My Home“ – lõplike toetusesaajatega allkirjastatud juriidilised lepingud – 50 %</w:t>
            </w:r>
          </w:p>
        </w:tc>
      </w:tr>
      <w:tr w:rsidR="00160BA0" w:rsidRPr="003B132A" w14:paraId="362E23E2" w14:textId="77777777" w:rsidTr="00160BA0">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4E00406A" w14:textId="66A0F65A" w:rsidR="00160BA0" w:rsidRPr="00E02B5D" w:rsidRDefault="00CA22E7" w:rsidP="00160BA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379</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AB40928" w14:textId="77777777" w:rsidR="00160BA0" w:rsidRPr="00E02B5D" w:rsidRDefault="00160BA0" w:rsidP="00160BA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11-3.4. Juurdepääsu parandamine tõhusale ja kaasavale sotsiaalpoliitikale – 16400_taskukohase eluaseme programm „My Home II“</w:t>
            </w:r>
            <w:r>
              <w:rPr>
                <w:rFonts w:ascii="Times New Roman" w:hAnsi="Times New Roman"/>
                <w:noProof/>
                <w:sz w:val="18"/>
              </w:rPr>
              <w:tab/>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67D03DE3" w14:textId="77777777" w:rsidR="00160BA0" w:rsidRPr="00E02B5D" w:rsidRDefault="00160BA0" w:rsidP="00160BA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3AE31F22" w14:textId="77777777" w:rsidR="00160BA0" w:rsidRPr="00E02B5D" w:rsidRDefault="00106993" w:rsidP="00160BA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„My Home II“ – lõplike toetusesaajatega allkirjastatud juriidilised lepingud – 50 %</w:t>
            </w:r>
          </w:p>
        </w:tc>
      </w:tr>
      <w:tr w:rsidR="00160BA0" w:rsidRPr="003B132A" w14:paraId="393ACFFB"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23236859" w14:textId="77777777" w:rsidR="00160BA0" w:rsidRPr="00E02B5D" w:rsidRDefault="00160BA0" w:rsidP="00160BA0">
            <w:pPr>
              <w:keepNext/>
              <w:spacing w:before="40" w:after="0" w:line="240" w:lineRule="auto"/>
              <w:jc w:val="both"/>
              <w:rPr>
                <w:rFonts w:ascii="Times New Roman" w:hAnsi="Times New Roman"/>
                <w:noProof/>
                <w:sz w:val="18"/>
              </w:rPr>
            </w:pPr>
            <w:r>
              <w:rPr>
                <w:rFonts w:ascii="Times New Roman" w:hAnsi="Times New Roman"/>
                <w:noProof/>
                <w:sz w:val="18"/>
              </w:rPr>
              <w:t>327</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2066F09B" w14:textId="77777777" w:rsidR="00160BA0" w:rsidRPr="00E02B5D" w:rsidRDefault="00160BA0" w:rsidP="00160BA0">
            <w:pPr>
              <w:keepNext/>
              <w:spacing w:before="40" w:after="0" w:line="240" w:lineRule="auto"/>
              <w:jc w:val="both"/>
              <w:rPr>
                <w:rFonts w:ascii="Times New Roman" w:hAnsi="Times New Roman"/>
                <w:noProof/>
                <w:sz w:val="18"/>
              </w:rPr>
            </w:pPr>
            <w:r>
              <w:rPr>
                <w:rFonts w:ascii="Times New Roman" w:hAnsi="Times New Roman"/>
                <w:noProof/>
                <w:sz w:val="18"/>
              </w:rPr>
              <w:t>4.7. Parandada konkurentsivõimet ning edendada erainvesteeringuid ja eksporti – 16980_RRP laenurahastu</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28292EB8" w14:textId="77777777" w:rsidR="00160BA0" w:rsidRPr="00E02B5D" w:rsidRDefault="00160BA0" w:rsidP="00160BA0">
            <w:pPr>
              <w:keepNext/>
              <w:spacing w:before="40" w:after="0" w:line="240" w:lineRule="auto"/>
              <w:jc w:val="both"/>
              <w:rPr>
                <w:rFonts w:ascii="Times New Roman" w:hAnsi="Times New Roman"/>
                <w:noProof/>
                <w:sz w:val="18"/>
              </w:rPr>
            </w:pPr>
            <w:r>
              <w:rPr>
                <w:rFonts w:ascii="Times New Roman" w:hAnsi="Times New Roman"/>
                <w:noProof/>
                <w:sz w:val="18"/>
              </w:rPr>
              <w:t>Siht</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4EF21C77" w14:textId="35C1FA63" w:rsidR="00160BA0" w:rsidRPr="00E02B5D" w:rsidRDefault="00160BA0" w:rsidP="00160BA0">
            <w:pPr>
              <w:keepNext/>
              <w:spacing w:before="40" w:after="0" w:line="240" w:lineRule="auto"/>
              <w:jc w:val="both"/>
              <w:rPr>
                <w:rFonts w:ascii="Times New Roman" w:hAnsi="Times New Roman"/>
                <w:noProof/>
                <w:sz w:val="18"/>
              </w:rPr>
            </w:pPr>
            <w:r>
              <w:rPr>
                <w:rFonts w:ascii="Times New Roman" w:hAnsi="Times New Roman"/>
                <w:noProof/>
                <w:sz w:val="18"/>
              </w:rPr>
              <w:t>11 182 miljonit eurot finantsinstitutsioonide vahendeid, mis on allkirjastatud lõplike abisaajatega</w:t>
            </w:r>
          </w:p>
        </w:tc>
      </w:tr>
      <w:tr w:rsidR="00D018E4" w:rsidRPr="003B132A" w14:paraId="2ED74E97"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2049A65A" w14:textId="77777777" w:rsidR="00D018E4" w:rsidRPr="00E02B5D" w:rsidRDefault="00D018E4" w:rsidP="00D018E4">
            <w:pPr>
              <w:keepNext/>
              <w:spacing w:before="40" w:after="0" w:line="240" w:lineRule="auto"/>
              <w:jc w:val="both"/>
              <w:rPr>
                <w:rFonts w:ascii="Times New Roman" w:hAnsi="Times New Roman"/>
                <w:noProof/>
                <w:sz w:val="18"/>
              </w:rPr>
            </w:pPr>
            <w:r>
              <w:rPr>
                <w:rFonts w:ascii="Times New Roman" w:hAnsi="Times New Roman"/>
                <w:noProof/>
                <w:sz w:val="18"/>
              </w:rPr>
              <w:t>329</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447FA030" w14:textId="77777777" w:rsidR="00D018E4" w:rsidRPr="00E02B5D" w:rsidRDefault="00D018E4" w:rsidP="00D018E4">
            <w:pPr>
              <w:keepNext/>
              <w:spacing w:before="40" w:after="0" w:line="240" w:lineRule="auto"/>
              <w:jc w:val="both"/>
              <w:rPr>
                <w:rFonts w:ascii="Times New Roman" w:hAnsi="Times New Roman"/>
                <w:noProof/>
                <w:sz w:val="18"/>
              </w:rPr>
            </w:pPr>
            <w:r>
              <w:rPr>
                <w:rFonts w:ascii="Times New Roman" w:hAnsi="Times New Roman"/>
                <w:noProof/>
                <w:sz w:val="18"/>
              </w:rPr>
              <w:t>4.7. Parandada konkurentsivõimet ning edendada erainvesteeringuid ja eksporti – 16980_RRP laenurahastu</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6F3134F1" w14:textId="77777777" w:rsidR="00D018E4" w:rsidRPr="00E02B5D" w:rsidRDefault="00D018E4" w:rsidP="00D018E4">
            <w:pPr>
              <w:keepNext/>
              <w:spacing w:before="40" w:after="0" w:line="240" w:lineRule="auto"/>
              <w:jc w:val="both"/>
              <w:rPr>
                <w:rFonts w:ascii="Times New Roman" w:hAnsi="Times New Roman"/>
                <w:noProof/>
                <w:sz w:val="18"/>
              </w:rPr>
            </w:pPr>
            <w:r>
              <w:rPr>
                <w:rFonts w:ascii="Times New Roman" w:hAnsi="Times New Roman"/>
                <w:noProof/>
                <w:sz w:val="18"/>
              </w:rPr>
              <w:t>Siht</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4DC8E3C8" w14:textId="77777777" w:rsidR="00D018E4" w:rsidRPr="00E02B5D" w:rsidRDefault="00D018E4" w:rsidP="00D018E4">
            <w:pPr>
              <w:keepNext/>
              <w:spacing w:before="40" w:after="0" w:line="240" w:lineRule="auto"/>
              <w:jc w:val="both"/>
              <w:rPr>
                <w:rFonts w:ascii="Times New Roman" w:hAnsi="Times New Roman"/>
                <w:noProof/>
                <w:sz w:val="18"/>
              </w:rPr>
            </w:pPr>
            <w:r>
              <w:rPr>
                <w:rFonts w:ascii="Times New Roman" w:hAnsi="Times New Roman"/>
                <w:noProof/>
                <w:sz w:val="18"/>
              </w:rPr>
              <w:t xml:space="preserve">100 % omakapitalitoetuse investeering </w:t>
            </w:r>
          </w:p>
        </w:tc>
      </w:tr>
      <w:tr w:rsidR="00D018E4" w:rsidRPr="00105BE0" w14:paraId="43200938"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4EED604" w14:textId="77777777" w:rsidR="00D018E4" w:rsidRPr="00E02B5D" w:rsidRDefault="00D018E4" w:rsidP="00D018E4">
            <w:pPr>
              <w:keepNext/>
              <w:spacing w:before="40" w:after="0" w:line="240" w:lineRule="auto"/>
              <w:jc w:val="both"/>
              <w:rPr>
                <w:rFonts w:ascii="Times New Roman" w:hAnsi="Times New Roman"/>
                <w:noProof/>
                <w:sz w:val="18"/>
              </w:rPr>
            </w:pPr>
            <w:r>
              <w:rPr>
                <w:rFonts w:ascii="Times New Roman" w:hAnsi="Times New Roman"/>
                <w:noProof/>
                <w:sz w:val="18"/>
              </w:rPr>
              <w:t>330</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29952528" w14:textId="77777777" w:rsidR="00D018E4" w:rsidRPr="00E02B5D" w:rsidRDefault="00D018E4" w:rsidP="00D018E4">
            <w:pPr>
              <w:keepNext/>
              <w:spacing w:before="40" w:after="0" w:line="240" w:lineRule="auto"/>
              <w:jc w:val="both"/>
              <w:rPr>
                <w:rFonts w:ascii="Times New Roman" w:hAnsi="Times New Roman"/>
                <w:noProof/>
                <w:sz w:val="18"/>
              </w:rPr>
            </w:pPr>
            <w:r>
              <w:rPr>
                <w:rFonts w:ascii="Times New Roman" w:hAnsi="Times New Roman"/>
                <w:noProof/>
                <w:sz w:val="18"/>
              </w:rPr>
              <w:t>4.7. Parandada konkurentsivõimet ning edendada erainvesteeringuid ja eksporti – 16980_RRP laenurahastu</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59BF30DE" w14:textId="77777777" w:rsidR="00D018E4" w:rsidRPr="00E02B5D" w:rsidRDefault="00D018E4" w:rsidP="00D018E4">
            <w:pPr>
              <w:keepNext/>
              <w:spacing w:before="40" w:after="0" w:line="240" w:lineRule="auto"/>
              <w:jc w:val="both"/>
              <w:rPr>
                <w:rFonts w:ascii="Times New Roman" w:hAnsi="Times New Roman"/>
                <w:noProof/>
                <w:sz w:val="18"/>
              </w:rPr>
            </w:pPr>
            <w:r>
              <w:rPr>
                <w:rFonts w:ascii="Times New Roman" w:hAnsi="Times New Roman"/>
                <w:noProof/>
                <w:sz w:val="18"/>
              </w:rPr>
              <w:t>Siht</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16C29D7A" w14:textId="77777777" w:rsidR="00D018E4" w:rsidRPr="00E02B5D" w:rsidRDefault="00D018E4" w:rsidP="00D018E4">
            <w:pPr>
              <w:keepNext/>
              <w:spacing w:before="40" w:after="0" w:line="240" w:lineRule="auto"/>
              <w:jc w:val="both"/>
              <w:rPr>
                <w:rFonts w:ascii="Times New Roman" w:hAnsi="Times New Roman"/>
                <w:noProof/>
                <w:sz w:val="18"/>
              </w:rPr>
            </w:pPr>
            <w:r>
              <w:rPr>
                <w:rFonts w:ascii="Times New Roman" w:hAnsi="Times New Roman"/>
                <w:noProof/>
                <w:sz w:val="18"/>
              </w:rPr>
              <w:t>InvestEU tegevuse heakskiitmine</w:t>
            </w:r>
          </w:p>
        </w:tc>
      </w:tr>
      <w:tr w:rsidR="00D018E4" w:rsidRPr="00E02B5D" w14:paraId="43BFA17E" w14:textId="77777777" w:rsidTr="00D16F13">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F0E7027" w14:textId="77777777" w:rsidR="00D018E4" w:rsidRPr="00E02B5D" w:rsidRDefault="00D018E4" w:rsidP="00D018E4">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27F15499" w14:textId="77777777" w:rsidR="00D018E4" w:rsidRPr="00E02B5D" w:rsidRDefault="00D018E4" w:rsidP="00D018E4">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70472F8C" w14:textId="77777777" w:rsidR="00D018E4" w:rsidRPr="00E02B5D" w:rsidRDefault="00D018E4" w:rsidP="00D018E4">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Osamakse summa</w:t>
            </w:r>
          </w:p>
        </w:tc>
        <w:tc>
          <w:tcPr>
            <w:tcW w:w="1855" w:type="dxa"/>
            <w:tcBorders>
              <w:top w:val="single" w:sz="4" w:space="0" w:color="auto"/>
              <w:left w:val="nil"/>
              <w:bottom w:val="single" w:sz="4" w:space="0" w:color="auto"/>
              <w:right w:val="single" w:sz="4" w:space="0" w:color="auto"/>
            </w:tcBorders>
            <w:shd w:val="clear" w:color="auto" w:fill="C6EFCE"/>
            <w:noWrap/>
            <w:vAlign w:val="bottom"/>
          </w:tcPr>
          <w:p w14:paraId="75F7F003" w14:textId="29EB8E4B" w:rsidR="00D018E4" w:rsidRPr="00E02B5D" w:rsidRDefault="00D018E4" w:rsidP="00D018E4">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rPr>
              <w:t>1 940 000 000 eurot</w:t>
            </w:r>
          </w:p>
        </w:tc>
      </w:tr>
    </w:tbl>
    <w:p w14:paraId="29A34919" w14:textId="77777777" w:rsidR="00CC06E7" w:rsidRPr="00E02B5D" w:rsidRDefault="00CC06E7" w:rsidP="00CC06E7">
      <w:pPr>
        <w:keepNext/>
        <w:spacing w:before="40" w:after="0" w:line="259" w:lineRule="auto"/>
        <w:jc w:val="both"/>
        <w:rPr>
          <w:rFonts w:ascii="Times New Roman" w:eastAsia="Times New Roman" w:hAnsi="Times New Roman" w:cs="Times New Roman"/>
          <w:bCs/>
          <w:noProof/>
          <w:sz w:val="24"/>
          <w:szCs w:val="26"/>
          <w:lang w:val="en-GB"/>
        </w:rPr>
      </w:pPr>
    </w:p>
    <w:p w14:paraId="78381441" w14:textId="77777777" w:rsidR="00CC06E7" w:rsidRPr="00E02B5D" w:rsidRDefault="00CC06E7" w:rsidP="00DE1EE5">
      <w:pPr>
        <w:keepNext/>
        <w:numPr>
          <w:ilvl w:val="1"/>
          <w:numId w:val="22"/>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Kaheksas maksetaotlus (laenutoetus): </w:t>
      </w:r>
    </w:p>
    <w:tbl>
      <w:tblPr>
        <w:tblW w:w="9634" w:type="dxa"/>
        <w:tblInd w:w="113" w:type="dxa"/>
        <w:tblLook w:val="04A0" w:firstRow="1" w:lastRow="0" w:firstColumn="1" w:lastColumn="0" w:noHBand="0" w:noVBand="1"/>
      </w:tblPr>
      <w:tblGrid>
        <w:gridCol w:w="1804"/>
        <w:gridCol w:w="4283"/>
        <w:gridCol w:w="1692"/>
        <w:gridCol w:w="1855"/>
      </w:tblGrid>
      <w:tr w:rsidR="006E0EA2" w:rsidRPr="00E02B5D" w14:paraId="297591C3" w14:textId="77777777" w:rsidTr="00161E53">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A6DE918" w14:textId="77777777" w:rsidR="00CC06E7" w:rsidRPr="005622B6" w:rsidRDefault="00CC06E7" w:rsidP="00161E53">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593EB5B" w14:textId="77777777" w:rsidR="00CC06E7" w:rsidRPr="005622B6" w:rsidRDefault="00CC06E7" w:rsidP="00161E53">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6B8A6ED" w14:textId="77777777" w:rsidR="00CC06E7" w:rsidRPr="005622B6" w:rsidRDefault="00CC06E7" w:rsidP="00161E53">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855" w:type="dxa"/>
            <w:vMerge w:val="restart"/>
            <w:tcBorders>
              <w:top w:val="single" w:sz="4" w:space="0" w:color="auto"/>
              <w:left w:val="nil"/>
              <w:bottom w:val="single" w:sz="4" w:space="0" w:color="000000"/>
              <w:right w:val="single" w:sz="4" w:space="0" w:color="auto"/>
            </w:tcBorders>
            <w:shd w:val="clear" w:color="auto" w:fill="BDD7EE"/>
            <w:vAlign w:val="center"/>
            <w:hideMark/>
          </w:tcPr>
          <w:p w14:paraId="44E893A9" w14:textId="77777777" w:rsidR="00CC06E7" w:rsidRPr="005622B6" w:rsidRDefault="00CC06E7" w:rsidP="00161E53">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CC06E7" w:rsidRPr="00E02B5D" w14:paraId="3FABA0A4" w14:textId="77777777" w:rsidTr="006E0EA2">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1E65B7BD" w14:textId="77777777" w:rsidR="00CC06E7" w:rsidRPr="00E02B5D" w:rsidRDefault="00CC06E7" w:rsidP="00161E5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3F469597" w14:textId="77777777" w:rsidR="00CC06E7" w:rsidRPr="00E02B5D" w:rsidRDefault="00CC06E7" w:rsidP="00161E5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11E5AA15" w14:textId="77777777" w:rsidR="00CC06E7" w:rsidRPr="00E02B5D" w:rsidRDefault="00CC06E7" w:rsidP="00161E5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855" w:type="dxa"/>
            <w:vMerge/>
            <w:tcBorders>
              <w:top w:val="single" w:sz="4" w:space="0" w:color="auto"/>
              <w:left w:val="nil"/>
              <w:bottom w:val="single" w:sz="4" w:space="0" w:color="000000"/>
              <w:right w:val="single" w:sz="4" w:space="0" w:color="auto"/>
            </w:tcBorders>
            <w:vAlign w:val="center"/>
            <w:hideMark/>
          </w:tcPr>
          <w:p w14:paraId="32BAB482" w14:textId="77777777" w:rsidR="00CC06E7" w:rsidRPr="00E02B5D" w:rsidRDefault="00CC06E7" w:rsidP="00161E5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6E0EA2" w:rsidRPr="003B132A" w14:paraId="5393923E" w14:textId="77777777" w:rsidTr="00161E53">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63E7D02" w14:textId="758B03AD" w:rsidR="00515E0C" w:rsidRPr="00E02B5D" w:rsidRDefault="00515E0C" w:rsidP="00515E0C">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327a</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164E8FDE" w14:textId="77777777" w:rsidR="00515E0C" w:rsidRPr="00E02B5D" w:rsidRDefault="00515E0C" w:rsidP="00515E0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4.7. Parandada konkurentsivõimet ning edendada erainvesteeringuid ja eksporti – 16980_RRP laenurahastu</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5EF1FED4" w14:textId="77777777" w:rsidR="00515E0C" w:rsidRPr="00E02B5D" w:rsidRDefault="00515E0C" w:rsidP="00515E0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855" w:type="dxa"/>
            <w:tcBorders>
              <w:top w:val="single" w:sz="4" w:space="0" w:color="auto"/>
              <w:left w:val="nil"/>
              <w:bottom w:val="single" w:sz="4" w:space="0" w:color="auto"/>
              <w:right w:val="single" w:sz="4" w:space="0" w:color="auto"/>
            </w:tcBorders>
            <w:shd w:val="clear" w:color="000000" w:fill="C6EFCE"/>
            <w:noWrap/>
            <w:vAlign w:val="center"/>
            <w:hideMark/>
          </w:tcPr>
          <w:p w14:paraId="04C9FA4A" w14:textId="48DAE3FC" w:rsidR="00515E0C" w:rsidRPr="00E02B5D" w:rsidRDefault="00515E0C" w:rsidP="00515E0C">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13 364 miljonit eurot finantsinstitutsioonide vahendeid, mis on allkirjastatud lõplike abisaajatega</w:t>
            </w:r>
          </w:p>
        </w:tc>
      </w:tr>
      <w:tr w:rsidR="00885540" w:rsidRPr="00105BE0" w14:paraId="1871FDCF" w14:textId="77777777" w:rsidTr="00885540">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5F5E388D" w14:textId="77777777" w:rsidR="00885540" w:rsidRPr="00E02B5D" w:rsidRDefault="00885540" w:rsidP="00885540">
            <w:pPr>
              <w:keepNext/>
              <w:spacing w:before="40" w:after="0" w:line="240" w:lineRule="auto"/>
              <w:jc w:val="both"/>
              <w:rPr>
                <w:rFonts w:ascii="Times New Roman" w:hAnsi="Times New Roman"/>
                <w:noProof/>
                <w:sz w:val="18"/>
                <w:lang w:val="en-GB"/>
              </w:rPr>
            </w:pP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3CAC65DF" w14:textId="77777777" w:rsidR="00885540" w:rsidRPr="00E02B5D" w:rsidRDefault="00885540" w:rsidP="00885540">
            <w:pPr>
              <w:keepNext/>
              <w:spacing w:before="40" w:after="0" w:line="240" w:lineRule="auto"/>
              <w:jc w:val="both"/>
              <w:rPr>
                <w:rFonts w:ascii="Times New Roman" w:hAnsi="Times New Roman"/>
                <w:noProof/>
                <w:sz w:val="18"/>
                <w:lang w:val="en-GB"/>
              </w:rPr>
            </w:pPr>
          </w:p>
        </w:tc>
        <w:tc>
          <w:tcPr>
            <w:tcW w:w="1692" w:type="dxa"/>
            <w:tcBorders>
              <w:top w:val="single" w:sz="4" w:space="0" w:color="auto"/>
              <w:left w:val="nil"/>
              <w:bottom w:val="single" w:sz="4" w:space="0" w:color="auto"/>
              <w:right w:val="single" w:sz="4" w:space="0" w:color="auto"/>
            </w:tcBorders>
            <w:shd w:val="clear" w:color="000000" w:fill="C6EFCE"/>
            <w:noWrap/>
            <w:vAlign w:val="bottom"/>
          </w:tcPr>
          <w:p w14:paraId="3CCCDE06" w14:textId="77777777" w:rsidR="00885540" w:rsidRPr="00E02B5D" w:rsidRDefault="00885540" w:rsidP="00885540">
            <w:pPr>
              <w:keepNext/>
              <w:spacing w:before="40" w:after="0" w:line="240" w:lineRule="auto"/>
              <w:jc w:val="both"/>
              <w:rPr>
                <w:rFonts w:ascii="Times New Roman" w:hAnsi="Times New Roman"/>
                <w:noProof/>
                <w:sz w:val="18"/>
              </w:rPr>
            </w:pPr>
            <w:r>
              <w:rPr>
                <w:rFonts w:ascii="Times New Roman" w:hAnsi="Times New Roman"/>
                <w:noProof/>
                <w:sz w:val="18"/>
              </w:rPr>
              <w:t>Osamakse summa</w:t>
            </w:r>
          </w:p>
        </w:tc>
        <w:tc>
          <w:tcPr>
            <w:tcW w:w="1855" w:type="dxa"/>
            <w:tcBorders>
              <w:top w:val="single" w:sz="4" w:space="0" w:color="auto"/>
              <w:left w:val="nil"/>
              <w:bottom w:val="single" w:sz="4" w:space="0" w:color="auto"/>
              <w:right w:val="single" w:sz="4" w:space="0" w:color="auto"/>
            </w:tcBorders>
            <w:shd w:val="clear" w:color="000000" w:fill="C6EFCE"/>
            <w:noWrap/>
            <w:vAlign w:val="bottom"/>
          </w:tcPr>
          <w:p w14:paraId="1A6E66FF" w14:textId="159CA711" w:rsidR="00885540" w:rsidRPr="00E02B5D" w:rsidRDefault="00885540" w:rsidP="00885540">
            <w:pPr>
              <w:keepNext/>
              <w:spacing w:before="40" w:after="0" w:line="240" w:lineRule="auto"/>
              <w:jc w:val="both"/>
              <w:rPr>
                <w:rFonts w:ascii="Times New Roman" w:hAnsi="Times New Roman"/>
                <w:noProof/>
                <w:sz w:val="18"/>
              </w:rPr>
            </w:pPr>
            <w:r>
              <w:rPr>
                <w:rFonts w:ascii="Times New Roman" w:hAnsi="Times New Roman"/>
                <w:noProof/>
                <w:sz w:val="18"/>
              </w:rPr>
              <w:t>400 000 000 eurot</w:t>
            </w:r>
          </w:p>
        </w:tc>
      </w:tr>
    </w:tbl>
    <w:p w14:paraId="6822B860" w14:textId="77777777" w:rsidR="00CC06E7" w:rsidRPr="00E02B5D" w:rsidRDefault="00CC06E7" w:rsidP="00645BC7">
      <w:pPr>
        <w:keepNext/>
        <w:spacing w:before="40" w:after="0" w:line="259" w:lineRule="auto"/>
        <w:jc w:val="both"/>
        <w:rPr>
          <w:rFonts w:ascii="Times New Roman" w:eastAsia="Times New Roman" w:hAnsi="Times New Roman" w:cs="Times New Roman"/>
          <w:bCs/>
          <w:noProof/>
          <w:sz w:val="24"/>
          <w:szCs w:val="26"/>
          <w:lang w:val="en-GB"/>
        </w:rPr>
      </w:pPr>
    </w:p>
    <w:p w14:paraId="17083456" w14:textId="77777777" w:rsidR="00B430F0" w:rsidRPr="00E02B5D" w:rsidRDefault="00B430F0" w:rsidP="00DE1EE5">
      <w:pPr>
        <w:keepNext/>
        <w:numPr>
          <w:ilvl w:val="1"/>
          <w:numId w:val="22"/>
        </w:numPr>
        <w:spacing w:before="40" w:after="160" w:line="259" w:lineRule="auto"/>
        <w:ind w:left="0"/>
        <w:contextualSpacing/>
        <w:jc w:val="both"/>
        <w:rPr>
          <w:rFonts w:ascii="Times New Roman" w:hAnsi="Times New Roman" w:cs="Times New Roman"/>
          <w:noProof/>
          <w:sz w:val="24"/>
        </w:rPr>
      </w:pPr>
      <w:r>
        <w:rPr>
          <w:rFonts w:ascii="Times New Roman" w:hAnsi="Times New Roman"/>
          <w:noProof/>
          <w:sz w:val="24"/>
        </w:rPr>
        <w:t xml:space="preserve"> Üheksas maksetaotlus (laenutoetus): </w:t>
      </w:r>
    </w:p>
    <w:tbl>
      <w:tblPr>
        <w:tblW w:w="9639" w:type="dxa"/>
        <w:tblInd w:w="137" w:type="dxa"/>
        <w:tblLook w:val="04A0" w:firstRow="1" w:lastRow="0" w:firstColumn="1" w:lastColumn="0" w:noHBand="0" w:noVBand="1"/>
      </w:tblPr>
      <w:tblGrid>
        <w:gridCol w:w="1843"/>
        <w:gridCol w:w="4252"/>
        <w:gridCol w:w="1701"/>
        <w:gridCol w:w="1876"/>
      </w:tblGrid>
      <w:tr w:rsidR="000917AB" w:rsidRPr="00E02B5D" w14:paraId="0301D0F2" w14:textId="77777777" w:rsidTr="00F92806">
        <w:trPr>
          <w:trHeight w:val="964"/>
        </w:trPr>
        <w:tc>
          <w:tcPr>
            <w:tcW w:w="184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0CC8B94"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Järjekorranumber</w:t>
            </w:r>
          </w:p>
        </w:tc>
        <w:tc>
          <w:tcPr>
            <w:tcW w:w="425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213796B"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Seotud meede (reform või investeering)</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025D0BE"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Eesmärk / siht</w:t>
            </w:r>
          </w:p>
        </w:tc>
        <w:tc>
          <w:tcPr>
            <w:tcW w:w="1843" w:type="dxa"/>
            <w:vMerge w:val="restart"/>
            <w:tcBorders>
              <w:top w:val="single" w:sz="4" w:space="0" w:color="auto"/>
              <w:left w:val="nil"/>
              <w:bottom w:val="single" w:sz="4" w:space="0" w:color="000000"/>
              <w:right w:val="single" w:sz="4" w:space="0" w:color="auto"/>
            </w:tcBorders>
            <w:shd w:val="clear" w:color="auto" w:fill="BDD7EE"/>
            <w:vAlign w:val="center"/>
            <w:hideMark/>
          </w:tcPr>
          <w:p w14:paraId="35C5DED1" w14:textId="77777777" w:rsidR="00B430F0" w:rsidRPr="005622B6" w:rsidRDefault="00B430F0" w:rsidP="00230F85">
            <w:pPr>
              <w:keepNext/>
              <w:spacing w:before="40" w:after="0" w:line="259" w:lineRule="auto"/>
              <w:jc w:val="center"/>
              <w:rPr>
                <w:rFonts w:ascii="Times New Roman" w:eastAsia="Times New Roman" w:hAnsi="Times New Roman" w:cs="Times New Roman"/>
                <w:b/>
                <w:bCs/>
                <w:noProof/>
                <w:sz w:val="18"/>
                <w:szCs w:val="18"/>
              </w:rPr>
            </w:pPr>
            <w:r>
              <w:rPr>
                <w:rFonts w:ascii="Times New Roman" w:hAnsi="Times New Roman"/>
                <w:b/>
                <w:noProof/>
                <w:sz w:val="18"/>
              </w:rPr>
              <w:t>Nimi</w:t>
            </w:r>
          </w:p>
        </w:tc>
      </w:tr>
      <w:tr w:rsidR="000917AB" w:rsidRPr="00E02B5D" w14:paraId="63A19DCF" w14:textId="77777777" w:rsidTr="00F92806">
        <w:trPr>
          <w:trHeight w:val="1053"/>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77B97F4B"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4252" w:type="dxa"/>
            <w:vMerge/>
            <w:tcBorders>
              <w:top w:val="single" w:sz="4" w:space="0" w:color="auto"/>
              <w:left w:val="single" w:sz="4" w:space="0" w:color="auto"/>
              <w:bottom w:val="single" w:sz="4" w:space="0" w:color="000000"/>
              <w:right w:val="single" w:sz="4" w:space="0" w:color="auto"/>
            </w:tcBorders>
            <w:vAlign w:val="center"/>
            <w:hideMark/>
          </w:tcPr>
          <w:p w14:paraId="225566F9"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15C1947"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c>
          <w:tcPr>
            <w:tcW w:w="1843" w:type="dxa"/>
            <w:vMerge/>
            <w:tcBorders>
              <w:top w:val="single" w:sz="4" w:space="0" w:color="auto"/>
              <w:left w:val="nil"/>
              <w:bottom w:val="single" w:sz="4" w:space="0" w:color="000000"/>
              <w:right w:val="single" w:sz="4" w:space="0" w:color="auto"/>
            </w:tcBorders>
            <w:vAlign w:val="center"/>
            <w:hideMark/>
          </w:tcPr>
          <w:p w14:paraId="054282D3" w14:textId="77777777" w:rsidR="00B430F0" w:rsidRPr="00E02B5D" w:rsidRDefault="00B430F0" w:rsidP="00D16F13">
            <w:pPr>
              <w:keepNext/>
              <w:spacing w:before="40" w:after="0" w:line="259" w:lineRule="auto"/>
              <w:jc w:val="both"/>
              <w:rPr>
                <w:rFonts w:ascii="Times New Roman" w:eastAsia="Times New Roman" w:hAnsi="Times New Roman" w:cs="Times New Roman"/>
                <w:bCs/>
                <w:noProof/>
                <w:sz w:val="18"/>
                <w:szCs w:val="18"/>
                <w:lang w:val="en-GB" w:eastAsia="en-GB"/>
              </w:rPr>
            </w:pPr>
          </w:p>
        </w:tc>
      </w:tr>
      <w:tr w:rsidR="000917AB" w:rsidRPr="003B132A" w14:paraId="1A86997A" w14:textId="77777777" w:rsidTr="00A33C10">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A300124" w14:textId="4273B55E" w:rsidR="00B430F0" w:rsidRPr="00E02B5D" w:rsidRDefault="00B71EDC" w:rsidP="00D16F13">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376</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2EA88DFB" w14:textId="77777777" w:rsidR="00B430F0" w:rsidRPr="00E02B5D" w:rsidRDefault="00961C49"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16401_Energiauuendusprogramm „Upgrade My Home“</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135BB01A" w14:textId="77777777" w:rsidR="00B430F0" w:rsidRPr="00E02B5D" w:rsidRDefault="00B430F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3F7F87B9" w14:textId="77777777" w:rsidR="00B430F0" w:rsidRPr="00E02B5D" w:rsidRDefault="00BD4FD0" w:rsidP="00D16F13">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„Upgrade My Home“ – lõplike toetusesaajatega allkirjastatud juriidilised lepingud – 100 %</w:t>
            </w:r>
          </w:p>
        </w:tc>
      </w:tr>
      <w:tr w:rsidR="00961C49" w:rsidRPr="003B132A" w14:paraId="7FDA04B0" w14:textId="77777777" w:rsidTr="00961C49">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38BAABEC" w14:textId="45721310" w:rsidR="00961C49" w:rsidRPr="00E02B5D" w:rsidRDefault="00B71EDC" w:rsidP="00961C49">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377</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6C6244F6" w14:textId="77777777" w:rsidR="00961C49" w:rsidRPr="00E02B5D" w:rsidRDefault="00961C49" w:rsidP="00961C49">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2-1.2. Renoveerimine – 16401_Energiauuendusprogramm „Upgrade My Home“</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10FC9578" w14:textId="77777777" w:rsidR="00961C49" w:rsidRPr="00E02B5D" w:rsidRDefault="00961C49" w:rsidP="00961C49">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44FED910" w14:textId="77777777" w:rsidR="00961C49" w:rsidRPr="00E02B5D" w:rsidRDefault="005929E8" w:rsidP="00961C49">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„Upgrade My Home“ – Rahandusministeerium on investeeringu lõpule viinud</w:t>
            </w:r>
          </w:p>
        </w:tc>
      </w:tr>
      <w:tr w:rsidR="00961C49" w:rsidRPr="003B132A" w14:paraId="18245CBE" w14:textId="77777777" w:rsidTr="00961C49">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69F2D7E2" w14:textId="2907F839" w:rsidR="00961C49" w:rsidRPr="00E02B5D" w:rsidRDefault="00CA22E7" w:rsidP="00961C49">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380</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2450F45C" w14:textId="77777777" w:rsidR="00961C49" w:rsidRPr="00E02B5D" w:rsidRDefault="00961C49" w:rsidP="00961C49">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11-3.4. Juurdepääsu parandamine tõhusale ja kaasavale sotsiaalpoliitikale – 16400_taskukohase eluaseme programm „My Home II“</w:t>
            </w:r>
            <w:r>
              <w:rPr>
                <w:rFonts w:ascii="Times New Roman" w:hAnsi="Times New Roman"/>
                <w:noProof/>
                <w:sz w:val="18"/>
              </w:rPr>
              <w:tab/>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50BB3F8B" w14:textId="77777777" w:rsidR="00961C49" w:rsidRPr="00E02B5D" w:rsidRDefault="00961C49" w:rsidP="00961C49">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Siht</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3A819455" w14:textId="77777777" w:rsidR="00961C49" w:rsidRPr="00E02B5D" w:rsidRDefault="00B171C2" w:rsidP="00961C49">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„My Home II“ – lõplike toetusesaajatega allkirjastatud juriidilised lepingud – 100 %</w:t>
            </w:r>
          </w:p>
        </w:tc>
      </w:tr>
      <w:tr w:rsidR="00961C49" w:rsidRPr="003B132A" w14:paraId="6D7C1FF8" w14:textId="77777777" w:rsidTr="00961C49">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4606B306" w14:textId="7F023EF7" w:rsidR="00961C49" w:rsidRPr="00E02B5D" w:rsidRDefault="00CA22E7" w:rsidP="00961C49">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381</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0A0ECA65" w14:textId="77777777" w:rsidR="00961C49" w:rsidRPr="00E02B5D" w:rsidRDefault="00961C49" w:rsidP="00961C49">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11-3.4. Juurdepääsu parandamine tõhusale ja kaasavale sotsiaalpoliitikale – 16400_taskukohase eluaseme programm „My Home II“</w:t>
            </w:r>
            <w:r>
              <w:rPr>
                <w:rFonts w:ascii="Times New Roman" w:hAnsi="Times New Roman"/>
                <w:noProof/>
                <w:sz w:val="18"/>
              </w:rPr>
              <w:tab/>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747736AA" w14:textId="77777777" w:rsidR="00961C49" w:rsidRPr="00E02B5D" w:rsidRDefault="00961C49" w:rsidP="00961C49">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Eesmärk</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1C791DE2" w14:textId="77777777" w:rsidR="00961C49" w:rsidRPr="00E02B5D" w:rsidRDefault="009B2F33" w:rsidP="00961C49">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„My Home II“ – Rahandusministeerium on investeeringu lõpule viinud</w:t>
            </w:r>
          </w:p>
        </w:tc>
      </w:tr>
      <w:tr w:rsidR="00961C49" w:rsidRPr="003B132A" w14:paraId="64B8B1B0" w14:textId="77777777" w:rsidTr="00A33C10">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4DE36820" w14:textId="77777777" w:rsidR="00961C49" w:rsidRPr="00E02B5D" w:rsidRDefault="00961C49" w:rsidP="00961C49">
            <w:pPr>
              <w:keepNext/>
              <w:spacing w:before="40" w:after="0" w:line="240" w:lineRule="auto"/>
              <w:jc w:val="both"/>
              <w:rPr>
                <w:rFonts w:ascii="Times New Roman" w:hAnsi="Times New Roman"/>
                <w:noProof/>
                <w:sz w:val="18"/>
              </w:rPr>
            </w:pPr>
            <w:r>
              <w:rPr>
                <w:rFonts w:ascii="Times New Roman" w:hAnsi="Times New Roman"/>
                <w:noProof/>
                <w:sz w:val="18"/>
              </w:rPr>
              <w:t>328</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281E775B" w14:textId="77777777" w:rsidR="00961C49" w:rsidRPr="00E02B5D" w:rsidRDefault="00961C49" w:rsidP="00961C49">
            <w:pPr>
              <w:keepNext/>
              <w:spacing w:before="40" w:after="0" w:line="240" w:lineRule="auto"/>
              <w:jc w:val="both"/>
              <w:rPr>
                <w:rFonts w:ascii="Times New Roman" w:hAnsi="Times New Roman"/>
                <w:noProof/>
                <w:sz w:val="18"/>
              </w:rPr>
            </w:pPr>
            <w:r>
              <w:rPr>
                <w:rFonts w:ascii="Times New Roman" w:hAnsi="Times New Roman"/>
                <w:noProof/>
                <w:sz w:val="18"/>
              </w:rPr>
              <w:t>4.7. Parandada konkurentsivõimet ning edendada erainvesteeringuid ja eksporti – 16980_RRP laenurahastu</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33D5AED5" w14:textId="77777777" w:rsidR="00961C49" w:rsidRPr="00E02B5D" w:rsidRDefault="00961C49" w:rsidP="00961C49">
            <w:pPr>
              <w:keepNext/>
              <w:spacing w:before="40" w:after="0" w:line="240" w:lineRule="auto"/>
              <w:jc w:val="both"/>
              <w:rPr>
                <w:rFonts w:ascii="Times New Roman" w:hAnsi="Times New Roman"/>
                <w:noProof/>
                <w:sz w:val="18"/>
              </w:rPr>
            </w:pPr>
            <w:r>
              <w:rPr>
                <w:rFonts w:ascii="Times New Roman" w:hAnsi="Times New Roman"/>
                <w:noProof/>
                <w:sz w:val="18"/>
              </w:rPr>
              <w:t>Siht</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27A0F3E0" w14:textId="609D50B1" w:rsidR="00961C49" w:rsidRPr="00E02B5D" w:rsidRDefault="00961C49" w:rsidP="00961C49">
            <w:pPr>
              <w:keepNext/>
              <w:spacing w:before="40" w:after="0" w:line="240" w:lineRule="auto"/>
              <w:jc w:val="both"/>
              <w:rPr>
                <w:rFonts w:ascii="Times New Roman" w:hAnsi="Times New Roman"/>
                <w:noProof/>
                <w:sz w:val="18"/>
              </w:rPr>
            </w:pPr>
            <w:r>
              <w:rPr>
                <w:rFonts w:ascii="Times New Roman" w:hAnsi="Times New Roman"/>
                <w:noProof/>
                <w:sz w:val="18"/>
              </w:rPr>
              <w:t>15 428 miljonit eurot finantsinstitutsioonide vahendeid, mis on allkirjastatud lõplike abisaajatega</w:t>
            </w:r>
          </w:p>
        </w:tc>
      </w:tr>
      <w:tr w:rsidR="000917AB" w:rsidRPr="003B132A" w14:paraId="5CCF8193" w14:textId="77777777" w:rsidTr="00A33C10">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C859A8F"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328a</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4C872FD3"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4.7. Parandada konkurentsivõimet ning edendada erainvesteeringuid ja eksporti – 16980_RRP laenurahastu</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79427D40" w14:textId="77777777" w:rsidR="00B430F0" w:rsidRPr="00E02B5D" w:rsidRDefault="00B430F0"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Eesmärk</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06CC0B05" w14:textId="2662F99D" w:rsidR="00B430F0" w:rsidRPr="00E02B5D" w:rsidRDefault="0013336B" w:rsidP="00D16F13">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Laenurahastu – Rahandusministeerium on investeeringu lõpule viinud</w:t>
            </w:r>
          </w:p>
        </w:tc>
      </w:tr>
      <w:tr w:rsidR="000917AB" w:rsidRPr="00E02B5D" w14:paraId="3DDA1CF3" w14:textId="77777777" w:rsidTr="00A33C10">
        <w:trPr>
          <w:trHeight w:val="320"/>
        </w:trPr>
        <w:tc>
          <w:tcPr>
            <w:tcW w:w="184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0F40258" w14:textId="77777777" w:rsidR="00525DCE" w:rsidRPr="00E02B5D" w:rsidRDefault="00525DCE" w:rsidP="001A519B">
            <w:pPr>
              <w:keepNext/>
              <w:spacing w:before="40" w:after="0" w:line="240" w:lineRule="auto"/>
              <w:jc w:val="both"/>
              <w:rPr>
                <w:rFonts w:ascii="Times New Roman" w:eastAsia="Times New Roman" w:hAnsi="Times New Roman" w:cs="Times New Roman"/>
                <w:noProof/>
                <w:sz w:val="18"/>
                <w:szCs w:val="18"/>
                <w:lang w:val="en-GB" w:eastAsia="en-GB"/>
              </w:rPr>
            </w:pPr>
          </w:p>
        </w:tc>
        <w:tc>
          <w:tcPr>
            <w:tcW w:w="4252" w:type="dxa"/>
            <w:tcBorders>
              <w:top w:val="single" w:sz="4" w:space="0" w:color="auto"/>
              <w:left w:val="nil"/>
              <w:bottom w:val="single" w:sz="4" w:space="0" w:color="auto"/>
              <w:right w:val="single" w:sz="4" w:space="0" w:color="auto"/>
            </w:tcBorders>
            <w:shd w:val="clear" w:color="auto" w:fill="C6EFCE"/>
            <w:noWrap/>
            <w:vAlign w:val="bottom"/>
          </w:tcPr>
          <w:p w14:paraId="5C0AE24D" w14:textId="77777777" w:rsidR="00525DCE" w:rsidRPr="00E02B5D" w:rsidRDefault="00525DCE" w:rsidP="001A519B">
            <w:pPr>
              <w:keepNext/>
              <w:spacing w:before="40" w:after="0" w:line="240" w:lineRule="auto"/>
              <w:jc w:val="both"/>
              <w:rPr>
                <w:rFonts w:ascii="Times New Roman" w:hAnsi="Times New Roman" w:cs="Times New Roman"/>
                <w:noProof/>
                <w:sz w:val="18"/>
                <w:szCs w:val="18"/>
                <w:lang w:val="en-GB"/>
              </w:rPr>
            </w:pPr>
          </w:p>
        </w:tc>
        <w:tc>
          <w:tcPr>
            <w:tcW w:w="1701" w:type="dxa"/>
            <w:tcBorders>
              <w:top w:val="single" w:sz="4" w:space="0" w:color="auto"/>
              <w:left w:val="nil"/>
              <w:bottom w:val="single" w:sz="4" w:space="0" w:color="auto"/>
              <w:right w:val="single" w:sz="4" w:space="0" w:color="auto"/>
            </w:tcBorders>
            <w:shd w:val="clear" w:color="auto" w:fill="C6EFCE"/>
            <w:noWrap/>
            <w:vAlign w:val="bottom"/>
          </w:tcPr>
          <w:p w14:paraId="28989963" w14:textId="77777777" w:rsidR="00525DCE" w:rsidRPr="00E02B5D" w:rsidRDefault="00525DCE" w:rsidP="001A519B">
            <w:pPr>
              <w:keepNext/>
              <w:spacing w:before="40" w:after="0" w:line="240" w:lineRule="auto"/>
              <w:jc w:val="both"/>
              <w:rPr>
                <w:rFonts w:ascii="Times New Roman" w:hAnsi="Times New Roman" w:cs="Times New Roman"/>
                <w:noProof/>
                <w:sz w:val="18"/>
                <w:szCs w:val="18"/>
              </w:rPr>
            </w:pPr>
            <w:r>
              <w:rPr>
                <w:rFonts w:ascii="Times New Roman" w:hAnsi="Times New Roman"/>
                <w:noProof/>
                <w:sz w:val="18"/>
              </w:rPr>
              <w:t>Osamakse summa</w:t>
            </w:r>
          </w:p>
        </w:tc>
        <w:tc>
          <w:tcPr>
            <w:tcW w:w="1843" w:type="dxa"/>
            <w:tcBorders>
              <w:top w:val="single" w:sz="4" w:space="0" w:color="auto"/>
              <w:left w:val="nil"/>
              <w:bottom w:val="single" w:sz="4" w:space="0" w:color="auto"/>
              <w:right w:val="single" w:sz="4" w:space="0" w:color="auto"/>
            </w:tcBorders>
            <w:shd w:val="clear" w:color="auto" w:fill="C6EFCE"/>
            <w:noWrap/>
            <w:vAlign w:val="bottom"/>
          </w:tcPr>
          <w:p w14:paraId="014136A6" w14:textId="77DEE208" w:rsidR="00525DCE" w:rsidRPr="004A6ED2" w:rsidRDefault="00525DCE" w:rsidP="00E6168E">
            <w:pPr>
              <w:keepNext/>
              <w:spacing w:before="40" w:after="0" w:line="240" w:lineRule="auto"/>
              <w:jc w:val="both"/>
              <w:rPr>
                <w:rFonts w:ascii="Times New Roman" w:hAnsi="Times New Roman"/>
                <w:noProof/>
                <w:sz w:val="18"/>
              </w:rPr>
            </w:pPr>
            <w:r>
              <w:rPr>
                <w:rFonts w:ascii="Times New Roman" w:hAnsi="Times New Roman"/>
                <w:noProof/>
                <w:sz w:val="18"/>
              </w:rPr>
              <w:t>2 609 255 117 eurot</w:t>
            </w:r>
          </w:p>
        </w:tc>
      </w:tr>
    </w:tbl>
    <w:p w14:paraId="73957B47" w14:textId="77777777" w:rsidR="00B430F0" w:rsidRPr="00E02B5D" w:rsidRDefault="00B430F0" w:rsidP="00645BC7">
      <w:pPr>
        <w:rPr>
          <w:rFonts w:ascii="Times New Roman" w:hAnsi="Times New Roman" w:cs="Times New Roman"/>
          <w:b/>
          <w:bCs/>
          <w:noProof/>
          <w:sz w:val="24"/>
        </w:rPr>
      </w:pPr>
      <w:r>
        <w:rPr>
          <w:noProof/>
        </w:rPr>
        <w:br w:type="page"/>
      </w:r>
    </w:p>
    <w:p w14:paraId="48A758C4" w14:textId="77777777" w:rsidR="00B430F0" w:rsidRPr="00E02B5D" w:rsidRDefault="00B430F0" w:rsidP="00645BC7">
      <w:pPr>
        <w:keepNext/>
        <w:tabs>
          <w:tab w:val="num" w:pos="850"/>
        </w:tabs>
        <w:spacing w:before="120" w:after="120" w:line="259" w:lineRule="auto"/>
        <w:ind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4. JAGU: TÄIENDAV KORD </w:t>
      </w:r>
    </w:p>
    <w:p w14:paraId="57052859" w14:textId="77777777" w:rsidR="00B430F0" w:rsidRPr="00E02B5D" w:rsidRDefault="00B430F0" w:rsidP="00DE1EE5">
      <w:pPr>
        <w:numPr>
          <w:ilvl w:val="6"/>
          <w:numId w:val="17"/>
        </w:numPr>
        <w:spacing w:before="120" w:after="120" w:line="240" w:lineRule="auto"/>
        <w:ind w:left="0" w:hanging="567"/>
        <w:jc w:val="both"/>
        <w:rPr>
          <w:rFonts w:ascii="Times New Roman" w:eastAsia="Times New Roman" w:hAnsi="Times New Roman" w:cs="Times New Roman"/>
          <w:b/>
          <w:noProof/>
          <w:sz w:val="24"/>
        </w:rPr>
      </w:pPr>
      <w:r>
        <w:rPr>
          <w:rFonts w:ascii="Times New Roman" w:hAnsi="Times New Roman"/>
          <w:b/>
          <w:noProof/>
          <w:sz w:val="24"/>
        </w:rPr>
        <w:t>Taaste- ja vastupidavuskava seire ja rakendamise kord</w:t>
      </w:r>
    </w:p>
    <w:p w14:paraId="7BE9D3AB" w14:textId="77777777" w:rsidR="00B430F0" w:rsidRPr="00E02B5D" w:rsidRDefault="00B430F0"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Kreeka taaste- ja vastupidavuskava seire ja rakendamine toimub vastavalt järgmisele korrale. </w:t>
      </w:r>
    </w:p>
    <w:p w14:paraId="546A3231" w14:textId="77777777" w:rsidR="00B430F0" w:rsidRPr="00E02B5D" w:rsidRDefault="00B430F0"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Taaste- ja vastupidavuskava rakendamise koordineerimise ning seire eest vastutab peamiselt taaste- ja vastupidavusrahastu koordineerimisamet, rahandusministeeriumi sõltumatu eriotstarbeline avalik teenistus, mis loodi seadusega 4738/2020. Taasterahastu koordineerimisasutus on ka vastutav asutus, kes kontrollib, kas taaste- ja vastupidavuskava eesmärgid ja sihid on täidetud, ning tegutseb ka Euroopa Komisjoni ja Kreeka ametiasutuste vahelise (ühtse) sidepunktina. Täpsemalt hõlmab tema ülesanne projektide edenemise aktiivset jälgimist kokkulepitud eesmärkide ja sihtide alusel ning maksetaotluste esitamist Euroopa Komisjonile pärast nende lõpuleviimise kontrollimist. Viimasele lisatakse vahendite haldaja kinnitus selle kohta, et vahendeid kasutati ettenähtud otstarbel ja kooskõlas usaldusväärse finantsjuhtimise põhimõttega, samuti kokkuvõte tehtud audititest, sealhulgas tuvastatud puudused ja võetud parandusmeetmed.</w:t>
      </w:r>
    </w:p>
    <w:p w14:paraId="0914715F" w14:textId="77777777" w:rsidR="00B430F0" w:rsidRPr="00E02B5D" w:rsidRDefault="00B430F0"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Üldine vastutus iga konkreetse meetme rakendamise eest kuulub asjaomase ministeeriumi pädevusse, kelle talitused toetavad projektide edenemise jälgimist ning säilitavad tiheda koostöö taaste- ja vastupidavusrahastu koordineerimisasutusega. </w:t>
      </w:r>
    </w:p>
    <w:p w14:paraId="704E0EBE" w14:textId="77777777" w:rsidR="00B430F0" w:rsidRPr="00E02B5D" w:rsidRDefault="00B430F0"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Kõiki kavas sisalduvaid meetmeid rakendavad riiklikud asutused (edaspidi „rakendusasutused“), kelle on määranud pädev ministeerium, ning nad vastutavad kokkulepitud eesmärkide ja sihtide saavutamise ning kõigi andmete ja dokumentide esitamise eest taaste- ja vastupidavusrahastu koordineerimisasutusele loodava juhtimisalase infosüsteemi kaudu. </w:t>
      </w:r>
    </w:p>
    <w:p w14:paraId="7D9888EE" w14:textId="77777777" w:rsidR="00B430F0" w:rsidRPr="00E02B5D" w:rsidRDefault="00B430F0"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Lõpuks tagab finantsauditi komitee (EDEL, mis kuulub rahandusministeeriumi eelarvepoliitika peasekretariaati (riigi raamatupidamisbüroosse)) usaldusväärse finantsjuhtimise põhimõtete järgimise.</w:t>
      </w:r>
    </w:p>
    <w:p w14:paraId="5FCA00AE" w14:textId="77777777" w:rsidR="00B430F0" w:rsidRPr="00AD4052" w:rsidRDefault="00B430F0" w:rsidP="00645BC7">
      <w:pPr>
        <w:spacing w:before="120" w:after="120" w:line="240" w:lineRule="auto"/>
        <w:jc w:val="both"/>
        <w:rPr>
          <w:rFonts w:ascii="Times New Roman" w:hAnsi="Times New Roman" w:cs="Times New Roman"/>
          <w:noProof/>
          <w:sz w:val="24"/>
        </w:rPr>
      </w:pPr>
    </w:p>
    <w:p w14:paraId="6388F48A" w14:textId="77777777" w:rsidR="00B430F0" w:rsidRPr="00E02B5D" w:rsidRDefault="00B430F0" w:rsidP="00DE1EE5">
      <w:pPr>
        <w:numPr>
          <w:ilvl w:val="6"/>
          <w:numId w:val="17"/>
        </w:numPr>
        <w:spacing w:before="120" w:after="120" w:line="240" w:lineRule="auto"/>
        <w:ind w:left="0" w:hanging="567"/>
        <w:jc w:val="both"/>
        <w:rPr>
          <w:rFonts w:ascii="Times New Roman" w:hAnsi="Times New Roman" w:cs="Times New Roman"/>
          <w:noProof/>
          <w:sz w:val="24"/>
        </w:rPr>
      </w:pPr>
      <w:r>
        <w:rPr>
          <w:rFonts w:ascii="Times New Roman" w:hAnsi="Times New Roman"/>
          <w:b/>
          <w:noProof/>
          <w:sz w:val="24"/>
        </w:rPr>
        <w:t>Komisjonile vajalikele alusandmetele täieliku juurdepääsu andmise kord</w:t>
      </w:r>
    </w:p>
    <w:p w14:paraId="181A5077" w14:textId="77777777" w:rsidR="00B430F0" w:rsidRPr="00E02B5D" w:rsidRDefault="00B430F0"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Selleks et anda komisjonile täielik juurdepääs asjakohastele alusandmetele, kehtestab Kreeka järgmise korra.</w:t>
      </w:r>
    </w:p>
    <w:p w14:paraId="448DA226" w14:textId="77777777" w:rsidR="00B430F0" w:rsidRPr="00E02B5D" w:rsidRDefault="00B430F0" w:rsidP="00645BC7">
      <w:pPr>
        <w:spacing w:before="120" w:after="120" w:line="240" w:lineRule="auto"/>
        <w:jc w:val="both"/>
        <w:rPr>
          <w:rFonts w:ascii="Times New Roman" w:hAnsi="Times New Roman" w:cs="Times New Roman"/>
          <w:noProof/>
          <w:sz w:val="24"/>
        </w:rPr>
      </w:pPr>
      <w:r>
        <w:rPr>
          <w:rFonts w:ascii="Times New Roman" w:hAnsi="Times New Roman"/>
          <w:noProof/>
          <w:sz w:val="24"/>
        </w:rPr>
        <w:t>Taaste- ja vastupidavusrahastu koordineerimisasutus kui Kreeka taaste- ja vastupidavuskava ning selle rakendamise keskne koordineeriv asutus vastutab kava üldise koordineerimise ja seire eest. Eelkõige tegutseb ta koordineeriva asutusena eesmärkide ja sihtide saavutamisel tehtud edusammude jälgimiseks, seireks ning vajaduse korral kontrolli- ja auditeerimistegevuse rakendamiseks ning aruandluse ja maksetaotluste esitamiseks. Ta koordineerib aruandlust eesmärkide ja sihtide, asjakohaste näitajate, aga ka kvalitatiivse finantsteabe ja muude andmete, näiteks toetuse lõplike saajate kohta. Andmeid kodeeritakse kõigis rakendusasutustes, kes on kohustatud esitama nõutud andmed taaste- ja vastupidavusrahastu koordineerimisasutusele haldusteabesüsteemi kaudu.</w:t>
      </w:r>
    </w:p>
    <w:p w14:paraId="08925922" w14:textId="77777777" w:rsidR="00B430F0" w:rsidRPr="00E02B5D" w:rsidRDefault="00B430F0" w:rsidP="00903DDB">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Kooskõlas määruse (EL) nr 2021/241 artikli 24 lõikega 2 esitab Kreeka pärast käesoleva lisa punktis 2.1 sätestatud asjakohaste kokkulepitud eesmärkide ja sihtide saavutamist komisjonile nõuetekohaselt põhjendatud taotluse rahalise toetuse ja vajaduse korral laenu maksmiseks. Kreeka tagab, et komisjonil on taotluse korral täielik juurdepääs asjaomastele alusandmetele, mis toetavad maksetaotluse nõuetekohast põhjendust, nii maksetaotluse hindamiseks vastavalt määruse (EL) nr 2021/241 artikli 24 lõikele 3 kui ka auditeerimise ja kontrolli eesmärgil. </w:t>
      </w:r>
    </w:p>
    <w:p w14:paraId="71723235" w14:textId="77777777" w:rsidR="00F75D36" w:rsidRPr="00AD4052" w:rsidRDefault="00F75D36" w:rsidP="0092204B">
      <w:pPr>
        <w:keepNext/>
        <w:spacing w:before="120" w:after="160" w:line="259" w:lineRule="auto"/>
        <w:ind w:hanging="360"/>
        <w:contextualSpacing/>
        <w:jc w:val="both"/>
        <w:rPr>
          <w:rFonts w:ascii="Times New Roman" w:hAnsi="Times New Roman" w:cs="Times New Roman"/>
          <w:noProof/>
          <w:sz w:val="24"/>
        </w:rPr>
      </w:pPr>
    </w:p>
    <w:sectPr w:rsidR="00F75D36" w:rsidRPr="00AD4052" w:rsidSect="00271D33">
      <w:headerReference w:type="even" r:id="rId464"/>
      <w:headerReference w:type="default" r:id="rId465"/>
      <w:footerReference w:type="even" r:id="rId466"/>
      <w:footerReference w:type="default" r:id="rId467"/>
      <w:headerReference w:type="first" r:id="rId468"/>
      <w:footerReference w:type="first" r:id="rId469"/>
      <w:pgSz w:w="11907" w:h="1683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09FFE" w14:textId="77777777" w:rsidR="002E1A2D" w:rsidRDefault="002E1A2D" w:rsidP="00645BC7">
      <w:pPr>
        <w:spacing w:after="0" w:line="240" w:lineRule="auto"/>
      </w:pPr>
      <w:r>
        <w:separator/>
      </w:r>
    </w:p>
  </w:endnote>
  <w:endnote w:type="continuationSeparator" w:id="0">
    <w:p w14:paraId="3BDF0A56" w14:textId="77777777" w:rsidR="002E1A2D" w:rsidRDefault="002E1A2D" w:rsidP="00645BC7">
      <w:pPr>
        <w:spacing w:after="0" w:line="240" w:lineRule="auto"/>
      </w:pPr>
      <w:r>
        <w:continuationSeparator/>
      </w:r>
    </w:p>
  </w:endnote>
  <w:endnote w:type="continuationNotice" w:id="1">
    <w:p w14:paraId="685FF5A5" w14:textId="77777777" w:rsidR="002E1A2D" w:rsidRDefault="002E1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r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8893" w14:textId="4F97D8E0" w:rsidR="00247639" w:rsidRPr="00247639" w:rsidRDefault="00247639" w:rsidP="00247639">
    <w:pPr>
      <w:pStyle w:val="FooterCoverPage"/>
      <w:rPr>
        <w:rFonts w:ascii="Arial" w:hAnsi="Arial" w:cs="Arial"/>
        <w:b/>
        <w:sz w:val="48"/>
      </w:rPr>
    </w:pPr>
    <w:r w:rsidRPr="00247639">
      <w:rPr>
        <w:rFonts w:ascii="Arial" w:hAnsi="Arial" w:cs="Arial"/>
        <w:b/>
        <w:sz w:val="48"/>
      </w:rPr>
      <w:t>ET</w:t>
    </w:r>
    <w:r w:rsidRPr="00247639">
      <w:rPr>
        <w:rFonts w:ascii="Arial" w:hAnsi="Arial" w:cs="Arial"/>
        <w:b/>
        <w:sz w:val="48"/>
      </w:rPr>
      <w:tab/>
    </w:r>
    <w:r w:rsidRPr="00247639">
      <w:rPr>
        <w:rFonts w:ascii="Arial" w:hAnsi="Arial" w:cs="Arial"/>
        <w:b/>
        <w:sz w:val="48"/>
      </w:rPr>
      <w:tab/>
    </w:r>
    <w:r w:rsidRPr="00247639">
      <w:tab/>
    </w:r>
    <w:r w:rsidRPr="00247639">
      <w:rPr>
        <w:rFonts w:ascii="Arial" w:hAnsi="Arial" w:cs="Arial"/>
        <w:b/>
        <w:sz w:val="48"/>
      </w:rPr>
      <w:t>ET</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58BE" w14:textId="77777777" w:rsidR="00A84778" w:rsidRDefault="00A84778">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AF4E" w14:textId="77777777" w:rsidR="00A84778" w:rsidRPr="00271D33" w:rsidRDefault="00A84778" w:rsidP="00271D33">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50374383" w14:textId="77777777" w:rsidTr="00F46D42">
      <w:trPr>
        <w:jc w:val="center"/>
      </w:trPr>
      <w:tc>
        <w:tcPr>
          <w:tcW w:w="2500" w:type="pct"/>
          <w:gridSpan w:val="2"/>
          <w:shd w:val="clear" w:color="auto" w:fill="auto"/>
          <w:tcMar>
            <w:top w:w="0" w:type="dxa"/>
          </w:tcMar>
        </w:tcPr>
        <w:p w14:paraId="10A55101" w14:textId="5440C065" w:rsidR="00A84778" w:rsidRPr="00AD7BF2" w:rsidRDefault="00A84778" w:rsidP="00805175">
          <w:pPr>
            <w:pStyle w:val="FooterText"/>
          </w:pPr>
        </w:p>
      </w:tc>
      <w:tc>
        <w:tcPr>
          <w:tcW w:w="625" w:type="pct"/>
          <w:shd w:val="clear" w:color="auto" w:fill="auto"/>
          <w:tcMar>
            <w:top w:w="0" w:type="dxa"/>
          </w:tcMar>
        </w:tcPr>
        <w:p w14:paraId="3121433E" w14:textId="77777777" w:rsidR="00A84778" w:rsidRPr="00AD7BF2" w:rsidRDefault="00A84778" w:rsidP="00805175">
          <w:pPr>
            <w:pStyle w:val="FooterText"/>
            <w:jc w:val="center"/>
          </w:pPr>
        </w:p>
      </w:tc>
      <w:tc>
        <w:tcPr>
          <w:tcW w:w="1286" w:type="pct"/>
          <w:gridSpan w:val="3"/>
          <w:shd w:val="clear" w:color="auto" w:fill="auto"/>
          <w:tcMar>
            <w:top w:w="0" w:type="dxa"/>
          </w:tcMar>
        </w:tcPr>
        <w:p w14:paraId="641D7DFC" w14:textId="322F1B8D" w:rsidR="00A84778" w:rsidRPr="002511D8" w:rsidRDefault="00A84778" w:rsidP="00805175">
          <w:pPr>
            <w:pStyle w:val="FooterText"/>
            <w:jc w:val="center"/>
          </w:pPr>
        </w:p>
      </w:tc>
      <w:tc>
        <w:tcPr>
          <w:tcW w:w="589" w:type="pct"/>
          <w:shd w:val="clear" w:color="auto" w:fill="auto"/>
          <w:tcMar>
            <w:top w:w="0" w:type="dxa"/>
          </w:tcMar>
        </w:tcPr>
        <w:p w14:paraId="5A770BEE" w14:textId="77777777" w:rsidR="005B6253" w:rsidRDefault="0031073C" w:rsidP="00805175">
          <w:pPr>
            <w:pStyle w:val="FooterText"/>
            <w:jc w:val="right"/>
          </w:pPr>
          <w:r>
            <w:fldChar w:fldCharType="begin"/>
          </w:r>
          <w:r>
            <w:instrText xml:space="preserve"> PAGE  \* MERGEFORMAT </w:instrText>
          </w:r>
          <w:r>
            <w:fldChar w:fldCharType="separate"/>
          </w:r>
          <w:r w:rsidR="006E0EA2">
            <w:t>130</w:t>
          </w:r>
          <w:r>
            <w:fldChar w:fldCharType="end"/>
          </w:r>
        </w:p>
        <w:p w14:paraId="24118C12" w14:textId="77777777" w:rsidR="00A84778" w:rsidRPr="00B310DC" w:rsidRDefault="00A84778" w:rsidP="00805175">
          <w:pPr>
            <w:pStyle w:val="FooterText"/>
            <w:jc w:val="right"/>
          </w:pPr>
        </w:p>
      </w:tc>
    </w:tr>
    <w:tr w:rsidR="00A84778" w:rsidRPr="00D94637" w14:paraId="2DFAA6BB" w14:textId="77777777" w:rsidTr="00F46D42">
      <w:trPr>
        <w:jc w:val="center"/>
      </w:trPr>
      <w:tc>
        <w:tcPr>
          <w:tcW w:w="1774" w:type="pct"/>
          <w:shd w:val="clear" w:color="auto" w:fill="auto"/>
        </w:tcPr>
        <w:p w14:paraId="7325E289" w14:textId="77777777" w:rsidR="00A84778" w:rsidRPr="00AD7BF2" w:rsidRDefault="00A84778" w:rsidP="00805175">
          <w:pPr>
            <w:pStyle w:val="FooterText"/>
            <w:spacing w:before="40"/>
          </w:pPr>
        </w:p>
      </w:tc>
      <w:tc>
        <w:tcPr>
          <w:tcW w:w="1455" w:type="pct"/>
          <w:gridSpan w:val="3"/>
          <w:shd w:val="clear" w:color="auto" w:fill="auto"/>
        </w:tcPr>
        <w:p w14:paraId="0F709BD5" w14:textId="3A322E83" w:rsidR="00A84778" w:rsidRPr="00AD7BF2" w:rsidRDefault="00A84778" w:rsidP="00805175">
          <w:pPr>
            <w:pStyle w:val="FooterText"/>
            <w:spacing w:before="40"/>
            <w:jc w:val="center"/>
          </w:pPr>
        </w:p>
      </w:tc>
      <w:tc>
        <w:tcPr>
          <w:tcW w:w="742" w:type="pct"/>
          <w:shd w:val="clear" w:color="auto" w:fill="auto"/>
        </w:tcPr>
        <w:p w14:paraId="6E16E9CE" w14:textId="77777777" w:rsidR="00A84778" w:rsidRPr="00D94637" w:rsidRDefault="00A84778" w:rsidP="00805175">
          <w:pPr>
            <w:pStyle w:val="FooterText"/>
            <w:jc w:val="center"/>
            <w:rPr>
              <w:b/>
              <w:position w:val="-4"/>
              <w:sz w:val="36"/>
            </w:rPr>
          </w:pPr>
        </w:p>
      </w:tc>
      <w:tc>
        <w:tcPr>
          <w:tcW w:w="1029" w:type="pct"/>
          <w:gridSpan w:val="2"/>
          <w:shd w:val="clear" w:color="auto" w:fill="auto"/>
        </w:tcPr>
        <w:p w14:paraId="00148338" w14:textId="150349C8" w:rsidR="00A84778" w:rsidRPr="00695BAF" w:rsidRDefault="00A84778" w:rsidP="00805175">
          <w:pPr>
            <w:pStyle w:val="FooterText"/>
            <w:jc w:val="right"/>
            <w:rPr>
              <w:caps/>
              <w:spacing w:val="-20"/>
              <w:sz w:val="16"/>
            </w:rPr>
          </w:pPr>
        </w:p>
      </w:tc>
    </w:tr>
  </w:tbl>
  <w:p w14:paraId="03DB0DEF" w14:textId="77777777" w:rsidR="00A84778" w:rsidRPr="00271D33" w:rsidRDefault="00A84778" w:rsidP="00271D33">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AD06C" w14:textId="77777777" w:rsidR="00A84778" w:rsidRPr="00271D33" w:rsidRDefault="00A84778" w:rsidP="00271D33">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80D2" w14:textId="77777777" w:rsidR="00A84778" w:rsidRPr="00271D33" w:rsidRDefault="00A84778" w:rsidP="00271D33">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2CCF657E" w14:textId="77777777" w:rsidTr="00F46D42">
      <w:trPr>
        <w:jc w:val="center"/>
      </w:trPr>
      <w:tc>
        <w:tcPr>
          <w:tcW w:w="2500" w:type="pct"/>
          <w:gridSpan w:val="2"/>
          <w:shd w:val="clear" w:color="auto" w:fill="auto"/>
          <w:tcMar>
            <w:top w:w="0" w:type="dxa"/>
          </w:tcMar>
        </w:tcPr>
        <w:p w14:paraId="67530775" w14:textId="6D792F28" w:rsidR="00A84778" w:rsidRPr="00AD7BF2" w:rsidRDefault="00A84778" w:rsidP="00DB78EA">
          <w:pPr>
            <w:pStyle w:val="FooterText"/>
          </w:pPr>
        </w:p>
      </w:tc>
      <w:tc>
        <w:tcPr>
          <w:tcW w:w="625" w:type="pct"/>
          <w:shd w:val="clear" w:color="auto" w:fill="auto"/>
          <w:tcMar>
            <w:top w:w="0" w:type="dxa"/>
          </w:tcMar>
        </w:tcPr>
        <w:p w14:paraId="775210B5" w14:textId="77777777" w:rsidR="00A84778" w:rsidRPr="00AD7BF2" w:rsidRDefault="00A84778" w:rsidP="00DB78EA">
          <w:pPr>
            <w:pStyle w:val="FooterText"/>
            <w:jc w:val="center"/>
          </w:pPr>
        </w:p>
      </w:tc>
      <w:tc>
        <w:tcPr>
          <w:tcW w:w="1286" w:type="pct"/>
          <w:gridSpan w:val="3"/>
          <w:shd w:val="clear" w:color="auto" w:fill="auto"/>
          <w:tcMar>
            <w:top w:w="0" w:type="dxa"/>
          </w:tcMar>
        </w:tcPr>
        <w:p w14:paraId="2257DD9A" w14:textId="3B0943C2" w:rsidR="00A84778" w:rsidRPr="002511D8" w:rsidRDefault="00A84778" w:rsidP="00DB78EA">
          <w:pPr>
            <w:pStyle w:val="FooterText"/>
            <w:jc w:val="center"/>
          </w:pPr>
        </w:p>
      </w:tc>
      <w:tc>
        <w:tcPr>
          <w:tcW w:w="589" w:type="pct"/>
          <w:shd w:val="clear" w:color="auto" w:fill="auto"/>
          <w:tcMar>
            <w:top w:w="0" w:type="dxa"/>
          </w:tcMar>
        </w:tcPr>
        <w:p w14:paraId="1FDD1B83" w14:textId="77777777" w:rsidR="005B6253" w:rsidRDefault="00413ACE" w:rsidP="00DB78EA">
          <w:pPr>
            <w:pStyle w:val="FooterText"/>
            <w:jc w:val="right"/>
          </w:pPr>
          <w:r>
            <w:fldChar w:fldCharType="begin"/>
          </w:r>
          <w:r>
            <w:instrText xml:space="preserve"> PAGE  \* MERGEFORMAT </w:instrText>
          </w:r>
          <w:r>
            <w:fldChar w:fldCharType="separate"/>
          </w:r>
          <w:r w:rsidR="006E0EA2">
            <w:t>142</w:t>
          </w:r>
          <w:r>
            <w:fldChar w:fldCharType="end"/>
          </w:r>
        </w:p>
        <w:p w14:paraId="00753DC5" w14:textId="77777777" w:rsidR="00A84778" w:rsidRPr="00B310DC" w:rsidRDefault="00A84778" w:rsidP="00DB78EA">
          <w:pPr>
            <w:pStyle w:val="FooterText"/>
            <w:jc w:val="right"/>
          </w:pPr>
        </w:p>
      </w:tc>
    </w:tr>
    <w:tr w:rsidR="00A84778" w:rsidRPr="00D94637" w14:paraId="50747A13" w14:textId="77777777" w:rsidTr="00F46D42">
      <w:trPr>
        <w:jc w:val="center"/>
      </w:trPr>
      <w:tc>
        <w:tcPr>
          <w:tcW w:w="1774" w:type="pct"/>
          <w:shd w:val="clear" w:color="auto" w:fill="auto"/>
        </w:tcPr>
        <w:p w14:paraId="2B754BB9" w14:textId="77777777" w:rsidR="00A84778" w:rsidRPr="00AD7BF2" w:rsidRDefault="00A84778" w:rsidP="00DB78EA">
          <w:pPr>
            <w:pStyle w:val="FooterText"/>
            <w:spacing w:before="40"/>
          </w:pPr>
        </w:p>
      </w:tc>
      <w:tc>
        <w:tcPr>
          <w:tcW w:w="1455" w:type="pct"/>
          <w:gridSpan w:val="3"/>
          <w:shd w:val="clear" w:color="auto" w:fill="auto"/>
        </w:tcPr>
        <w:p w14:paraId="4DE6B8FB" w14:textId="5255A78A" w:rsidR="00A84778" w:rsidRPr="00AD7BF2" w:rsidRDefault="00A84778" w:rsidP="00DB78EA">
          <w:pPr>
            <w:pStyle w:val="FooterText"/>
            <w:spacing w:before="40"/>
            <w:jc w:val="center"/>
          </w:pPr>
        </w:p>
      </w:tc>
      <w:tc>
        <w:tcPr>
          <w:tcW w:w="742" w:type="pct"/>
          <w:shd w:val="clear" w:color="auto" w:fill="auto"/>
        </w:tcPr>
        <w:p w14:paraId="2753634B" w14:textId="77777777" w:rsidR="00A84778" w:rsidRPr="00D94637" w:rsidRDefault="00A84778" w:rsidP="00DB78EA">
          <w:pPr>
            <w:pStyle w:val="FooterText"/>
            <w:jc w:val="center"/>
            <w:rPr>
              <w:b/>
              <w:position w:val="-4"/>
              <w:sz w:val="36"/>
            </w:rPr>
          </w:pPr>
        </w:p>
      </w:tc>
      <w:tc>
        <w:tcPr>
          <w:tcW w:w="1029" w:type="pct"/>
          <w:gridSpan w:val="2"/>
          <w:shd w:val="clear" w:color="auto" w:fill="auto"/>
        </w:tcPr>
        <w:p w14:paraId="4514F7D5" w14:textId="5321CA2B" w:rsidR="00A84778" w:rsidRPr="00695BAF" w:rsidRDefault="00A84778" w:rsidP="00DB78EA">
          <w:pPr>
            <w:pStyle w:val="FooterText"/>
            <w:jc w:val="right"/>
            <w:rPr>
              <w:caps/>
              <w:spacing w:val="-20"/>
              <w:sz w:val="16"/>
            </w:rPr>
          </w:pPr>
        </w:p>
      </w:tc>
    </w:tr>
  </w:tbl>
  <w:p w14:paraId="1F7C009F" w14:textId="77777777" w:rsidR="00A84778" w:rsidRPr="00271D33" w:rsidRDefault="00A84778" w:rsidP="00271D33">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1A44" w14:textId="77777777" w:rsidR="00A84778" w:rsidRPr="00271D33" w:rsidRDefault="00A84778" w:rsidP="00271D33">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8858" w14:textId="77777777" w:rsidR="00A84778" w:rsidRPr="00271D33" w:rsidRDefault="00A84778" w:rsidP="00271D33">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2EC58C36" w14:textId="77777777" w:rsidTr="00F46D42">
      <w:trPr>
        <w:jc w:val="center"/>
      </w:trPr>
      <w:tc>
        <w:tcPr>
          <w:tcW w:w="2500" w:type="pct"/>
          <w:gridSpan w:val="2"/>
          <w:shd w:val="clear" w:color="auto" w:fill="auto"/>
          <w:tcMar>
            <w:top w:w="0" w:type="dxa"/>
          </w:tcMar>
        </w:tcPr>
        <w:p w14:paraId="7682B32A" w14:textId="6C4DF675" w:rsidR="00A84778" w:rsidRPr="00AD7BF2" w:rsidRDefault="00A84778" w:rsidP="00805175">
          <w:pPr>
            <w:pStyle w:val="FooterText"/>
          </w:pPr>
        </w:p>
      </w:tc>
      <w:tc>
        <w:tcPr>
          <w:tcW w:w="625" w:type="pct"/>
          <w:shd w:val="clear" w:color="auto" w:fill="auto"/>
          <w:tcMar>
            <w:top w:w="0" w:type="dxa"/>
          </w:tcMar>
        </w:tcPr>
        <w:p w14:paraId="0F2059F5" w14:textId="77777777" w:rsidR="00A84778" w:rsidRPr="00AD7BF2" w:rsidRDefault="00A84778" w:rsidP="00805175">
          <w:pPr>
            <w:pStyle w:val="FooterText"/>
            <w:jc w:val="center"/>
          </w:pPr>
        </w:p>
      </w:tc>
      <w:tc>
        <w:tcPr>
          <w:tcW w:w="1286" w:type="pct"/>
          <w:gridSpan w:val="3"/>
          <w:shd w:val="clear" w:color="auto" w:fill="auto"/>
          <w:tcMar>
            <w:top w:w="0" w:type="dxa"/>
          </w:tcMar>
        </w:tcPr>
        <w:p w14:paraId="6727BDAE" w14:textId="06B86D83" w:rsidR="00A84778" w:rsidRPr="002511D8" w:rsidRDefault="00A84778" w:rsidP="00805175">
          <w:pPr>
            <w:pStyle w:val="FooterText"/>
            <w:jc w:val="center"/>
          </w:pPr>
        </w:p>
      </w:tc>
      <w:tc>
        <w:tcPr>
          <w:tcW w:w="589" w:type="pct"/>
          <w:shd w:val="clear" w:color="auto" w:fill="auto"/>
          <w:tcMar>
            <w:top w:w="0" w:type="dxa"/>
          </w:tcMar>
        </w:tcPr>
        <w:p w14:paraId="7AA4A675" w14:textId="77777777" w:rsidR="005B6253" w:rsidRDefault="00413ACE" w:rsidP="00805175">
          <w:pPr>
            <w:pStyle w:val="FooterText"/>
            <w:jc w:val="right"/>
          </w:pPr>
          <w:r>
            <w:fldChar w:fldCharType="begin"/>
          </w:r>
          <w:r>
            <w:instrText xml:space="preserve"> PAGE  \* MERGEFORMAT </w:instrText>
          </w:r>
          <w:r>
            <w:fldChar w:fldCharType="separate"/>
          </w:r>
          <w:r w:rsidR="006E0EA2">
            <w:t>148</w:t>
          </w:r>
          <w:r>
            <w:fldChar w:fldCharType="end"/>
          </w:r>
        </w:p>
        <w:p w14:paraId="1992C613" w14:textId="77777777" w:rsidR="00A84778" w:rsidRPr="00B310DC" w:rsidRDefault="00A84778" w:rsidP="00805175">
          <w:pPr>
            <w:pStyle w:val="FooterText"/>
            <w:jc w:val="right"/>
          </w:pPr>
        </w:p>
      </w:tc>
    </w:tr>
    <w:tr w:rsidR="00A84778" w:rsidRPr="00D94637" w14:paraId="3C541A6F" w14:textId="77777777" w:rsidTr="00F46D42">
      <w:trPr>
        <w:jc w:val="center"/>
      </w:trPr>
      <w:tc>
        <w:tcPr>
          <w:tcW w:w="1774" w:type="pct"/>
          <w:shd w:val="clear" w:color="auto" w:fill="auto"/>
        </w:tcPr>
        <w:p w14:paraId="6BA0CE21" w14:textId="77777777" w:rsidR="00A84778" w:rsidRPr="00AD7BF2" w:rsidRDefault="00A84778" w:rsidP="00805175">
          <w:pPr>
            <w:pStyle w:val="FooterText"/>
            <w:spacing w:before="40"/>
          </w:pPr>
        </w:p>
      </w:tc>
      <w:tc>
        <w:tcPr>
          <w:tcW w:w="1455" w:type="pct"/>
          <w:gridSpan w:val="3"/>
          <w:shd w:val="clear" w:color="auto" w:fill="auto"/>
        </w:tcPr>
        <w:p w14:paraId="1310B204" w14:textId="3F2EEFF5" w:rsidR="00A84778" w:rsidRPr="00AD7BF2" w:rsidRDefault="00A84778" w:rsidP="00805175">
          <w:pPr>
            <w:pStyle w:val="FooterText"/>
            <w:spacing w:before="40"/>
            <w:jc w:val="center"/>
          </w:pPr>
        </w:p>
      </w:tc>
      <w:tc>
        <w:tcPr>
          <w:tcW w:w="742" w:type="pct"/>
          <w:shd w:val="clear" w:color="auto" w:fill="auto"/>
        </w:tcPr>
        <w:p w14:paraId="0289F7D5" w14:textId="77777777" w:rsidR="00A84778" w:rsidRPr="00D94637" w:rsidRDefault="00A84778" w:rsidP="00805175">
          <w:pPr>
            <w:pStyle w:val="FooterText"/>
            <w:jc w:val="center"/>
            <w:rPr>
              <w:b/>
              <w:position w:val="-4"/>
              <w:sz w:val="36"/>
            </w:rPr>
          </w:pPr>
        </w:p>
      </w:tc>
      <w:tc>
        <w:tcPr>
          <w:tcW w:w="1029" w:type="pct"/>
          <w:gridSpan w:val="2"/>
          <w:shd w:val="clear" w:color="auto" w:fill="auto"/>
        </w:tcPr>
        <w:p w14:paraId="01F55896" w14:textId="5D130EE3" w:rsidR="00A84778" w:rsidRPr="00695BAF" w:rsidRDefault="00A84778" w:rsidP="00805175">
          <w:pPr>
            <w:pStyle w:val="FooterText"/>
            <w:jc w:val="right"/>
            <w:rPr>
              <w:caps/>
              <w:spacing w:val="-20"/>
              <w:sz w:val="16"/>
            </w:rPr>
          </w:pPr>
        </w:p>
      </w:tc>
    </w:tr>
  </w:tbl>
  <w:p w14:paraId="0186D7AF" w14:textId="77777777" w:rsidR="00A84778" w:rsidRPr="00271D33" w:rsidRDefault="00A84778" w:rsidP="00271D33">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21E7" w14:textId="77777777" w:rsidR="00A84778" w:rsidRPr="00271D33" w:rsidRDefault="00A84778" w:rsidP="00271D33">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41E1" w14:textId="77777777" w:rsidR="00F72C9B" w:rsidRPr="00271D33" w:rsidRDefault="00F72C9B" w:rsidP="00271D3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3"/>
      <w:gridCol w:w="1400"/>
      <w:gridCol w:w="1205"/>
      <w:gridCol w:w="200"/>
      <w:gridCol w:w="1430"/>
      <w:gridCol w:w="846"/>
      <w:gridCol w:w="1135"/>
    </w:tblGrid>
    <w:tr w:rsidR="00A84778" w:rsidRPr="00B310DC" w14:paraId="23D09C86" w14:textId="77777777" w:rsidTr="0033380C">
      <w:trPr>
        <w:jc w:val="center"/>
      </w:trPr>
      <w:tc>
        <w:tcPr>
          <w:tcW w:w="2501" w:type="pct"/>
          <w:gridSpan w:val="2"/>
          <w:shd w:val="clear" w:color="auto" w:fill="auto"/>
          <w:tcMar>
            <w:top w:w="0" w:type="dxa"/>
          </w:tcMar>
        </w:tcPr>
        <w:p w14:paraId="3BE3A863" w14:textId="2A0DDB53" w:rsidR="00A84778" w:rsidRPr="00AD7BF2" w:rsidRDefault="00A84778" w:rsidP="00F46D42">
          <w:pPr>
            <w:pStyle w:val="FooterText"/>
          </w:pPr>
        </w:p>
      </w:tc>
      <w:tc>
        <w:tcPr>
          <w:tcW w:w="625" w:type="pct"/>
          <w:shd w:val="clear" w:color="auto" w:fill="auto"/>
          <w:tcMar>
            <w:top w:w="0" w:type="dxa"/>
          </w:tcMar>
        </w:tcPr>
        <w:p w14:paraId="27BFAFA3" w14:textId="77777777" w:rsidR="00A84778" w:rsidRPr="00AD7BF2" w:rsidRDefault="00A84778" w:rsidP="00F46D42">
          <w:pPr>
            <w:pStyle w:val="FooterText"/>
            <w:jc w:val="center"/>
          </w:pPr>
        </w:p>
      </w:tc>
      <w:tc>
        <w:tcPr>
          <w:tcW w:w="1285" w:type="pct"/>
          <w:gridSpan w:val="3"/>
          <w:shd w:val="clear" w:color="auto" w:fill="auto"/>
          <w:tcMar>
            <w:top w:w="0" w:type="dxa"/>
          </w:tcMar>
        </w:tcPr>
        <w:p w14:paraId="7FC1D99A" w14:textId="62BDE52D" w:rsidR="00A84778" w:rsidRPr="002511D8" w:rsidRDefault="00A84778" w:rsidP="00F46D42">
          <w:pPr>
            <w:pStyle w:val="FooterText"/>
            <w:jc w:val="center"/>
          </w:pPr>
        </w:p>
      </w:tc>
      <w:tc>
        <w:tcPr>
          <w:tcW w:w="589" w:type="pct"/>
          <w:shd w:val="clear" w:color="auto" w:fill="auto"/>
          <w:tcMar>
            <w:top w:w="0" w:type="dxa"/>
          </w:tcMar>
        </w:tcPr>
        <w:p w14:paraId="4AC5DD89" w14:textId="2A290165" w:rsidR="00A84778" w:rsidRPr="00B310DC" w:rsidRDefault="00A84778" w:rsidP="00F46D42">
          <w:pPr>
            <w:pStyle w:val="FooterText"/>
            <w:jc w:val="right"/>
          </w:pPr>
          <w:r>
            <w:fldChar w:fldCharType="begin"/>
          </w:r>
          <w:r>
            <w:instrText xml:space="preserve"> PAGE  \* MERGEFORMAT </w:instrText>
          </w:r>
          <w:r>
            <w:fldChar w:fldCharType="separate"/>
          </w:r>
          <w:r w:rsidR="003A2DA5">
            <w:rPr>
              <w:noProof/>
            </w:rPr>
            <w:t>15</w:t>
          </w:r>
          <w:r>
            <w:fldChar w:fldCharType="end"/>
          </w:r>
        </w:p>
      </w:tc>
    </w:tr>
    <w:tr w:rsidR="00A84778" w:rsidRPr="00D94637" w14:paraId="29C35504" w14:textId="77777777" w:rsidTr="0033380C">
      <w:trPr>
        <w:jc w:val="center"/>
      </w:trPr>
      <w:tc>
        <w:tcPr>
          <w:tcW w:w="1775" w:type="pct"/>
          <w:shd w:val="clear" w:color="auto" w:fill="auto"/>
        </w:tcPr>
        <w:p w14:paraId="15118CA9" w14:textId="77777777" w:rsidR="00A84778" w:rsidRPr="00AD7BF2" w:rsidRDefault="00A84778" w:rsidP="00F46D42">
          <w:pPr>
            <w:pStyle w:val="FooterText"/>
            <w:spacing w:before="40"/>
          </w:pPr>
        </w:p>
      </w:tc>
      <w:tc>
        <w:tcPr>
          <w:tcW w:w="1455" w:type="pct"/>
          <w:gridSpan w:val="3"/>
          <w:shd w:val="clear" w:color="auto" w:fill="auto"/>
        </w:tcPr>
        <w:p w14:paraId="5D4DE9E9" w14:textId="02506EF9" w:rsidR="00A84778" w:rsidRPr="00AD7BF2" w:rsidRDefault="00A84778" w:rsidP="00F46D42">
          <w:pPr>
            <w:pStyle w:val="FooterText"/>
            <w:spacing w:before="40"/>
            <w:jc w:val="center"/>
          </w:pPr>
        </w:p>
      </w:tc>
      <w:tc>
        <w:tcPr>
          <w:tcW w:w="742" w:type="pct"/>
          <w:shd w:val="clear" w:color="auto" w:fill="auto"/>
        </w:tcPr>
        <w:p w14:paraId="11138A88" w14:textId="77777777" w:rsidR="00A84778" w:rsidRPr="00D94637" w:rsidRDefault="00A84778" w:rsidP="00F46D42">
          <w:pPr>
            <w:pStyle w:val="FooterText"/>
            <w:jc w:val="center"/>
            <w:rPr>
              <w:b/>
              <w:position w:val="-4"/>
              <w:sz w:val="36"/>
            </w:rPr>
          </w:pPr>
        </w:p>
      </w:tc>
      <w:tc>
        <w:tcPr>
          <w:tcW w:w="1029" w:type="pct"/>
          <w:gridSpan w:val="2"/>
          <w:shd w:val="clear" w:color="auto" w:fill="auto"/>
        </w:tcPr>
        <w:p w14:paraId="35B632B0" w14:textId="5CE618C0" w:rsidR="00A84778" w:rsidRPr="00695BAF" w:rsidRDefault="00A84778" w:rsidP="00F46D42">
          <w:pPr>
            <w:pStyle w:val="FooterText"/>
            <w:jc w:val="right"/>
            <w:rPr>
              <w:caps/>
              <w:spacing w:val="-20"/>
              <w:sz w:val="16"/>
            </w:rPr>
          </w:pPr>
        </w:p>
      </w:tc>
    </w:tr>
  </w:tbl>
  <w:p w14:paraId="45A15471" w14:textId="77777777" w:rsidR="00A84778" w:rsidRPr="00A873DC" w:rsidRDefault="00A84778" w:rsidP="00271D33">
    <w:pPr>
      <w:pStyle w:val="FooterCouncil"/>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19"/>
      <w:gridCol w:w="1317"/>
      <w:gridCol w:w="1134"/>
      <w:gridCol w:w="189"/>
      <w:gridCol w:w="1346"/>
      <w:gridCol w:w="798"/>
      <w:gridCol w:w="1069"/>
    </w:tblGrid>
    <w:tr w:rsidR="00F72C9B" w:rsidRPr="00B310DC" w14:paraId="1C0B7AFF" w14:textId="77777777" w:rsidTr="00F46D42">
      <w:trPr>
        <w:jc w:val="center"/>
      </w:trPr>
      <w:tc>
        <w:tcPr>
          <w:tcW w:w="2500" w:type="pct"/>
          <w:gridSpan w:val="2"/>
          <w:shd w:val="clear" w:color="auto" w:fill="auto"/>
          <w:tcMar>
            <w:top w:w="0" w:type="dxa"/>
          </w:tcMar>
        </w:tcPr>
        <w:p w14:paraId="1CDE6E9D" w14:textId="0C478EB0" w:rsidR="00F72C9B" w:rsidRPr="00AD7BF2" w:rsidRDefault="00F72C9B" w:rsidP="00805175">
          <w:pPr>
            <w:pStyle w:val="FooterText"/>
          </w:pPr>
        </w:p>
      </w:tc>
      <w:tc>
        <w:tcPr>
          <w:tcW w:w="625" w:type="pct"/>
          <w:shd w:val="clear" w:color="auto" w:fill="auto"/>
          <w:tcMar>
            <w:top w:w="0" w:type="dxa"/>
          </w:tcMar>
        </w:tcPr>
        <w:p w14:paraId="1C46420C" w14:textId="77777777" w:rsidR="00F72C9B" w:rsidRPr="00AD7BF2" w:rsidRDefault="00F72C9B" w:rsidP="00805175">
          <w:pPr>
            <w:pStyle w:val="FooterText"/>
            <w:jc w:val="center"/>
          </w:pPr>
        </w:p>
      </w:tc>
      <w:tc>
        <w:tcPr>
          <w:tcW w:w="1286" w:type="pct"/>
          <w:gridSpan w:val="3"/>
          <w:shd w:val="clear" w:color="auto" w:fill="auto"/>
          <w:tcMar>
            <w:top w:w="0" w:type="dxa"/>
          </w:tcMar>
        </w:tcPr>
        <w:p w14:paraId="4E608500" w14:textId="4B1C0062" w:rsidR="00F72C9B" w:rsidRPr="002511D8" w:rsidRDefault="00F72C9B" w:rsidP="00805175">
          <w:pPr>
            <w:pStyle w:val="FooterText"/>
            <w:jc w:val="center"/>
          </w:pPr>
        </w:p>
      </w:tc>
      <w:tc>
        <w:tcPr>
          <w:tcW w:w="589" w:type="pct"/>
          <w:shd w:val="clear" w:color="auto" w:fill="auto"/>
          <w:tcMar>
            <w:top w:w="0" w:type="dxa"/>
          </w:tcMar>
        </w:tcPr>
        <w:p w14:paraId="67DB2524" w14:textId="77777777" w:rsidR="00F72C9B" w:rsidRDefault="00F72C9B" w:rsidP="00805175">
          <w:pPr>
            <w:pStyle w:val="FooterText"/>
            <w:jc w:val="right"/>
          </w:pPr>
          <w:r>
            <w:fldChar w:fldCharType="begin"/>
          </w:r>
          <w:r>
            <w:instrText xml:space="preserve"> PAGE  \* MERGEFORMAT </w:instrText>
          </w:r>
          <w:r>
            <w:fldChar w:fldCharType="separate"/>
          </w:r>
          <w:r>
            <w:t>148</w:t>
          </w:r>
          <w:r>
            <w:fldChar w:fldCharType="end"/>
          </w:r>
        </w:p>
        <w:p w14:paraId="5D2CD59B" w14:textId="77777777" w:rsidR="00F72C9B" w:rsidRPr="00B310DC" w:rsidRDefault="00F72C9B" w:rsidP="00805175">
          <w:pPr>
            <w:pStyle w:val="FooterText"/>
            <w:jc w:val="right"/>
          </w:pPr>
        </w:p>
      </w:tc>
    </w:tr>
    <w:tr w:rsidR="00F72C9B" w:rsidRPr="00D94637" w14:paraId="01421DC8" w14:textId="77777777" w:rsidTr="00F46D42">
      <w:trPr>
        <w:jc w:val="center"/>
      </w:trPr>
      <w:tc>
        <w:tcPr>
          <w:tcW w:w="1774" w:type="pct"/>
          <w:shd w:val="clear" w:color="auto" w:fill="auto"/>
        </w:tcPr>
        <w:p w14:paraId="7F7A3A63" w14:textId="77777777" w:rsidR="00F72C9B" w:rsidRPr="00AD7BF2" w:rsidRDefault="00F72C9B" w:rsidP="00805175">
          <w:pPr>
            <w:pStyle w:val="FooterText"/>
            <w:spacing w:before="40"/>
          </w:pPr>
        </w:p>
      </w:tc>
      <w:tc>
        <w:tcPr>
          <w:tcW w:w="1455" w:type="pct"/>
          <w:gridSpan w:val="3"/>
          <w:shd w:val="clear" w:color="auto" w:fill="auto"/>
        </w:tcPr>
        <w:p w14:paraId="0F1ED92F" w14:textId="1A445921" w:rsidR="00F72C9B" w:rsidRPr="00AD7BF2" w:rsidRDefault="00F72C9B" w:rsidP="00805175">
          <w:pPr>
            <w:pStyle w:val="FooterText"/>
            <w:spacing w:before="40"/>
            <w:jc w:val="center"/>
          </w:pPr>
        </w:p>
      </w:tc>
      <w:tc>
        <w:tcPr>
          <w:tcW w:w="742" w:type="pct"/>
          <w:shd w:val="clear" w:color="auto" w:fill="auto"/>
        </w:tcPr>
        <w:p w14:paraId="2D7EA53C" w14:textId="77777777" w:rsidR="00F72C9B" w:rsidRPr="00D94637" w:rsidRDefault="00F72C9B" w:rsidP="00805175">
          <w:pPr>
            <w:pStyle w:val="FooterText"/>
            <w:jc w:val="center"/>
            <w:rPr>
              <w:b/>
              <w:position w:val="-4"/>
              <w:sz w:val="36"/>
            </w:rPr>
          </w:pPr>
        </w:p>
      </w:tc>
      <w:tc>
        <w:tcPr>
          <w:tcW w:w="1029" w:type="pct"/>
          <w:gridSpan w:val="2"/>
          <w:shd w:val="clear" w:color="auto" w:fill="auto"/>
        </w:tcPr>
        <w:p w14:paraId="6E95BB5F" w14:textId="05F4C55E" w:rsidR="00F72C9B" w:rsidRPr="00695BAF" w:rsidRDefault="00F72C9B" w:rsidP="00805175">
          <w:pPr>
            <w:pStyle w:val="FooterText"/>
            <w:jc w:val="right"/>
            <w:rPr>
              <w:caps/>
              <w:spacing w:val="-20"/>
              <w:sz w:val="16"/>
            </w:rPr>
          </w:pPr>
        </w:p>
      </w:tc>
    </w:tr>
  </w:tbl>
  <w:p w14:paraId="607D3548" w14:textId="77777777" w:rsidR="00F72C9B" w:rsidRPr="00271D33" w:rsidRDefault="00F72C9B" w:rsidP="00271D33">
    <w:pPr>
      <w:pStyle w:val="Footer"/>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61B6" w14:textId="77777777" w:rsidR="00F72C9B" w:rsidRPr="00271D33" w:rsidRDefault="00F72C9B" w:rsidP="00271D33">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9728" w14:textId="77777777" w:rsidR="00A84778" w:rsidRPr="00271D33" w:rsidRDefault="00A84778" w:rsidP="00271D33">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53E34B5B" w14:textId="77777777" w:rsidTr="00F46D42">
      <w:trPr>
        <w:jc w:val="center"/>
      </w:trPr>
      <w:tc>
        <w:tcPr>
          <w:tcW w:w="2500" w:type="pct"/>
          <w:gridSpan w:val="2"/>
          <w:shd w:val="clear" w:color="auto" w:fill="auto"/>
          <w:tcMar>
            <w:top w:w="0" w:type="dxa"/>
          </w:tcMar>
        </w:tcPr>
        <w:p w14:paraId="12292F7E" w14:textId="3DA2DEC8" w:rsidR="00A84778" w:rsidRPr="00AD7BF2" w:rsidRDefault="00A84778" w:rsidP="00805175">
          <w:pPr>
            <w:pStyle w:val="FooterText"/>
          </w:pPr>
        </w:p>
      </w:tc>
      <w:tc>
        <w:tcPr>
          <w:tcW w:w="625" w:type="pct"/>
          <w:shd w:val="clear" w:color="auto" w:fill="auto"/>
          <w:tcMar>
            <w:top w:w="0" w:type="dxa"/>
          </w:tcMar>
        </w:tcPr>
        <w:p w14:paraId="510FB85C" w14:textId="77777777" w:rsidR="00A84778" w:rsidRPr="00AD7BF2" w:rsidRDefault="00A84778" w:rsidP="00805175">
          <w:pPr>
            <w:pStyle w:val="FooterText"/>
            <w:jc w:val="center"/>
          </w:pPr>
        </w:p>
      </w:tc>
      <w:tc>
        <w:tcPr>
          <w:tcW w:w="1286" w:type="pct"/>
          <w:gridSpan w:val="3"/>
          <w:shd w:val="clear" w:color="auto" w:fill="auto"/>
          <w:tcMar>
            <w:top w:w="0" w:type="dxa"/>
          </w:tcMar>
        </w:tcPr>
        <w:p w14:paraId="6320751D" w14:textId="71F42100" w:rsidR="00A84778" w:rsidRPr="002511D8" w:rsidRDefault="00A84778" w:rsidP="00805175">
          <w:pPr>
            <w:pStyle w:val="FooterText"/>
            <w:jc w:val="center"/>
          </w:pPr>
        </w:p>
      </w:tc>
      <w:tc>
        <w:tcPr>
          <w:tcW w:w="589" w:type="pct"/>
          <w:shd w:val="clear" w:color="auto" w:fill="auto"/>
          <w:tcMar>
            <w:top w:w="0" w:type="dxa"/>
          </w:tcMar>
        </w:tcPr>
        <w:p w14:paraId="6F39D59D" w14:textId="77777777" w:rsidR="005B6253" w:rsidRDefault="00413ACE" w:rsidP="00805175">
          <w:pPr>
            <w:pStyle w:val="FooterText"/>
            <w:jc w:val="right"/>
          </w:pPr>
          <w:r>
            <w:fldChar w:fldCharType="begin"/>
          </w:r>
          <w:r>
            <w:instrText xml:space="preserve"> PAGE  \* MERGEFORMAT </w:instrText>
          </w:r>
          <w:r>
            <w:fldChar w:fldCharType="separate"/>
          </w:r>
          <w:r w:rsidR="006E0EA2">
            <w:t>150</w:t>
          </w:r>
          <w:r>
            <w:fldChar w:fldCharType="end"/>
          </w:r>
        </w:p>
        <w:p w14:paraId="18C4E073" w14:textId="77777777" w:rsidR="00A84778" w:rsidRPr="00B310DC" w:rsidRDefault="00A84778" w:rsidP="00805175">
          <w:pPr>
            <w:pStyle w:val="FooterText"/>
            <w:jc w:val="right"/>
          </w:pPr>
        </w:p>
      </w:tc>
    </w:tr>
    <w:tr w:rsidR="00A84778" w:rsidRPr="00D94637" w14:paraId="1F68790C" w14:textId="77777777" w:rsidTr="00F46D42">
      <w:trPr>
        <w:jc w:val="center"/>
      </w:trPr>
      <w:tc>
        <w:tcPr>
          <w:tcW w:w="1774" w:type="pct"/>
          <w:shd w:val="clear" w:color="auto" w:fill="auto"/>
        </w:tcPr>
        <w:p w14:paraId="51CEC902" w14:textId="77777777" w:rsidR="00A84778" w:rsidRPr="00AD7BF2" w:rsidRDefault="00A84778" w:rsidP="00805175">
          <w:pPr>
            <w:pStyle w:val="FooterText"/>
            <w:spacing w:before="40"/>
          </w:pPr>
        </w:p>
      </w:tc>
      <w:tc>
        <w:tcPr>
          <w:tcW w:w="1455" w:type="pct"/>
          <w:gridSpan w:val="3"/>
          <w:shd w:val="clear" w:color="auto" w:fill="auto"/>
        </w:tcPr>
        <w:p w14:paraId="05024199" w14:textId="3207D7F2" w:rsidR="00A84778" w:rsidRPr="00AD7BF2" w:rsidRDefault="00A84778" w:rsidP="00805175">
          <w:pPr>
            <w:pStyle w:val="FooterText"/>
            <w:spacing w:before="40"/>
            <w:jc w:val="center"/>
          </w:pPr>
        </w:p>
      </w:tc>
      <w:tc>
        <w:tcPr>
          <w:tcW w:w="742" w:type="pct"/>
          <w:shd w:val="clear" w:color="auto" w:fill="auto"/>
        </w:tcPr>
        <w:p w14:paraId="429B4553" w14:textId="77777777" w:rsidR="00A84778" w:rsidRPr="00D94637" w:rsidRDefault="00A84778" w:rsidP="00805175">
          <w:pPr>
            <w:pStyle w:val="FooterText"/>
            <w:jc w:val="center"/>
            <w:rPr>
              <w:b/>
              <w:position w:val="-4"/>
              <w:sz w:val="36"/>
            </w:rPr>
          </w:pPr>
        </w:p>
      </w:tc>
      <w:tc>
        <w:tcPr>
          <w:tcW w:w="1029" w:type="pct"/>
          <w:gridSpan w:val="2"/>
          <w:shd w:val="clear" w:color="auto" w:fill="auto"/>
        </w:tcPr>
        <w:p w14:paraId="59BF6A93" w14:textId="3039BCAC" w:rsidR="00A84778" w:rsidRPr="00695BAF" w:rsidRDefault="00A84778" w:rsidP="00805175">
          <w:pPr>
            <w:pStyle w:val="FooterText"/>
            <w:jc w:val="right"/>
            <w:rPr>
              <w:caps/>
              <w:spacing w:val="-20"/>
              <w:sz w:val="16"/>
            </w:rPr>
          </w:pPr>
        </w:p>
      </w:tc>
    </w:tr>
  </w:tbl>
  <w:p w14:paraId="05F88D91" w14:textId="77777777" w:rsidR="00A84778" w:rsidRPr="00271D33" w:rsidRDefault="00A84778" w:rsidP="00271D33">
    <w:pPr>
      <w:pStyle w:val="Footer"/>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6B54" w14:textId="77777777" w:rsidR="00A84778" w:rsidRPr="00271D33" w:rsidRDefault="00A84778" w:rsidP="00271D33">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63E27" w14:textId="77777777" w:rsidR="00A84778" w:rsidRPr="00271D33" w:rsidRDefault="00A84778" w:rsidP="00271D33">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3CD332CF" w14:textId="77777777" w:rsidTr="00F46D42">
      <w:trPr>
        <w:jc w:val="center"/>
      </w:trPr>
      <w:tc>
        <w:tcPr>
          <w:tcW w:w="2500" w:type="pct"/>
          <w:gridSpan w:val="2"/>
          <w:shd w:val="clear" w:color="auto" w:fill="auto"/>
          <w:tcMar>
            <w:top w:w="0" w:type="dxa"/>
          </w:tcMar>
        </w:tcPr>
        <w:p w14:paraId="611F8A88" w14:textId="26FBB28B" w:rsidR="00A84778" w:rsidRPr="00AD7BF2" w:rsidRDefault="00A84778" w:rsidP="00DB78EA">
          <w:pPr>
            <w:pStyle w:val="FooterText"/>
          </w:pPr>
        </w:p>
      </w:tc>
      <w:tc>
        <w:tcPr>
          <w:tcW w:w="625" w:type="pct"/>
          <w:shd w:val="clear" w:color="auto" w:fill="auto"/>
          <w:tcMar>
            <w:top w:w="0" w:type="dxa"/>
          </w:tcMar>
        </w:tcPr>
        <w:p w14:paraId="121270E1" w14:textId="77777777" w:rsidR="00A84778" w:rsidRPr="00AD7BF2" w:rsidRDefault="00A84778" w:rsidP="00DB78EA">
          <w:pPr>
            <w:pStyle w:val="FooterText"/>
            <w:jc w:val="center"/>
          </w:pPr>
        </w:p>
      </w:tc>
      <w:tc>
        <w:tcPr>
          <w:tcW w:w="1286" w:type="pct"/>
          <w:gridSpan w:val="3"/>
          <w:shd w:val="clear" w:color="auto" w:fill="auto"/>
          <w:tcMar>
            <w:top w:w="0" w:type="dxa"/>
          </w:tcMar>
        </w:tcPr>
        <w:p w14:paraId="688129AC" w14:textId="3548052F" w:rsidR="00A84778" w:rsidRPr="002511D8" w:rsidRDefault="00A84778" w:rsidP="00DB78EA">
          <w:pPr>
            <w:pStyle w:val="FooterText"/>
            <w:jc w:val="center"/>
          </w:pPr>
        </w:p>
      </w:tc>
      <w:tc>
        <w:tcPr>
          <w:tcW w:w="589" w:type="pct"/>
          <w:shd w:val="clear" w:color="auto" w:fill="auto"/>
          <w:tcMar>
            <w:top w:w="0" w:type="dxa"/>
          </w:tcMar>
        </w:tcPr>
        <w:p w14:paraId="3E28A5B1" w14:textId="77777777" w:rsidR="005B6253" w:rsidRDefault="00413ACE" w:rsidP="00DB78EA">
          <w:pPr>
            <w:pStyle w:val="FooterText"/>
            <w:jc w:val="right"/>
          </w:pPr>
          <w:r>
            <w:fldChar w:fldCharType="begin"/>
          </w:r>
          <w:r>
            <w:instrText xml:space="preserve"> PAGE  \* MERGEFORMAT </w:instrText>
          </w:r>
          <w:r>
            <w:fldChar w:fldCharType="separate"/>
          </w:r>
          <w:r w:rsidR="006E0EA2">
            <w:t>160</w:t>
          </w:r>
          <w:r>
            <w:fldChar w:fldCharType="end"/>
          </w:r>
        </w:p>
        <w:p w14:paraId="38695AF5" w14:textId="77777777" w:rsidR="00A84778" w:rsidRPr="00B310DC" w:rsidRDefault="00A84778" w:rsidP="00DB78EA">
          <w:pPr>
            <w:pStyle w:val="FooterText"/>
            <w:jc w:val="right"/>
          </w:pPr>
        </w:p>
      </w:tc>
    </w:tr>
    <w:tr w:rsidR="00A84778" w:rsidRPr="00D94637" w14:paraId="136148BD" w14:textId="77777777" w:rsidTr="00F46D42">
      <w:trPr>
        <w:jc w:val="center"/>
      </w:trPr>
      <w:tc>
        <w:tcPr>
          <w:tcW w:w="1774" w:type="pct"/>
          <w:shd w:val="clear" w:color="auto" w:fill="auto"/>
        </w:tcPr>
        <w:p w14:paraId="0D5105D2" w14:textId="77777777" w:rsidR="00A84778" w:rsidRPr="00AD7BF2" w:rsidRDefault="00A84778" w:rsidP="00DB78EA">
          <w:pPr>
            <w:pStyle w:val="FooterText"/>
            <w:spacing w:before="40"/>
          </w:pPr>
        </w:p>
      </w:tc>
      <w:tc>
        <w:tcPr>
          <w:tcW w:w="1455" w:type="pct"/>
          <w:gridSpan w:val="3"/>
          <w:shd w:val="clear" w:color="auto" w:fill="auto"/>
        </w:tcPr>
        <w:p w14:paraId="7858FBDD" w14:textId="19DFAEF7" w:rsidR="00A84778" w:rsidRPr="00AD7BF2" w:rsidRDefault="00A84778" w:rsidP="00DB78EA">
          <w:pPr>
            <w:pStyle w:val="FooterText"/>
            <w:spacing w:before="40"/>
            <w:jc w:val="center"/>
          </w:pPr>
        </w:p>
      </w:tc>
      <w:tc>
        <w:tcPr>
          <w:tcW w:w="742" w:type="pct"/>
          <w:shd w:val="clear" w:color="auto" w:fill="auto"/>
        </w:tcPr>
        <w:p w14:paraId="08C33E6E" w14:textId="77777777" w:rsidR="00A84778" w:rsidRPr="00D94637" w:rsidRDefault="00A84778" w:rsidP="00DB78EA">
          <w:pPr>
            <w:pStyle w:val="FooterText"/>
            <w:jc w:val="center"/>
            <w:rPr>
              <w:b/>
              <w:position w:val="-4"/>
              <w:sz w:val="36"/>
            </w:rPr>
          </w:pPr>
        </w:p>
      </w:tc>
      <w:tc>
        <w:tcPr>
          <w:tcW w:w="1029" w:type="pct"/>
          <w:gridSpan w:val="2"/>
          <w:shd w:val="clear" w:color="auto" w:fill="auto"/>
        </w:tcPr>
        <w:p w14:paraId="453EC03A" w14:textId="2C497A25" w:rsidR="00A84778" w:rsidRPr="00695BAF" w:rsidRDefault="00A84778" w:rsidP="00DB78EA">
          <w:pPr>
            <w:pStyle w:val="FooterText"/>
            <w:jc w:val="right"/>
            <w:rPr>
              <w:caps/>
              <w:spacing w:val="-20"/>
              <w:sz w:val="16"/>
            </w:rPr>
          </w:pPr>
        </w:p>
      </w:tc>
    </w:tr>
  </w:tbl>
  <w:p w14:paraId="16304212" w14:textId="77777777" w:rsidR="00A84778" w:rsidRPr="00271D33" w:rsidRDefault="00A84778" w:rsidP="00271D33">
    <w:pPr>
      <w:pStyle w:val="Footer"/>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D66D" w14:textId="77777777" w:rsidR="00A84778" w:rsidRPr="00271D33" w:rsidRDefault="00A84778" w:rsidP="00271D33">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3FFE2" w14:textId="77777777" w:rsidR="00A84778" w:rsidRPr="00271D33" w:rsidRDefault="00A84778" w:rsidP="00271D33">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67623594" w14:textId="77777777" w:rsidTr="00F46D42">
      <w:trPr>
        <w:jc w:val="center"/>
      </w:trPr>
      <w:tc>
        <w:tcPr>
          <w:tcW w:w="2500" w:type="pct"/>
          <w:gridSpan w:val="2"/>
          <w:shd w:val="clear" w:color="auto" w:fill="auto"/>
          <w:tcMar>
            <w:top w:w="0" w:type="dxa"/>
          </w:tcMar>
        </w:tcPr>
        <w:p w14:paraId="494B08AB" w14:textId="31FF1D22" w:rsidR="00A84778" w:rsidRPr="00AD7BF2" w:rsidRDefault="00A84778" w:rsidP="00DB78EA">
          <w:pPr>
            <w:pStyle w:val="FooterText"/>
          </w:pPr>
        </w:p>
      </w:tc>
      <w:tc>
        <w:tcPr>
          <w:tcW w:w="625" w:type="pct"/>
          <w:shd w:val="clear" w:color="auto" w:fill="auto"/>
          <w:tcMar>
            <w:top w:w="0" w:type="dxa"/>
          </w:tcMar>
        </w:tcPr>
        <w:p w14:paraId="5E985359" w14:textId="77777777" w:rsidR="00A84778" w:rsidRPr="00AD7BF2" w:rsidRDefault="00A84778" w:rsidP="00DB78EA">
          <w:pPr>
            <w:pStyle w:val="FooterText"/>
            <w:jc w:val="center"/>
          </w:pPr>
        </w:p>
      </w:tc>
      <w:tc>
        <w:tcPr>
          <w:tcW w:w="1286" w:type="pct"/>
          <w:gridSpan w:val="3"/>
          <w:shd w:val="clear" w:color="auto" w:fill="auto"/>
          <w:tcMar>
            <w:top w:w="0" w:type="dxa"/>
          </w:tcMar>
        </w:tcPr>
        <w:p w14:paraId="14C26543" w14:textId="12AA800D" w:rsidR="00A84778" w:rsidRPr="002511D8" w:rsidRDefault="00A84778" w:rsidP="00DB78EA">
          <w:pPr>
            <w:pStyle w:val="FooterText"/>
            <w:jc w:val="center"/>
          </w:pPr>
        </w:p>
      </w:tc>
      <w:tc>
        <w:tcPr>
          <w:tcW w:w="589" w:type="pct"/>
          <w:shd w:val="clear" w:color="auto" w:fill="auto"/>
          <w:tcMar>
            <w:top w:w="0" w:type="dxa"/>
          </w:tcMar>
        </w:tcPr>
        <w:p w14:paraId="00B36C59" w14:textId="77777777" w:rsidR="005B6253" w:rsidRDefault="00413ACE" w:rsidP="00DB78EA">
          <w:pPr>
            <w:pStyle w:val="FooterText"/>
            <w:jc w:val="right"/>
          </w:pPr>
          <w:r>
            <w:fldChar w:fldCharType="begin"/>
          </w:r>
          <w:r>
            <w:instrText xml:space="preserve"> PAGE  \* MERGEFORMAT </w:instrText>
          </w:r>
          <w:r>
            <w:fldChar w:fldCharType="separate"/>
          </w:r>
          <w:r w:rsidR="006E0EA2">
            <w:t>163</w:t>
          </w:r>
          <w:r>
            <w:fldChar w:fldCharType="end"/>
          </w:r>
        </w:p>
        <w:p w14:paraId="7E503DDD" w14:textId="77777777" w:rsidR="00A84778" w:rsidRPr="00B310DC" w:rsidRDefault="00A84778" w:rsidP="00DB78EA">
          <w:pPr>
            <w:pStyle w:val="FooterText"/>
            <w:jc w:val="right"/>
          </w:pPr>
        </w:p>
      </w:tc>
    </w:tr>
    <w:tr w:rsidR="00A84778" w:rsidRPr="00D94637" w14:paraId="791707E9" w14:textId="77777777" w:rsidTr="00F46D42">
      <w:trPr>
        <w:jc w:val="center"/>
      </w:trPr>
      <w:tc>
        <w:tcPr>
          <w:tcW w:w="1774" w:type="pct"/>
          <w:shd w:val="clear" w:color="auto" w:fill="auto"/>
        </w:tcPr>
        <w:p w14:paraId="3DAE6288" w14:textId="77777777" w:rsidR="00A84778" w:rsidRPr="00AD7BF2" w:rsidRDefault="00A84778" w:rsidP="00DB78EA">
          <w:pPr>
            <w:pStyle w:val="FooterText"/>
            <w:spacing w:before="40"/>
          </w:pPr>
        </w:p>
      </w:tc>
      <w:tc>
        <w:tcPr>
          <w:tcW w:w="1455" w:type="pct"/>
          <w:gridSpan w:val="3"/>
          <w:shd w:val="clear" w:color="auto" w:fill="auto"/>
        </w:tcPr>
        <w:p w14:paraId="6606C73B" w14:textId="2FF98686" w:rsidR="00A84778" w:rsidRPr="00AD7BF2" w:rsidRDefault="00A84778" w:rsidP="00DB78EA">
          <w:pPr>
            <w:pStyle w:val="FooterText"/>
            <w:spacing w:before="40"/>
            <w:jc w:val="center"/>
          </w:pPr>
        </w:p>
      </w:tc>
      <w:tc>
        <w:tcPr>
          <w:tcW w:w="742" w:type="pct"/>
          <w:shd w:val="clear" w:color="auto" w:fill="auto"/>
        </w:tcPr>
        <w:p w14:paraId="2D161BBE" w14:textId="77777777" w:rsidR="00A84778" w:rsidRPr="00D94637" w:rsidRDefault="00A84778" w:rsidP="00DB78EA">
          <w:pPr>
            <w:pStyle w:val="FooterText"/>
            <w:jc w:val="center"/>
            <w:rPr>
              <w:b/>
              <w:position w:val="-4"/>
              <w:sz w:val="36"/>
            </w:rPr>
          </w:pPr>
        </w:p>
      </w:tc>
      <w:tc>
        <w:tcPr>
          <w:tcW w:w="1029" w:type="pct"/>
          <w:gridSpan w:val="2"/>
          <w:shd w:val="clear" w:color="auto" w:fill="auto"/>
        </w:tcPr>
        <w:p w14:paraId="443324C9" w14:textId="20FD4980" w:rsidR="00A84778" w:rsidRPr="00695BAF" w:rsidRDefault="00A84778" w:rsidP="00DB78EA">
          <w:pPr>
            <w:pStyle w:val="FooterText"/>
            <w:jc w:val="right"/>
            <w:rPr>
              <w:caps/>
              <w:spacing w:val="-20"/>
              <w:sz w:val="16"/>
            </w:rPr>
          </w:pPr>
        </w:p>
      </w:tc>
    </w:tr>
  </w:tbl>
  <w:p w14:paraId="03976E22" w14:textId="77777777" w:rsidR="00A84778" w:rsidRPr="00271D33" w:rsidRDefault="00A84778" w:rsidP="00271D3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5FBAB" w14:textId="77777777" w:rsidR="00A84778" w:rsidRDefault="00A84778">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2CDA" w14:textId="77777777" w:rsidR="00A84778" w:rsidRPr="00271D33" w:rsidRDefault="00A84778" w:rsidP="00271D33">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3DDFF" w14:textId="77777777" w:rsidR="00A84778" w:rsidRPr="00271D33" w:rsidRDefault="00A84778" w:rsidP="00271D33">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6E92EB57" w14:textId="77777777" w:rsidTr="00F46D42">
      <w:trPr>
        <w:jc w:val="center"/>
      </w:trPr>
      <w:tc>
        <w:tcPr>
          <w:tcW w:w="2500" w:type="pct"/>
          <w:gridSpan w:val="2"/>
          <w:shd w:val="clear" w:color="auto" w:fill="auto"/>
          <w:tcMar>
            <w:top w:w="0" w:type="dxa"/>
          </w:tcMar>
        </w:tcPr>
        <w:p w14:paraId="409AC3A1" w14:textId="5461C582" w:rsidR="00A84778" w:rsidRPr="00AD7BF2" w:rsidRDefault="00A84778" w:rsidP="00805175">
          <w:pPr>
            <w:pStyle w:val="FooterText"/>
          </w:pPr>
        </w:p>
      </w:tc>
      <w:tc>
        <w:tcPr>
          <w:tcW w:w="625" w:type="pct"/>
          <w:shd w:val="clear" w:color="auto" w:fill="auto"/>
          <w:tcMar>
            <w:top w:w="0" w:type="dxa"/>
          </w:tcMar>
        </w:tcPr>
        <w:p w14:paraId="0C4FC591" w14:textId="77777777" w:rsidR="00A84778" w:rsidRPr="00AD7BF2" w:rsidRDefault="00A84778" w:rsidP="00805175">
          <w:pPr>
            <w:pStyle w:val="FooterText"/>
            <w:jc w:val="center"/>
          </w:pPr>
        </w:p>
      </w:tc>
      <w:tc>
        <w:tcPr>
          <w:tcW w:w="1286" w:type="pct"/>
          <w:gridSpan w:val="3"/>
          <w:shd w:val="clear" w:color="auto" w:fill="auto"/>
          <w:tcMar>
            <w:top w:w="0" w:type="dxa"/>
          </w:tcMar>
        </w:tcPr>
        <w:p w14:paraId="6B5B097D" w14:textId="1B66DE10" w:rsidR="00A84778" w:rsidRPr="002511D8" w:rsidRDefault="00A84778" w:rsidP="00805175">
          <w:pPr>
            <w:pStyle w:val="FooterText"/>
            <w:jc w:val="center"/>
          </w:pPr>
        </w:p>
      </w:tc>
      <w:tc>
        <w:tcPr>
          <w:tcW w:w="589" w:type="pct"/>
          <w:shd w:val="clear" w:color="auto" w:fill="auto"/>
          <w:tcMar>
            <w:top w:w="0" w:type="dxa"/>
          </w:tcMar>
        </w:tcPr>
        <w:p w14:paraId="1E87FAFF" w14:textId="77777777" w:rsidR="005B6253" w:rsidRDefault="00413ACE" w:rsidP="00805175">
          <w:pPr>
            <w:pStyle w:val="FooterText"/>
            <w:jc w:val="right"/>
          </w:pPr>
          <w:r>
            <w:fldChar w:fldCharType="begin"/>
          </w:r>
          <w:r>
            <w:instrText xml:space="preserve"> PAGE  \* MERGEFORMAT </w:instrText>
          </w:r>
          <w:r>
            <w:fldChar w:fldCharType="separate"/>
          </w:r>
          <w:r w:rsidR="006E0EA2">
            <w:t>166</w:t>
          </w:r>
          <w:r>
            <w:fldChar w:fldCharType="end"/>
          </w:r>
        </w:p>
        <w:p w14:paraId="61B4C268" w14:textId="77777777" w:rsidR="00A84778" w:rsidRPr="00B310DC" w:rsidRDefault="00A84778" w:rsidP="00805175">
          <w:pPr>
            <w:pStyle w:val="FooterText"/>
            <w:jc w:val="right"/>
          </w:pPr>
        </w:p>
      </w:tc>
    </w:tr>
    <w:tr w:rsidR="00A84778" w:rsidRPr="00D94637" w14:paraId="4C7D5441" w14:textId="77777777" w:rsidTr="00F46D42">
      <w:trPr>
        <w:jc w:val="center"/>
      </w:trPr>
      <w:tc>
        <w:tcPr>
          <w:tcW w:w="1774" w:type="pct"/>
          <w:shd w:val="clear" w:color="auto" w:fill="auto"/>
        </w:tcPr>
        <w:p w14:paraId="155B6776" w14:textId="77777777" w:rsidR="00A84778" w:rsidRPr="00AD7BF2" w:rsidRDefault="00A84778" w:rsidP="00805175">
          <w:pPr>
            <w:pStyle w:val="FooterText"/>
            <w:spacing w:before="40"/>
          </w:pPr>
        </w:p>
      </w:tc>
      <w:tc>
        <w:tcPr>
          <w:tcW w:w="1455" w:type="pct"/>
          <w:gridSpan w:val="3"/>
          <w:shd w:val="clear" w:color="auto" w:fill="auto"/>
        </w:tcPr>
        <w:p w14:paraId="6E9CE145" w14:textId="487714D4" w:rsidR="00A84778" w:rsidRPr="00AD7BF2" w:rsidRDefault="00A84778" w:rsidP="00805175">
          <w:pPr>
            <w:pStyle w:val="FooterText"/>
            <w:spacing w:before="40"/>
            <w:jc w:val="center"/>
          </w:pPr>
        </w:p>
      </w:tc>
      <w:tc>
        <w:tcPr>
          <w:tcW w:w="742" w:type="pct"/>
          <w:shd w:val="clear" w:color="auto" w:fill="auto"/>
        </w:tcPr>
        <w:p w14:paraId="137B183E" w14:textId="77777777" w:rsidR="00A84778" w:rsidRPr="00D94637" w:rsidRDefault="00A84778" w:rsidP="00805175">
          <w:pPr>
            <w:pStyle w:val="FooterText"/>
            <w:jc w:val="center"/>
            <w:rPr>
              <w:b/>
              <w:position w:val="-4"/>
              <w:sz w:val="36"/>
            </w:rPr>
          </w:pPr>
        </w:p>
      </w:tc>
      <w:tc>
        <w:tcPr>
          <w:tcW w:w="1029" w:type="pct"/>
          <w:gridSpan w:val="2"/>
          <w:shd w:val="clear" w:color="auto" w:fill="auto"/>
        </w:tcPr>
        <w:p w14:paraId="745DC5E2" w14:textId="39533723" w:rsidR="00A84778" w:rsidRPr="00695BAF" w:rsidRDefault="00A84778" w:rsidP="00805175">
          <w:pPr>
            <w:pStyle w:val="FooterText"/>
            <w:jc w:val="right"/>
            <w:rPr>
              <w:caps/>
              <w:spacing w:val="-20"/>
              <w:sz w:val="16"/>
            </w:rPr>
          </w:pPr>
        </w:p>
      </w:tc>
    </w:tr>
  </w:tbl>
  <w:p w14:paraId="7F1623D7" w14:textId="77777777" w:rsidR="00A84778" w:rsidRPr="00271D33" w:rsidRDefault="00A84778" w:rsidP="00271D33">
    <w:pPr>
      <w:pStyle w:val="Footer"/>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771AA" w14:textId="77777777" w:rsidR="00A84778" w:rsidRPr="00271D33" w:rsidRDefault="00A84778" w:rsidP="00271D33">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396D" w14:textId="77777777" w:rsidR="00A84778" w:rsidRPr="00271D33" w:rsidRDefault="00A84778" w:rsidP="00271D33">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314CA919" w14:textId="77777777" w:rsidTr="00F46D42">
      <w:trPr>
        <w:jc w:val="center"/>
      </w:trPr>
      <w:tc>
        <w:tcPr>
          <w:tcW w:w="2500" w:type="pct"/>
          <w:gridSpan w:val="2"/>
          <w:shd w:val="clear" w:color="auto" w:fill="auto"/>
          <w:tcMar>
            <w:top w:w="0" w:type="dxa"/>
          </w:tcMar>
        </w:tcPr>
        <w:p w14:paraId="06E0392F" w14:textId="7C7E13BC" w:rsidR="00A84778" w:rsidRPr="00AD7BF2" w:rsidRDefault="00A84778" w:rsidP="00805175">
          <w:pPr>
            <w:pStyle w:val="FooterText"/>
          </w:pPr>
        </w:p>
      </w:tc>
      <w:tc>
        <w:tcPr>
          <w:tcW w:w="625" w:type="pct"/>
          <w:shd w:val="clear" w:color="auto" w:fill="auto"/>
          <w:tcMar>
            <w:top w:w="0" w:type="dxa"/>
          </w:tcMar>
        </w:tcPr>
        <w:p w14:paraId="62FE763F" w14:textId="77777777" w:rsidR="00A84778" w:rsidRPr="00AD7BF2" w:rsidRDefault="00A84778" w:rsidP="00805175">
          <w:pPr>
            <w:pStyle w:val="FooterText"/>
            <w:jc w:val="center"/>
          </w:pPr>
        </w:p>
      </w:tc>
      <w:tc>
        <w:tcPr>
          <w:tcW w:w="1286" w:type="pct"/>
          <w:gridSpan w:val="3"/>
          <w:shd w:val="clear" w:color="auto" w:fill="auto"/>
          <w:tcMar>
            <w:top w:w="0" w:type="dxa"/>
          </w:tcMar>
        </w:tcPr>
        <w:p w14:paraId="570B353D" w14:textId="0D43C8E1" w:rsidR="00A84778" w:rsidRPr="002511D8" w:rsidRDefault="00A84778" w:rsidP="00805175">
          <w:pPr>
            <w:pStyle w:val="FooterText"/>
            <w:jc w:val="center"/>
          </w:pPr>
        </w:p>
      </w:tc>
      <w:tc>
        <w:tcPr>
          <w:tcW w:w="589" w:type="pct"/>
          <w:shd w:val="clear" w:color="auto" w:fill="auto"/>
          <w:tcMar>
            <w:top w:w="0" w:type="dxa"/>
          </w:tcMar>
        </w:tcPr>
        <w:p w14:paraId="640643A5" w14:textId="77777777" w:rsidR="005B6253" w:rsidRDefault="00413ACE" w:rsidP="00805175">
          <w:pPr>
            <w:pStyle w:val="FooterText"/>
            <w:jc w:val="right"/>
          </w:pPr>
          <w:r>
            <w:fldChar w:fldCharType="begin"/>
          </w:r>
          <w:r>
            <w:instrText xml:space="preserve"> PAGE  \* MERGEFORMAT </w:instrText>
          </w:r>
          <w:r>
            <w:fldChar w:fldCharType="separate"/>
          </w:r>
          <w:r w:rsidR="006E0EA2">
            <w:t>172</w:t>
          </w:r>
          <w:r>
            <w:fldChar w:fldCharType="end"/>
          </w:r>
        </w:p>
        <w:p w14:paraId="5F5DECA7" w14:textId="77777777" w:rsidR="00A84778" w:rsidRPr="00B310DC" w:rsidRDefault="00A84778" w:rsidP="00805175">
          <w:pPr>
            <w:pStyle w:val="FooterText"/>
            <w:jc w:val="right"/>
          </w:pPr>
        </w:p>
      </w:tc>
    </w:tr>
    <w:tr w:rsidR="00A84778" w:rsidRPr="00D94637" w14:paraId="29B039A4" w14:textId="77777777" w:rsidTr="00F46D42">
      <w:trPr>
        <w:jc w:val="center"/>
      </w:trPr>
      <w:tc>
        <w:tcPr>
          <w:tcW w:w="1774" w:type="pct"/>
          <w:shd w:val="clear" w:color="auto" w:fill="auto"/>
        </w:tcPr>
        <w:p w14:paraId="64FFE32B" w14:textId="77777777" w:rsidR="00A84778" w:rsidRPr="00AD7BF2" w:rsidRDefault="00A84778" w:rsidP="00805175">
          <w:pPr>
            <w:pStyle w:val="FooterText"/>
            <w:spacing w:before="40"/>
          </w:pPr>
        </w:p>
      </w:tc>
      <w:tc>
        <w:tcPr>
          <w:tcW w:w="1455" w:type="pct"/>
          <w:gridSpan w:val="3"/>
          <w:shd w:val="clear" w:color="auto" w:fill="auto"/>
        </w:tcPr>
        <w:p w14:paraId="47BAE693" w14:textId="2BD7B4E7" w:rsidR="00A84778" w:rsidRPr="00AD7BF2" w:rsidRDefault="00A84778" w:rsidP="00805175">
          <w:pPr>
            <w:pStyle w:val="FooterText"/>
            <w:spacing w:before="40"/>
            <w:jc w:val="center"/>
          </w:pPr>
        </w:p>
      </w:tc>
      <w:tc>
        <w:tcPr>
          <w:tcW w:w="742" w:type="pct"/>
          <w:shd w:val="clear" w:color="auto" w:fill="auto"/>
        </w:tcPr>
        <w:p w14:paraId="682C7C34" w14:textId="77777777" w:rsidR="00A84778" w:rsidRPr="00D94637" w:rsidRDefault="00A84778" w:rsidP="00805175">
          <w:pPr>
            <w:pStyle w:val="FooterText"/>
            <w:jc w:val="center"/>
            <w:rPr>
              <w:b/>
              <w:position w:val="-4"/>
              <w:sz w:val="36"/>
            </w:rPr>
          </w:pPr>
        </w:p>
      </w:tc>
      <w:tc>
        <w:tcPr>
          <w:tcW w:w="1029" w:type="pct"/>
          <w:gridSpan w:val="2"/>
          <w:shd w:val="clear" w:color="auto" w:fill="auto"/>
        </w:tcPr>
        <w:p w14:paraId="0DA5B8D3" w14:textId="45E2E0D2" w:rsidR="00A84778" w:rsidRPr="00695BAF" w:rsidRDefault="00A84778" w:rsidP="00805175">
          <w:pPr>
            <w:pStyle w:val="FooterText"/>
            <w:jc w:val="right"/>
            <w:rPr>
              <w:caps/>
              <w:spacing w:val="-20"/>
              <w:sz w:val="16"/>
            </w:rPr>
          </w:pPr>
        </w:p>
      </w:tc>
    </w:tr>
  </w:tbl>
  <w:p w14:paraId="68A00AE3" w14:textId="77777777" w:rsidR="00A84778" w:rsidRPr="00271D33" w:rsidRDefault="00A84778" w:rsidP="00271D33">
    <w:pPr>
      <w:pStyle w:val="Footer"/>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4B30" w14:textId="77777777" w:rsidR="00A84778" w:rsidRPr="00271D33" w:rsidRDefault="00A84778" w:rsidP="00271D33">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8A73" w14:textId="77777777" w:rsidR="00A84778" w:rsidRPr="00271D33" w:rsidRDefault="00A84778" w:rsidP="00271D33">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2FA0CCFD" w14:textId="77777777" w:rsidTr="00F46D42">
      <w:trPr>
        <w:jc w:val="center"/>
      </w:trPr>
      <w:tc>
        <w:tcPr>
          <w:tcW w:w="2500" w:type="pct"/>
          <w:gridSpan w:val="2"/>
          <w:shd w:val="clear" w:color="auto" w:fill="auto"/>
          <w:tcMar>
            <w:top w:w="0" w:type="dxa"/>
          </w:tcMar>
        </w:tcPr>
        <w:p w14:paraId="341F2EF1" w14:textId="44096D13" w:rsidR="00A84778" w:rsidRPr="00AD7BF2" w:rsidRDefault="00A84778" w:rsidP="00805175">
          <w:pPr>
            <w:pStyle w:val="FooterText"/>
          </w:pPr>
        </w:p>
      </w:tc>
      <w:tc>
        <w:tcPr>
          <w:tcW w:w="625" w:type="pct"/>
          <w:shd w:val="clear" w:color="auto" w:fill="auto"/>
          <w:tcMar>
            <w:top w:w="0" w:type="dxa"/>
          </w:tcMar>
        </w:tcPr>
        <w:p w14:paraId="2B589411" w14:textId="77777777" w:rsidR="00A84778" w:rsidRPr="00AD7BF2" w:rsidRDefault="00A84778" w:rsidP="00805175">
          <w:pPr>
            <w:pStyle w:val="FooterText"/>
            <w:jc w:val="center"/>
          </w:pPr>
        </w:p>
      </w:tc>
      <w:tc>
        <w:tcPr>
          <w:tcW w:w="1286" w:type="pct"/>
          <w:gridSpan w:val="3"/>
          <w:shd w:val="clear" w:color="auto" w:fill="auto"/>
          <w:tcMar>
            <w:top w:w="0" w:type="dxa"/>
          </w:tcMar>
        </w:tcPr>
        <w:p w14:paraId="003512B7" w14:textId="4514A4F7" w:rsidR="00A84778" w:rsidRPr="002511D8" w:rsidRDefault="00A84778" w:rsidP="00805175">
          <w:pPr>
            <w:pStyle w:val="FooterText"/>
            <w:jc w:val="center"/>
          </w:pPr>
        </w:p>
      </w:tc>
      <w:tc>
        <w:tcPr>
          <w:tcW w:w="589" w:type="pct"/>
          <w:shd w:val="clear" w:color="auto" w:fill="auto"/>
          <w:tcMar>
            <w:top w:w="0" w:type="dxa"/>
          </w:tcMar>
        </w:tcPr>
        <w:p w14:paraId="0F1BB559" w14:textId="77777777" w:rsidR="005B6253" w:rsidRDefault="00413ACE" w:rsidP="00805175">
          <w:pPr>
            <w:pStyle w:val="FooterText"/>
            <w:jc w:val="right"/>
          </w:pPr>
          <w:r>
            <w:fldChar w:fldCharType="begin"/>
          </w:r>
          <w:r>
            <w:instrText xml:space="preserve"> PAGE  \* MERGEFORMAT </w:instrText>
          </w:r>
          <w:r>
            <w:fldChar w:fldCharType="separate"/>
          </w:r>
          <w:r w:rsidR="006E0EA2">
            <w:t>177</w:t>
          </w:r>
          <w:r>
            <w:fldChar w:fldCharType="end"/>
          </w:r>
        </w:p>
        <w:p w14:paraId="3508DA05" w14:textId="77777777" w:rsidR="00A84778" w:rsidRPr="00B310DC" w:rsidRDefault="00A84778" w:rsidP="00805175">
          <w:pPr>
            <w:pStyle w:val="FooterText"/>
            <w:jc w:val="right"/>
          </w:pPr>
        </w:p>
      </w:tc>
    </w:tr>
    <w:tr w:rsidR="00A84778" w:rsidRPr="00D94637" w14:paraId="25B738F8" w14:textId="77777777" w:rsidTr="00F46D42">
      <w:trPr>
        <w:jc w:val="center"/>
      </w:trPr>
      <w:tc>
        <w:tcPr>
          <w:tcW w:w="1774" w:type="pct"/>
          <w:shd w:val="clear" w:color="auto" w:fill="auto"/>
        </w:tcPr>
        <w:p w14:paraId="46E4C36D" w14:textId="77777777" w:rsidR="00A84778" w:rsidRPr="00AD7BF2" w:rsidRDefault="00A84778" w:rsidP="00805175">
          <w:pPr>
            <w:pStyle w:val="FooterText"/>
            <w:spacing w:before="40"/>
          </w:pPr>
        </w:p>
      </w:tc>
      <w:tc>
        <w:tcPr>
          <w:tcW w:w="1455" w:type="pct"/>
          <w:gridSpan w:val="3"/>
          <w:shd w:val="clear" w:color="auto" w:fill="auto"/>
        </w:tcPr>
        <w:p w14:paraId="512A0B4E" w14:textId="15F7235F" w:rsidR="00A84778" w:rsidRPr="00AD7BF2" w:rsidRDefault="00A84778" w:rsidP="00805175">
          <w:pPr>
            <w:pStyle w:val="FooterText"/>
            <w:spacing w:before="40"/>
            <w:jc w:val="center"/>
          </w:pPr>
        </w:p>
      </w:tc>
      <w:tc>
        <w:tcPr>
          <w:tcW w:w="742" w:type="pct"/>
          <w:shd w:val="clear" w:color="auto" w:fill="auto"/>
        </w:tcPr>
        <w:p w14:paraId="55009FF4" w14:textId="77777777" w:rsidR="00A84778" w:rsidRPr="00D94637" w:rsidRDefault="00A84778" w:rsidP="00805175">
          <w:pPr>
            <w:pStyle w:val="FooterText"/>
            <w:jc w:val="center"/>
            <w:rPr>
              <w:b/>
              <w:position w:val="-4"/>
              <w:sz w:val="36"/>
            </w:rPr>
          </w:pPr>
        </w:p>
      </w:tc>
      <w:tc>
        <w:tcPr>
          <w:tcW w:w="1029" w:type="pct"/>
          <w:gridSpan w:val="2"/>
          <w:shd w:val="clear" w:color="auto" w:fill="auto"/>
        </w:tcPr>
        <w:p w14:paraId="14052DB5" w14:textId="0BC815C0" w:rsidR="00A84778" w:rsidRPr="00695BAF" w:rsidRDefault="00A84778" w:rsidP="00805175">
          <w:pPr>
            <w:pStyle w:val="FooterText"/>
            <w:jc w:val="right"/>
            <w:rPr>
              <w:caps/>
              <w:spacing w:val="-20"/>
              <w:sz w:val="16"/>
            </w:rPr>
          </w:pPr>
        </w:p>
      </w:tc>
    </w:tr>
  </w:tbl>
  <w:p w14:paraId="01114F20" w14:textId="77777777" w:rsidR="00A84778" w:rsidRPr="00271D33" w:rsidRDefault="00A84778" w:rsidP="00271D33">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E5DE" w14:textId="77777777" w:rsidR="00A84778" w:rsidRPr="00271D33" w:rsidRDefault="00A84778" w:rsidP="00271D3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3755" w14:textId="77777777" w:rsidR="00A84778" w:rsidRPr="00C70741" w:rsidRDefault="00A84778">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7A797" w14:textId="77777777" w:rsidR="00A84778" w:rsidRPr="00271D33" w:rsidRDefault="00A84778" w:rsidP="00271D33">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2D192287" w14:textId="77777777" w:rsidTr="00F46D42">
      <w:trPr>
        <w:jc w:val="center"/>
      </w:trPr>
      <w:tc>
        <w:tcPr>
          <w:tcW w:w="2500" w:type="pct"/>
          <w:gridSpan w:val="2"/>
          <w:shd w:val="clear" w:color="auto" w:fill="auto"/>
          <w:tcMar>
            <w:top w:w="0" w:type="dxa"/>
          </w:tcMar>
        </w:tcPr>
        <w:p w14:paraId="01282209" w14:textId="406667DC" w:rsidR="00A84778" w:rsidRPr="00AD7BF2" w:rsidRDefault="00A84778" w:rsidP="00805175">
          <w:pPr>
            <w:pStyle w:val="FooterText"/>
          </w:pPr>
        </w:p>
      </w:tc>
      <w:tc>
        <w:tcPr>
          <w:tcW w:w="625" w:type="pct"/>
          <w:shd w:val="clear" w:color="auto" w:fill="auto"/>
          <w:tcMar>
            <w:top w:w="0" w:type="dxa"/>
          </w:tcMar>
        </w:tcPr>
        <w:p w14:paraId="7BAE623F" w14:textId="77777777" w:rsidR="00A84778" w:rsidRPr="00AD7BF2" w:rsidRDefault="00A84778" w:rsidP="00805175">
          <w:pPr>
            <w:pStyle w:val="FooterText"/>
            <w:jc w:val="center"/>
          </w:pPr>
        </w:p>
      </w:tc>
      <w:tc>
        <w:tcPr>
          <w:tcW w:w="1286" w:type="pct"/>
          <w:gridSpan w:val="3"/>
          <w:shd w:val="clear" w:color="auto" w:fill="auto"/>
          <w:tcMar>
            <w:top w:w="0" w:type="dxa"/>
          </w:tcMar>
        </w:tcPr>
        <w:p w14:paraId="6BFC06D1" w14:textId="2F3FDF4D" w:rsidR="00A84778" w:rsidRPr="002511D8" w:rsidRDefault="00A84778" w:rsidP="00805175">
          <w:pPr>
            <w:pStyle w:val="FooterText"/>
            <w:jc w:val="center"/>
          </w:pPr>
        </w:p>
      </w:tc>
      <w:tc>
        <w:tcPr>
          <w:tcW w:w="589" w:type="pct"/>
          <w:shd w:val="clear" w:color="auto" w:fill="auto"/>
          <w:tcMar>
            <w:top w:w="0" w:type="dxa"/>
          </w:tcMar>
        </w:tcPr>
        <w:p w14:paraId="3E9E75F0" w14:textId="77777777" w:rsidR="005B6253" w:rsidRDefault="00413ACE" w:rsidP="00805175">
          <w:pPr>
            <w:pStyle w:val="FooterText"/>
            <w:jc w:val="right"/>
          </w:pPr>
          <w:r>
            <w:fldChar w:fldCharType="begin"/>
          </w:r>
          <w:r>
            <w:instrText xml:space="preserve"> PAGE  \* MERGEFORMAT </w:instrText>
          </w:r>
          <w:r>
            <w:fldChar w:fldCharType="separate"/>
          </w:r>
          <w:r w:rsidR="006E0EA2">
            <w:t>182</w:t>
          </w:r>
          <w:r>
            <w:fldChar w:fldCharType="end"/>
          </w:r>
        </w:p>
        <w:p w14:paraId="601F5552" w14:textId="77777777" w:rsidR="00A84778" w:rsidRPr="00B310DC" w:rsidRDefault="00A84778" w:rsidP="00805175">
          <w:pPr>
            <w:pStyle w:val="FooterText"/>
            <w:jc w:val="right"/>
          </w:pPr>
        </w:p>
      </w:tc>
    </w:tr>
    <w:tr w:rsidR="00A84778" w:rsidRPr="00D94637" w14:paraId="5ABBC1B9" w14:textId="77777777" w:rsidTr="00F46D42">
      <w:trPr>
        <w:jc w:val="center"/>
      </w:trPr>
      <w:tc>
        <w:tcPr>
          <w:tcW w:w="1774" w:type="pct"/>
          <w:shd w:val="clear" w:color="auto" w:fill="auto"/>
        </w:tcPr>
        <w:p w14:paraId="384E528F" w14:textId="77777777" w:rsidR="00A84778" w:rsidRPr="00AD7BF2" w:rsidRDefault="00A84778" w:rsidP="00805175">
          <w:pPr>
            <w:pStyle w:val="FooterText"/>
            <w:spacing w:before="40"/>
          </w:pPr>
        </w:p>
      </w:tc>
      <w:tc>
        <w:tcPr>
          <w:tcW w:w="1455" w:type="pct"/>
          <w:gridSpan w:val="3"/>
          <w:shd w:val="clear" w:color="auto" w:fill="auto"/>
        </w:tcPr>
        <w:p w14:paraId="2FC216A9" w14:textId="5467DAC0" w:rsidR="00A84778" w:rsidRPr="00AD7BF2" w:rsidRDefault="00A84778" w:rsidP="00805175">
          <w:pPr>
            <w:pStyle w:val="FooterText"/>
            <w:spacing w:before="40"/>
            <w:jc w:val="center"/>
          </w:pPr>
        </w:p>
      </w:tc>
      <w:tc>
        <w:tcPr>
          <w:tcW w:w="742" w:type="pct"/>
          <w:shd w:val="clear" w:color="auto" w:fill="auto"/>
        </w:tcPr>
        <w:p w14:paraId="43EC1BA6" w14:textId="77777777" w:rsidR="00A84778" w:rsidRPr="00D94637" w:rsidRDefault="00A84778" w:rsidP="00805175">
          <w:pPr>
            <w:pStyle w:val="FooterText"/>
            <w:jc w:val="center"/>
            <w:rPr>
              <w:b/>
              <w:position w:val="-4"/>
              <w:sz w:val="36"/>
            </w:rPr>
          </w:pPr>
        </w:p>
      </w:tc>
      <w:tc>
        <w:tcPr>
          <w:tcW w:w="1029" w:type="pct"/>
          <w:gridSpan w:val="2"/>
          <w:shd w:val="clear" w:color="auto" w:fill="auto"/>
        </w:tcPr>
        <w:p w14:paraId="53ED895E" w14:textId="6780D492" w:rsidR="00A84778" w:rsidRPr="00695BAF" w:rsidRDefault="00A84778" w:rsidP="00805175">
          <w:pPr>
            <w:pStyle w:val="FooterText"/>
            <w:jc w:val="right"/>
            <w:rPr>
              <w:caps/>
              <w:spacing w:val="-20"/>
              <w:sz w:val="16"/>
            </w:rPr>
          </w:pPr>
        </w:p>
      </w:tc>
    </w:tr>
  </w:tbl>
  <w:p w14:paraId="7003C998" w14:textId="77777777" w:rsidR="00A84778" w:rsidRPr="00271D33" w:rsidRDefault="00A84778" w:rsidP="00271D33">
    <w:pPr>
      <w:pStyle w:val="Footer"/>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275C" w14:textId="77777777" w:rsidR="00A84778" w:rsidRPr="00271D33" w:rsidRDefault="00A84778" w:rsidP="00271D33">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4289" w14:textId="77777777" w:rsidR="00A84778" w:rsidRPr="00271D33" w:rsidRDefault="00A84778" w:rsidP="00271D33">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3561073B" w14:textId="77777777" w:rsidTr="00F46D42">
      <w:trPr>
        <w:jc w:val="center"/>
      </w:trPr>
      <w:tc>
        <w:tcPr>
          <w:tcW w:w="2500" w:type="pct"/>
          <w:gridSpan w:val="2"/>
          <w:shd w:val="clear" w:color="auto" w:fill="auto"/>
          <w:tcMar>
            <w:top w:w="0" w:type="dxa"/>
          </w:tcMar>
        </w:tcPr>
        <w:p w14:paraId="0D79F9DF" w14:textId="0617B5AE" w:rsidR="00A84778" w:rsidRPr="00AD7BF2" w:rsidRDefault="00A84778" w:rsidP="0030238F">
          <w:pPr>
            <w:pStyle w:val="FooterText"/>
          </w:pPr>
        </w:p>
      </w:tc>
      <w:tc>
        <w:tcPr>
          <w:tcW w:w="625" w:type="pct"/>
          <w:shd w:val="clear" w:color="auto" w:fill="auto"/>
          <w:tcMar>
            <w:top w:w="0" w:type="dxa"/>
          </w:tcMar>
        </w:tcPr>
        <w:p w14:paraId="1B739B82" w14:textId="77777777" w:rsidR="00A84778" w:rsidRPr="00AD7BF2" w:rsidRDefault="00A84778" w:rsidP="0030238F">
          <w:pPr>
            <w:pStyle w:val="FooterText"/>
            <w:jc w:val="center"/>
          </w:pPr>
        </w:p>
      </w:tc>
      <w:tc>
        <w:tcPr>
          <w:tcW w:w="1286" w:type="pct"/>
          <w:gridSpan w:val="3"/>
          <w:shd w:val="clear" w:color="auto" w:fill="auto"/>
          <w:tcMar>
            <w:top w:w="0" w:type="dxa"/>
          </w:tcMar>
        </w:tcPr>
        <w:p w14:paraId="3D21863F" w14:textId="441C2080" w:rsidR="00A84778" w:rsidRPr="002511D8" w:rsidRDefault="00A84778" w:rsidP="0030238F">
          <w:pPr>
            <w:pStyle w:val="FooterText"/>
            <w:jc w:val="center"/>
          </w:pPr>
        </w:p>
      </w:tc>
      <w:tc>
        <w:tcPr>
          <w:tcW w:w="589" w:type="pct"/>
          <w:shd w:val="clear" w:color="auto" w:fill="auto"/>
          <w:tcMar>
            <w:top w:w="0" w:type="dxa"/>
          </w:tcMar>
        </w:tcPr>
        <w:p w14:paraId="4A27E552" w14:textId="77777777" w:rsidR="005B6253" w:rsidRDefault="006E5D84" w:rsidP="0030238F">
          <w:pPr>
            <w:pStyle w:val="FooterText"/>
            <w:jc w:val="right"/>
          </w:pPr>
          <w:r>
            <w:fldChar w:fldCharType="begin"/>
          </w:r>
          <w:r>
            <w:instrText xml:space="preserve"> PAGE  \* MERGEFORMAT </w:instrText>
          </w:r>
          <w:r>
            <w:fldChar w:fldCharType="separate"/>
          </w:r>
          <w:r w:rsidR="006E0EA2">
            <w:t>185</w:t>
          </w:r>
          <w:r>
            <w:fldChar w:fldCharType="end"/>
          </w:r>
        </w:p>
        <w:p w14:paraId="77954ABC" w14:textId="77777777" w:rsidR="00A84778" w:rsidRPr="00B310DC" w:rsidRDefault="00A84778" w:rsidP="0030238F">
          <w:pPr>
            <w:pStyle w:val="FooterText"/>
            <w:jc w:val="right"/>
          </w:pPr>
        </w:p>
      </w:tc>
    </w:tr>
    <w:tr w:rsidR="00A84778" w:rsidRPr="00D94637" w14:paraId="08619631" w14:textId="77777777" w:rsidTr="00F46D42">
      <w:trPr>
        <w:jc w:val="center"/>
      </w:trPr>
      <w:tc>
        <w:tcPr>
          <w:tcW w:w="1774" w:type="pct"/>
          <w:shd w:val="clear" w:color="auto" w:fill="auto"/>
        </w:tcPr>
        <w:p w14:paraId="665F42DD" w14:textId="77777777" w:rsidR="00A84778" w:rsidRPr="00AD7BF2" w:rsidRDefault="00A84778" w:rsidP="0030238F">
          <w:pPr>
            <w:pStyle w:val="FooterText"/>
            <w:spacing w:before="40"/>
          </w:pPr>
        </w:p>
      </w:tc>
      <w:tc>
        <w:tcPr>
          <w:tcW w:w="1455" w:type="pct"/>
          <w:gridSpan w:val="3"/>
          <w:shd w:val="clear" w:color="auto" w:fill="auto"/>
        </w:tcPr>
        <w:p w14:paraId="6F950FB8" w14:textId="4D2CA0A8" w:rsidR="00A84778" w:rsidRPr="00AD7BF2" w:rsidRDefault="00A84778" w:rsidP="0030238F">
          <w:pPr>
            <w:pStyle w:val="FooterText"/>
            <w:spacing w:before="40"/>
            <w:jc w:val="center"/>
          </w:pPr>
        </w:p>
      </w:tc>
      <w:tc>
        <w:tcPr>
          <w:tcW w:w="742" w:type="pct"/>
          <w:shd w:val="clear" w:color="auto" w:fill="auto"/>
        </w:tcPr>
        <w:p w14:paraId="4488F437" w14:textId="77777777" w:rsidR="00A84778" w:rsidRPr="00D94637" w:rsidRDefault="00A84778" w:rsidP="0030238F">
          <w:pPr>
            <w:pStyle w:val="FooterText"/>
            <w:jc w:val="center"/>
            <w:rPr>
              <w:b/>
              <w:position w:val="-4"/>
              <w:sz w:val="36"/>
            </w:rPr>
          </w:pPr>
        </w:p>
      </w:tc>
      <w:tc>
        <w:tcPr>
          <w:tcW w:w="1029" w:type="pct"/>
          <w:gridSpan w:val="2"/>
          <w:shd w:val="clear" w:color="auto" w:fill="auto"/>
        </w:tcPr>
        <w:p w14:paraId="550DAAE2" w14:textId="33AB496D" w:rsidR="00A84778" w:rsidRPr="00695BAF" w:rsidRDefault="00A84778" w:rsidP="0030238F">
          <w:pPr>
            <w:pStyle w:val="FooterText"/>
            <w:jc w:val="right"/>
            <w:rPr>
              <w:caps/>
              <w:spacing w:val="-20"/>
              <w:sz w:val="16"/>
            </w:rPr>
          </w:pPr>
        </w:p>
      </w:tc>
    </w:tr>
  </w:tbl>
  <w:p w14:paraId="22CB9378" w14:textId="77777777" w:rsidR="00A84778" w:rsidRPr="00271D33" w:rsidRDefault="00A84778" w:rsidP="00271D33">
    <w:pPr>
      <w:pStyle w:val="Footer"/>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03CB7" w14:textId="77777777" w:rsidR="00A84778" w:rsidRPr="00271D33" w:rsidRDefault="00A84778" w:rsidP="00271D33">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DA9C" w14:textId="77777777" w:rsidR="00A84778" w:rsidRPr="00271D33" w:rsidRDefault="00A84778" w:rsidP="00271D33">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C2EB" w14:textId="77777777" w:rsidR="00A84778" w:rsidRPr="00271D33" w:rsidRDefault="00A84778" w:rsidP="0030238F">
    <w:pPr>
      <w:pStyle w:val="Footer"/>
      <w:tabs>
        <w:tab w:val="clear" w:pos="4535"/>
        <w:tab w:val="clear" w:pos="9071"/>
        <w:tab w:val="clear" w:pos="9921"/>
        <w:tab w:val="left" w:pos="1675"/>
      </w:tabs>
    </w:pPr>
    <w:r>
      <w:tab/>
    </w:r>
  </w:p>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1CCA741E" w14:textId="77777777" w:rsidTr="00F46D42">
      <w:trPr>
        <w:jc w:val="center"/>
      </w:trPr>
      <w:tc>
        <w:tcPr>
          <w:tcW w:w="2500" w:type="pct"/>
          <w:gridSpan w:val="2"/>
          <w:shd w:val="clear" w:color="auto" w:fill="auto"/>
          <w:tcMar>
            <w:top w:w="0" w:type="dxa"/>
          </w:tcMar>
        </w:tcPr>
        <w:p w14:paraId="21168E58" w14:textId="18957E69" w:rsidR="00A84778" w:rsidRPr="00AD7BF2" w:rsidRDefault="00A84778" w:rsidP="0030238F">
          <w:pPr>
            <w:pStyle w:val="FooterText"/>
          </w:pPr>
        </w:p>
      </w:tc>
      <w:tc>
        <w:tcPr>
          <w:tcW w:w="625" w:type="pct"/>
          <w:shd w:val="clear" w:color="auto" w:fill="auto"/>
          <w:tcMar>
            <w:top w:w="0" w:type="dxa"/>
          </w:tcMar>
        </w:tcPr>
        <w:p w14:paraId="795F84E8" w14:textId="77777777" w:rsidR="00A84778" w:rsidRPr="00AD7BF2" w:rsidRDefault="00A84778" w:rsidP="0030238F">
          <w:pPr>
            <w:pStyle w:val="FooterText"/>
            <w:jc w:val="center"/>
          </w:pPr>
        </w:p>
      </w:tc>
      <w:tc>
        <w:tcPr>
          <w:tcW w:w="1286" w:type="pct"/>
          <w:gridSpan w:val="3"/>
          <w:shd w:val="clear" w:color="auto" w:fill="auto"/>
          <w:tcMar>
            <w:top w:w="0" w:type="dxa"/>
          </w:tcMar>
        </w:tcPr>
        <w:p w14:paraId="607AA84C" w14:textId="0EEC4165" w:rsidR="00A84778" w:rsidRPr="002511D8" w:rsidRDefault="00A84778" w:rsidP="0030238F">
          <w:pPr>
            <w:pStyle w:val="FooterText"/>
            <w:jc w:val="center"/>
          </w:pPr>
        </w:p>
      </w:tc>
      <w:tc>
        <w:tcPr>
          <w:tcW w:w="589" w:type="pct"/>
          <w:shd w:val="clear" w:color="auto" w:fill="auto"/>
          <w:tcMar>
            <w:top w:w="0" w:type="dxa"/>
          </w:tcMar>
        </w:tcPr>
        <w:p w14:paraId="5C975ABA" w14:textId="77777777" w:rsidR="005B6253" w:rsidRDefault="00413ACE" w:rsidP="0030238F">
          <w:pPr>
            <w:pStyle w:val="FooterText"/>
            <w:jc w:val="right"/>
          </w:pPr>
          <w:r>
            <w:fldChar w:fldCharType="begin"/>
          </w:r>
          <w:r>
            <w:instrText xml:space="preserve"> PAGE  \* MERGEFORMAT </w:instrText>
          </w:r>
          <w:r>
            <w:fldChar w:fldCharType="separate"/>
          </w:r>
          <w:r w:rsidR="006E0EA2">
            <w:t>196</w:t>
          </w:r>
          <w:r>
            <w:fldChar w:fldCharType="end"/>
          </w:r>
        </w:p>
        <w:p w14:paraId="358079B9" w14:textId="77777777" w:rsidR="00A84778" w:rsidRPr="00B310DC" w:rsidRDefault="00A84778" w:rsidP="0030238F">
          <w:pPr>
            <w:pStyle w:val="FooterText"/>
            <w:jc w:val="right"/>
          </w:pPr>
        </w:p>
      </w:tc>
    </w:tr>
    <w:tr w:rsidR="00A84778" w:rsidRPr="00D94637" w14:paraId="0AAB3301" w14:textId="77777777" w:rsidTr="00F46D42">
      <w:trPr>
        <w:jc w:val="center"/>
      </w:trPr>
      <w:tc>
        <w:tcPr>
          <w:tcW w:w="1774" w:type="pct"/>
          <w:shd w:val="clear" w:color="auto" w:fill="auto"/>
        </w:tcPr>
        <w:p w14:paraId="1DD5686F" w14:textId="77777777" w:rsidR="00A84778" w:rsidRPr="00AD7BF2" w:rsidRDefault="00A84778" w:rsidP="0030238F">
          <w:pPr>
            <w:pStyle w:val="FooterText"/>
            <w:spacing w:before="40"/>
          </w:pPr>
        </w:p>
      </w:tc>
      <w:tc>
        <w:tcPr>
          <w:tcW w:w="1455" w:type="pct"/>
          <w:gridSpan w:val="3"/>
          <w:shd w:val="clear" w:color="auto" w:fill="auto"/>
        </w:tcPr>
        <w:p w14:paraId="1F143362" w14:textId="0E8E94B9" w:rsidR="00A84778" w:rsidRPr="00AD7BF2" w:rsidRDefault="00A84778" w:rsidP="0030238F">
          <w:pPr>
            <w:pStyle w:val="FooterText"/>
            <w:spacing w:before="40"/>
            <w:jc w:val="center"/>
          </w:pPr>
        </w:p>
      </w:tc>
      <w:tc>
        <w:tcPr>
          <w:tcW w:w="742" w:type="pct"/>
          <w:shd w:val="clear" w:color="auto" w:fill="auto"/>
        </w:tcPr>
        <w:p w14:paraId="6503EDE6" w14:textId="77777777" w:rsidR="00A84778" w:rsidRPr="00D94637" w:rsidRDefault="00A84778" w:rsidP="0030238F">
          <w:pPr>
            <w:pStyle w:val="FooterText"/>
            <w:jc w:val="center"/>
            <w:rPr>
              <w:b/>
              <w:position w:val="-4"/>
              <w:sz w:val="36"/>
            </w:rPr>
          </w:pPr>
        </w:p>
      </w:tc>
      <w:tc>
        <w:tcPr>
          <w:tcW w:w="1029" w:type="pct"/>
          <w:gridSpan w:val="2"/>
          <w:shd w:val="clear" w:color="auto" w:fill="auto"/>
        </w:tcPr>
        <w:p w14:paraId="62CA6C57" w14:textId="56A18C42" w:rsidR="00A84778" w:rsidRPr="00695BAF" w:rsidRDefault="00A84778" w:rsidP="0030238F">
          <w:pPr>
            <w:pStyle w:val="FooterText"/>
            <w:jc w:val="right"/>
            <w:rPr>
              <w:caps/>
              <w:spacing w:val="-20"/>
              <w:sz w:val="16"/>
            </w:rPr>
          </w:pPr>
        </w:p>
      </w:tc>
    </w:tr>
  </w:tbl>
  <w:p w14:paraId="64D06854" w14:textId="77777777" w:rsidR="00A84778" w:rsidRPr="00271D33" w:rsidRDefault="00A84778" w:rsidP="0030238F">
    <w:pPr>
      <w:pStyle w:val="Footer"/>
      <w:tabs>
        <w:tab w:val="clear" w:pos="4535"/>
        <w:tab w:val="clear" w:pos="9071"/>
        <w:tab w:val="clear" w:pos="9921"/>
        <w:tab w:val="left" w:pos="1675"/>
      </w:tabs>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0021" w14:textId="77777777" w:rsidR="00A84778" w:rsidRPr="00271D33" w:rsidRDefault="00A84778" w:rsidP="00271D33">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D284" w14:textId="77777777" w:rsidR="00A84778" w:rsidRPr="00271D33" w:rsidRDefault="00A84778" w:rsidP="00271D3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170"/>
      <w:gridCol w:w="2119"/>
      <w:gridCol w:w="1821"/>
      <w:gridCol w:w="300"/>
      <w:gridCol w:w="2162"/>
      <w:gridCol w:w="1285"/>
      <w:gridCol w:w="1714"/>
    </w:tblGrid>
    <w:tr w:rsidR="00A84778" w:rsidRPr="00B310DC" w14:paraId="7B8E54BD" w14:textId="77777777" w:rsidTr="0033380C">
      <w:trPr>
        <w:jc w:val="center"/>
      </w:trPr>
      <w:tc>
        <w:tcPr>
          <w:tcW w:w="2501" w:type="pct"/>
          <w:gridSpan w:val="2"/>
          <w:shd w:val="clear" w:color="auto" w:fill="auto"/>
          <w:tcMar>
            <w:top w:w="0" w:type="dxa"/>
          </w:tcMar>
        </w:tcPr>
        <w:p w14:paraId="4DB57A24" w14:textId="22A6CA0D" w:rsidR="00A84778" w:rsidRPr="00AD7BF2" w:rsidRDefault="00A84778" w:rsidP="00F46D42">
          <w:pPr>
            <w:pStyle w:val="FooterText"/>
          </w:pPr>
        </w:p>
      </w:tc>
      <w:tc>
        <w:tcPr>
          <w:tcW w:w="625" w:type="pct"/>
          <w:shd w:val="clear" w:color="auto" w:fill="auto"/>
          <w:tcMar>
            <w:top w:w="0" w:type="dxa"/>
          </w:tcMar>
        </w:tcPr>
        <w:p w14:paraId="461B8FA5" w14:textId="77777777" w:rsidR="00A84778" w:rsidRPr="00AD7BF2" w:rsidRDefault="00A84778" w:rsidP="00F46D42">
          <w:pPr>
            <w:pStyle w:val="FooterText"/>
            <w:jc w:val="center"/>
          </w:pPr>
        </w:p>
      </w:tc>
      <w:tc>
        <w:tcPr>
          <w:tcW w:w="1286" w:type="pct"/>
          <w:gridSpan w:val="3"/>
          <w:shd w:val="clear" w:color="auto" w:fill="auto"/>
          <w:tcMar>
            <w:top w:w="0" w:type="dxa"/>
          </w:tcMar>
        </w:tcPr>
        <w:p w14:paraId="2A627B3E" w14:textId="3602C0AF" w:rsidR="00A84778" w:rsidRPr="002511D8" w:rsidRDefault="00A84778" w:rsidP="00F46D42">
          <w:pPr>
            <w:pStyle w:val="FooterText"/>
            <w:jc w:val="center"/>
          </w:pPr>
        </w:p>
      </w:tc>
      <w:tc>
        <w:tcPr>
          <w:tcW w:w="589" w:type="pct"/>
          <w:shd w:val="clear" w:color="auto" w:fill="auto"/>
          <w:tcMar>
            <w:top w:w="0" w:type="dxa"/>
          </w:tcMar>
        </w:tcPr>
        <w:p w14:paraId="1F1ECC3F" w14:textId="069553BD" w:rsidR="00A84778" w:rsidRPr="00B310DC" w:rsidRDefault="00413ACE" w:rsidP="00F46D42">
          <w:pPr>
            <w:pStyle w:val="FooterText"/>
            <w:jc w:val="right"/>
          </w:pPr>
          <w:r>
            <w:fldChar w:fldCharType="begin"/>
          </w:r>
          <w:r>
            <w:instrText xml:space="preserve"> PAGE  \* MERGEFORMAT </w:instrText>
          </w:r>
          <w:r>
            <w:fldChar w:fldCharType="separate"/>
          </w:r>
          <w:r w:rsidR="003A2DA5">
            <w:rPr>
              <w:noProof/>
            </w:rPr>
            <w:t>16</w:t>
          </w:r>
          <w:r>
            <w:fldChar w:fldCharType="end"/>
          </w:r>
        </w:p>
      </w:tc>
    </w:tr>
    <w:tr w:rsidR="00A84778" w:rsidRPr="00D94637" w14:paraId="06C78E10" w14:textId="77777777" w:rsidTr="00271D33">
      <w:trPr>
        <w:jc w:val="center"/>
      </w:trPr>
      <w:tc>
        <w:tcPr>
          <w:tcW w:w="1774" w:type="pct"/>
          <w:shd w:val="clear" w:color="auto" w:fill="auto"/>
        </w:tcPr>
        <w:p w14:paraId="1E55DE48" w14:textId="77777777" w:rsidR="00A84778" w:rsidRPr="00AD7BF2" w:rsidRDefault="00A84778" w:rsidP="00F46D42">
          <w:pPr>
            <w:pStyle w:val="FooterText"/>
            <w:spacing w:before="40"/>
          </w:pPr>
        </w:p>
      </w:tc>
      <w:tc>
        <w:tcPr>
          <w:tcW w:w="1455" w:type="pct"/>
          <w:gridSpan w:val="3"/>
          <w:shd w:val="clear" w:color="auto" w:fill="auto"/>
        </w:tcPr>
        <w:p w14:paraId="5F3D414D" w14:textId="4ED755C8" w:rsidR="00A84778" w:rsidRPr="00AD7BF2" w:rsidRDefault="00A84778" w:rsidP="00F46D42">
          <w:pPr>
            <w:pStyle w:val="FooterText"/>
            <w:spacing w:before="40"/>
            <w:jc w:val="center"/>
          </w:pPr>
        </w:p>
      </w:tc>
      <w:tc>
        <w:tcPr>
          <w:tcW w:w="742" w:type="pct"/>
          <w:shd w:val="clear" w:color="auto" w:fill="auto"/>
        </w:tcPr>
        <w:p w14:paraId="4BFF1C4F" w14:textId="77777777" w:rsidR="00A84778" w:rsidRPr="00D94637" w:rsidRDefault="00A84778" w:rsidP="00F46D42">
          <w:pPr>
            <w:pStyle w:val="FooterText"/>
            <w:jc w:val="center"/>
            <w:rPr>
              <w:b/>
              <w:position w:val="-4"/>
              <w:sz w:val="36"/>
            </w:rPr>
          </w:pPr>
        </w:p>
      </w:tc>
      <w:tc>
        <w:tcPr>
          <w:tcW w:w="1029" w:type="pct"/>
          <w:gridSpan w:val="2"/>
          <w:shd w:val="clear" w:color="auto" w:fill="auto"/>
        </w:tcPr>
        <w:p w14:paraId="14EDEDC6" w14:textId="721FF3C2" w:rsidR="00A84778" w:rsidRPr="00695BAF" w:rsidRDefault="00A84778" w:rsidP="00F46D42">
          <w:pPr>
            <w:pStyle w:val="FooterText"/>
            <w:jc w:val="right"/>
            <w:rPr>
              <w:caps/>
              <w:spacing w:val="-20"/>
              <w:sz w:val="16"/>
            </w:rPr>
          </w:pPr>
        </w:p>
      </w:tc>
    </w:tr>
  </w:tbl>
  <w:p w14:paraId="30A1BA14" w14:textId="77777777" w:rsidR="00A84778" w:rsidRPr="00A873DC" w:rsidRDefault="00A84778" w:rsidP="00271D33">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38CEF80A" w14:textId="77777777" w:rsidTr="00F46D42">
      <w:trPr>
        <w:jc w:val="center"/>
      </w:trPr>
      <w:tc>
        <w:tcPr>
          <w:tcW w:w="2500" w:type="pct"/>
          <w:gridSpan w:val="2"/>
          <w:shd w:val="clear" w:color="auto" w:fill="auto"/>
          <w:tcMar>
            <w:top w:w="0" w:type="dxa"/>
          </w:tcMar>
        </w:tcPr>
        <w:p w14:paraId="526169A9" w14:textId="38CBD327" w:rsidR="00A84778" w:rsidRPr="00AD7BF2" w:rsidRDefault="00A84778" w:rsidP="0030238F">
          <w:pPr>
            <w:pStyle w:val="FooterText"/>
          </w:pPr>
        </w:p>
      </w:tc>
      <w:tc>
        <w:tcPr>
          <w:tcW w:w="625" w:type="pct"/>
          <w:shd w:val="clear" w:color="auto" w:fill="auto"/>
          <w:tcMar>
            <w:top w:w="0" w:type="dxa"/>
          </w:tcMar>
        </w:tcPr>
        <w:p w14:paraId="7E1F5F45" w14:textId="77777777" w:rsidR="00A84778" w:rsidRPr="00AD7BF2" w:rsidRDefault="00A84778" w:rsidP="0030238F">
          <w:pPr>
            <w:pStyle w:val="FooterText"/>
            <w:jc w:val="center"/>
          </w:pPr>
        </w:p>
      </w:tc>
      <w:tc>
        <w:tcPr>
          <w:tcW w:w="1286" w:type="pct"/>
          <w:gridSpan w:val="3"/>
          <w:shd w:val="clear" w:color="auto" w:fill="auto"/>
          <w:tcMar>
            <w:top w:w="0" w:type="dxa"/>
          </w:tcMar>
        </w:tcPr>
        <w:p w14:paraId="1496C2F8" w14:textId="723A11DA" w:rsidR="00A84778" w:rsidRPr="002511D8" w:rsidRDefault="00A84778" w:rsidP="0030238F">
          <w:pPr>
            <w:pStyle w:val="FooterText"/>
            <w:jc w:val="center"/>
          </w:pPr>
        </w:p>
      </w:tc>
      <w:tc>
        <w:tcPr>
          <w:tcW w:w="589" w:type="pct"/>
          <w:shd w:val="clear" w:color="auto" w:fill="auto"/>
          <w:tcMar>
            <w:top w:w="0" w:type="dxa"/>
          </w:tcMar>
        </w:tcPr>
        <w:p w14:paraId="76C262F5" w14:textId="77777777" w:rsidR="005B6253" w:rsidRDefault="00413ACE" w:rsidP="0030238F">
          <w:pPr>
            <w:pStyle w:val="FooterText"/>
            <w:jc w:val="right"/>
          </w:pPr>
          <w:r>
            <w:fldChar w:fldCharType="begin"/>
          </w:r>
          <w:r>
            <w:instrText xml:space="preserve"> PAGE  \* MERGEFORMAT </w:instrText>
          </w:r>
          <w:r>
            <w:fldChar w:fldCharType="separate"/>
          </w:r>
          <w:r w:rsidR="006E0EA2">
            <w:t>198</w:t>
          </w:r>
          <w:r>
            <w:fldChar w:fldCharType="end"/>
          </w:r>
        </w:p>
        <w:p w14:paraId="1A5B3A0E" w14:textId="77777777" w:rsidR="00A84778" w:rsidRPr="00B310DC" w:rsidRDefault="00A84778" w:rsidP="0030238F">
          <w:pPr>
            <w:pStyle w:val="FooterText"/>
            <w:jc w:val="right"/>
          </w:pPr>
        </w:p>
      </w:tc>
    </w:tr>
    <w:tr w:rsidR="00A84778" w:rsidRPr="00D94637" w14:paraId="4C4BE645" w14:textId="77777777" w:rsidTr="00F46D42">
      <w:trPr>
        <w:jc w:val="center"/>
      </w:trPr>
      <w:tc>
        <w:tcPr>
          <w:tcW w:w="1774" w:type="pct"/>
          <w:shd w:val="clear" w:color="auto" w:fill="auto"/>
        </w:tcPr>
        <w:p w14:paraId="770E6003" w14:textId="77777777" w:rsidR="00A84778" w:rsidRPr="00AD7BF2" w:rsidRDefault="00A84778" w:rsidP="0030238F">
          <w:pPr>
            <w:pStyle w:val="FooterText"/>
            <w:spacing w:before="40"/>
          </w:pPr>
        </w:p>
      </w:tc>
      <w:tc>
        <w:tcPr>
          <w:tcW w:w="1455" w:type="pct"/>
          <w:gridSpan w:val="3"/>
          <w:shd w:val="clear" w:color="auto" w:fill="auto"/>
        </w:tcPr>
        <w:p w14:paraId="7D863EC2" w14:textId="5A89C43C" w:rsidR="00A84778" w:rsidRPr="00AD7BF2" w:rsidRDefault="00A84778" w:rsidP="0030238F">
          <w:pPr>
            <w:pStyle w:val="FooterText"/>
            <w:spacing w:before="40"/>
            <w:jc w:val="center"/>
          </w:pPr>
        </w:p>
      </w:tc>
      <w:tc>
        <w:tcPr>
          <w:tcW w:w="742" w:type="pct"/>
          <w:shd w:val="clear" w:color="auto" w:fill="auto"/>
        </w:tcPr>
        <w:p w14:paraId="2222996E" w14:textId="77777777" w:rsidR="00A84778" w:rsidRPr="00D94637" w:rsidRDefault="00A84778" w:rsidP="0030238F">
          <w:pPr>
            <w:pStyle w:val="FooterText"/>
            <w:jc w:val="center"/>
            <w:rPr>
              <w:b/>
              <w:position w:val="-4"/>
              <w:sz w:val="36"/>
            </w:rPr>
          </w:pPr>
        </w:p>
      </w:tc>
      <w:tc>
        <w:tcPr>
          <w:tcW w:w="1029" w:type="pct"/>
          <w:gridSpan w:val="2"/>
          <w:shd w:val="clear" w:color="auto" w:fill="auto"/>
        </w:tcPr>
        <w:p w14:paraId="2464DBAB" w14:textId="3A1F36E5" w:rsidR="00A84778" w:rsidRPr="00695BAF" w:rsidRDefault="00A84778" w:rsidP="0030238F">
          <w:pPr>
            <w:pStyle w:val="FooterText"/>
            <w:jc w:val="right"/>
            <w:rPr>
              <w:caps/>
              <w:spacing w:val="-20"/>
              <w:sz w:val="16"/>
            </w:rPr>
          </w:pPr>
        </w:p>
      </w:tc>
    </w:tr>
  </w:tbl>
  <w:p w14:paraId="16CDB2EB" w14:textId="77777777" w:rsidR="00A84778" w:rsidRPr="00271D33" w:rsidRDefault="00A84778" w:rsidP="00271D33">
    <w:pPr>
      <w:pStyle w:val="Footer"/>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C6EF" w14:textId="77777777" w:rsidR="00A84778" w:rsidRPr="00271D33" w:rsidRDefault="00A84778" w:rsidP="00271D33">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E85D" w14:textId="77777777" w:rsidR="00A84778" w:rsidRPr="00271D33" w:rsidRDefault="00A84778" w:rsidP="00271D33">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39160989" w14:textId="77777777" w:rsidTr="00F46D42">
      <w:trPr>
        <w:jc w:val="center"/>
      </w:trPr>
      <w:tc>
        <w:tcPr>
          <w:tcW w:w="2500" w:type="pct"/>
          <w:gridSpan w:val="2"/>
          <w:shd w:val="clear" w:color="auto" w:fill="auto"/>
          <w:tcMar>
            <w:top w:w="0" w:type="dxa"/>
          </w:tcMar>
        </w:tcPr>
        <w:p w14:paraId="1F5DA2ED" w14:textId="05E27059" w:rsidR="00A84778" w:rsidRPr="00AD7BF2" w:rsidRDefault="00A84778" w:rsidP="0030238F">
          <w:pPr>
            <w:pStyle w:val="FooterText"/>
          </w:pPr>
        </w:p>
      </w:tc>
      <w:tc>
        <w:tcPr>
          <w:tcW w:w="625" w:type="pct"/>
          <w:shd w:val="clear" w:color="auto" w:fill="auto"/>
          <w:tcMar>
            <w:top w:w="0" w:type="dxa"/>
          </w:tcMar>
        </w:tcPr>
        <w:p w14:paraId="66402E6B" w14:textId="77777777" w:rsidR="00A84778" w:rsidRPr="00AD7BF2" w:rsidRDefault="00A84778" w:rsidP="0030238F">
          <w:pPr>
            <w:pStyle w:val="FooterText"/>
            <w:jc w:val="center"/>
          </w:pPr>
        </w:p>
      </w:tc>
      <w:tc>
        <w:tcPr>
          <w:tcW w:w="1286" w:type="pct"/>
          <w:gridSpan w:val="3"/>
          <w:shd w:val="clear" w:color="auto" w:fill="auto"/>
          <w:tcMar>
            <w:top w:w="0" w:type="dxa"/>
          </w:tcMar>
        </w:tcPr>
        <w:p w14:paraId="4741B449" w14:textId="5EB2A14A" w:rsidR="00A84778" w:rsidRPr="002511D8" w:rsidRDefault="00A84778" w:rsidP="0030238F">
          <w:pPr>
            <w:pStyle w:val="FooterText"/>
            <w:jc w:val="center"/>
          </w:pPr>
        </w:p>
      </w:tc>
      <w:tc>
        <w:tcPr>
          <w:tcW w:w="589" w:type="pct"/>
          <w:shd w:val="clear" w:color="auto" w:fill="auto"/>
          <w:tcMar>
            <w:top w:w="0" w:type="dxa"/>
          </w:tcMar>
        </w:tcPr>
        <w:p w14:paraId="3EAE2033" w14:textId="77777777" w:rsidR="00A84778" w:rsidRPr="00B310DC" w:rsidRDefault="00413ACE" w:rsidP="0030238F">
          <w:pPr>
            <w:pStyle w:val="FooterText"/>
            <w:jc w:val="right"/>
          </w:pPr>
          <w:r>
            <w:fldChar w:fldCharType="begin"/>
          </w:r>
          <w:r>
            <w:instrText xml:space="preserve"> PAGE  \* MERGEFORMAT </w:instrText>
          </w:r>
          <w:r>
            <w:fldChar w:fldCharType="separate"/>
          </w:r>
          <w:r w:rsidR="006E0EA2">
            <w:t>204</w:t>
          </w:r>
          <w:r>
            <w:fldChar w:fldCharType="end"/>
          </w:r>
        </w:p>
      </w:tc>
    </w:tr>
    <w:tr w:rsidR="00A84778" w:rsidRPr="00D94637" w14:paraId="57FA7209" w14:textId="77777777" w:rsidTr="00F46D42">
      <w:trPr>
        <w:jc w:val="center"/>
      </w:trPr>
      <w:tc>
        <w:tcPr>
          <w:tcW w:w="1774" w:type="pct"/>
          <w:shd w:val="clear" w:color="auto" w:fill="auto"/>
        </w:tcPr>
        <w:p w14:paraId="1D78B1C6" w14:textId="77777777" w:rsidR="00A84778" w:rsidRPr="00AD7BF2" w:rsidRDefault="00A84778" w:rsidP="0030238F">
          <w:pPr>
            <w:pStyle w:val="FooterText"/>
            <w:spacing w:before="40"/>
          </w:pPr>
        </w:p>
      </w:tc>
      <w:tc>
        <w:tcPr>
          <w:tcW w:w="1455" w:type="pct"/>
          <w:gridSpan w:val="3"/>
          <w:shd w:val="clear" w:color="auto" w:fill="auto"/>
        </w:tcPr>
        <w:p w14:paraId="3A48CD13" w14:textId="3780AE7C" w:rsidR="00A84778" w:rsidRPr="00AD7BF2" w:rsidRDefault="00A84778" w:rsidP="0030238F">
          <w:pPr>
            <w:pStyle w:val="FooterText"/>
            <w:spacing w:before="40"/>
            <w:jc w:val="center"/>
          </w:pPr>
        </w:p>
      </w:tc>
      <w:tc>
        <w:tcPr>
          <w:tcW w:w="742" w:type="pct"/>
          <w:shd w:val="clear" w:color="auto" w:fill="auto"/>
        </w:tcPr>
        <w:p w14:paraId="15F02B12" w14:textId="77777777" w:rsidR="00A84778" w:rsidRPr="00D94637" w:rsidRDefault="00A84778" w:rsidP="0030238F">
          <w:pPr>
            <w:pStyle w:val="FooterText"/>
            <w:jc w:val="center"/>
            <w:rPr>
              <w:b/>
              <w:position w:val="-4"/>
              <w:sz w:val="36"/>
            </w:rPr>
          </w:pPr>
        </w:p>
      </w:tc>
      <w:tc>
        <w:tcPr>
          <w:tcW w:w="1029" w:type="pct"/>
          <w:gridSpan w:val="2"/>
          <w:shd w:val="clear" w:color="auto" w:fill="auto"/>
        </w:tcPr>
        <w:p w14:paraId="39B10ADC" w14:textId="7E705BDA" w:rsidR="00A84778" w:rsidRPr="00695BAF" w:rsidRDefault="00A84778" w:rsidP="0030238F">
          <w:pPr>
            <w:pStyle w:val="FooterText"/>
            <w:jc w:val="right"/>
            <w:rPr>
              <w:caps/>
              <w:spacing w:val="-20"/>
              <w:sz w:val="16"/>
            </w:rPr>
          </w:pPr>
        </w:p>
      </w:tc>
    </w:tr>
  </w:tbl>
  <w:p w14:paraId="3DF5B47D" w14:textId="77777777" w:rsidR="00A84778" w:rsidRPr="00271D33" w:rsidRDefault="00A84778" w:rsidP="00271D33">
    <w:pPr>
      <w:pStyle w:val="Footer"/>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51AE" w14:textId="77777777" w:rsidR="00A84778" w:rsidRPr="00271D33" w:rsidRDefault="00A84778" w:rsidP="00271D33">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0253" w14:textId="77777777" w:rsidR="00A84778" w:rsidRPr="00271D33" w:rsidRDefault="00A84778" w:rsidP="00271D33">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77593CEF" w14:textId="77777777" w:rsidTr="00F46D42">
      <w:trPr>
        <w:jc w:val="center"/>
      </w:trPr>
      <w:tc>
        <w:tcPr>
          <w:tcW w:w="2500" w:type="pct"/>
          <w:gridSpan w:val="2"/>
          <w:shd w:val="clear" w:color="auto" w:fill="auto"/>
          <w:tcMar>
            <w:top w:w="0" w:type="dxa"/>
          </w:tcMar>
        </w:tcPr>
        <w:p w14:paraId="082BA0DB" w14:textId="5BF2C3A5" w:rsidR="00A84778" w:rsidRPr="00AD7BF2" w:rsidRDefault="00A84778" w:rsidP="0030238F">
          <w:pPr>
            <w:pStyle w:val="FooterText"/>
          </w:pPr>
        </w:p>
      </w:tc>
      <w:tc>
        <w:tcPr>
          <w:tcW w:w="625" w:type="pct"/>
          <w:shd w:val="clear" w:color="auto" w:fill="auto"/>
          <w:tcMar>
            <w:top w:w="0" w:type="dxa"/>
          </w:tcMar>
        </w:tcPr>
        <w:p w14:paraId="0CC6AF27" w14:textId="77777777" w:rsidR="00A84778" w:rsidRPr="00AD7BF2" w:rsidRDefault="00A84778" w:rsidP="0030238F">
          <w:pPr>
            <w:pStyle w:val="FooterText"/>
            <w:jc w:val="center"/>
          </w:pPr>
        </w:p>
      </w:tc>
      <w:tc>
        <w:tcPr>
          <w:tcW w:w="1286" w:type="pct"/>
          <w:gridSpan w:val="3"/>
          <w:shd w:val="clear" w:color="auto" w:fill="auto"/>
          <w:tcMar>
            <w:top w:w="0" w:type="dxa"/>
          </w:tcMar>
        </w:tcPr>
        <w:p w14:paraId="3D3A2A7C" w14:textId="683BDF4F" w:rsidR="00A84778" w:rsidRPr="002511D8" w:rsidRDefault="00A84778" w:rsidP="0030238F">
          <w:pPr>
            <w:pStyle w:val="FooterText"/>
            <w:jc w:val="center"/>
          </w:pPr>
        </w:p>
      </w:tc>
      <w:tc>
        <w:tcPr>
          <w:tcW w:w="589" w:type="pct"/>
          <w:shd w:val="clear" w:color="auto" w:fill="auto"/>
          <w:tcMar>
            <w:top w:w="0" w:type="dxa"/>
          </w:tcMar>
        </w:tcPr>
        <w:p w14:paraId="7B7C9D2D" w14:textId="77777777" w:rsidR="005B6253" w:rsidRDefault="00413ACE" w:rsidP="0030238F">
          <w:pPr>
            <w:pStyle w:val="FooterText"/>
            <w:jc w:val="right"/>
          </w:pPr>
          <w:r>
            <w:fldChar w:fldCharType="begin"/>
          </w:r>
          <w:r>
            <w:instrText xml:space="preserve"> PAGE  \* MERGEFORMAT </w:instrText>
          </w:r>
          <w:r>
            <w:fldChar w:fldCharType="separate"/>
          </w:r>
          <w:r w:rsidR="006E0EA2">
            <w:t>208</w:t>
          </w:r>
          <w:r>
            <w:fldChar w:fldCharType="end"/>
          </w:r>
        </w:p>
        <w:p w14:paraId="76A6C825" w14:textId="77777777" w:rsidR="00A84778" w:rsidRPr="00B310DC" w:rsidRDefault="00A84778" w:rsidP="0030238F">
          <w:pPr>
            <w:pStyle w:val="FooterText"/>
            <w:jc w:val="right"/>
          </w:pPr>
        </w:p>
      </w:tc>
    </w:tr>
    <w:tr w:rsidR="00A84778" w:rsidRPr="00D94637" w14:paraId="777980BA" w14:textId="77777777" w:rsidTr="00F46D42">
      <w:trPr>
        <w:jc w:val="center"/>
      </w:trPr>
      <w:tc>
        <w:tcPr>
          <w:tcW w:w="1774" w:type="pct"/>
          <w:shd w:val="clear" w:color="auto" w:fill="auto"/>
        </w:tcPr>
        <w:p w14:paraId="358382A7" w14:textId="77777777" w:rsidR="00A84778" w:rsidRPr="00AD7BF2" w:rsidRDefault="00A84778" w:rsidP="0030238F">
          <w:pPr>
            <w:pStyle w:val="FooterText"/>
            <w:spacing w:before="40"/>
          </w:pPr>
        </w:p>
      </w:tc>
      <w:tc>
        <w:tcPr>
          <w:tcW w:w="1455" w:type="pct"/>
          <w:gridSpan w:val="3"/>
          <w:shd w:val="clear" w:color="auto" w:fill="auto"/>
        </w:tcPr>
        <w:p w14:paraId="113814D1" w14:textId="2D45C24D" w:rsidR="00A84778" w:rsidRPr="00AD7BF2" w:rsidRDefault="00A84778" w:rsidP="0030238F">
          <w:pPr>
            <w:pStyle w:val="FooterText"/>
            <w:spacing w:before="40"/>
            <w:jc w:val="center"/>
          </w:pPr>
        </w:p>
      </w:tc>
      <w:tc>
        <w:tcPr>
          <w:tcW w:w="742" w:type="pct"/>
          <w:shd w:val="clear" w:color="auto" w:fill="auto"/>
        </w:tcPr>
        <w:p w14:paraId="2F8348BA" w14:textId="77777777" w:rsidR="00A84778" w:rsidRPr="00D94637" w:rsidRDefault="00A84778" w:rsidP="0030238F">
          <w:pPr>
            <w:pStyle w:val="FooterText"/>
            <w:jc w:val="center"/>
            <w:rPr>
              <w:b/>
              <w:position w:val="-4"/>
              <w:sz w:val="36"/>
            </w:rPr>
          </w:pPr>
        </w:p>
      </w:tc>
      <w:tc>
        <w:tcPr>
          <w:tcW w:w="1029" w:type="pct"/>
          <w:gridSpan w:val="2"/>
          <w:shd w:val="clear" w:color="auto" w:fill="auto"/>
        </w:tcPr>
        <w:p w14:paraId="5A89E741" w14:textId="5AFCBF5A" w:rsidR="00A84778" w:rsidRPr="00695BAF" w:rsidRDefault="00A84778" w:rsidP="0030238F">
          <w:pPr>
            <w:pStyle w:val="FooterText"/>
            <w:jc w:val="right"/>
            <w:rPr>
              <w:caps/>
              <w:spacing w:val="-20"/>
              <w:sz w:val="16"/>
            </w:rPr>
          </w:pPr>
        </w:p>
      </w:tc>
    </w:tr>
  </w:tbl>
  <w:p w14:paraId="0B4C50CA" w14:textId="77777777" w:rsidR="00A84778" w:rsidRPr="00271D33" w:rsidRDefault="00A84778" w:rsidP="00271D33">
    <w:pPr>
      <w:pStyle w:val="Footer"/>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37C0" w14:textId="77777777" w:rsidR="00A84778" w:rsidRPr="00271D33" w:rsidRDefault="00A84778" w:rsidP="00271D33">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9312" w14:textId="77777777" w:rsidR="00A84778" w:rsidRPr="00271D33" w:rsidRDefault="00A84778" w:rsidP="00271D33">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58480456" w14:textId="77777777" w:rsidTr="00F46D42">
      <w:trPr>
        <w:jc w:val="center"/>
      </w:trPr>
      <w:tc>
        <w:tcPr>
          <w:tcW w:w="2500" w:type="pct"/>
          <w:gridSpan w:val="2"/>
          <w:shd w:val="clear" w:color="auto" w:fill="auto"/>
          <w:tcMar>
            <w:top w:w="0" w:type="dxa"/>
          </w:tcMar>
        </w:tcPr>
        <w:p w14:paraId="4436299F" w14:textId="0F0A48C6" w:rsidR="00A84778" w:rsidRPr="00AD7BF2" w:rsidRDefault="00A84778" w:rsidP="0030238F">
          <w:pPr>
            <w:pStyle w:val="FooterText"/>
          </w:pPr>
        </w:p>
      </w:tc>
      <w:tc>
        <w:tcPr>
          <w:tcW w:w="625" w:type="pct"/>
          <w:shd w:val="clear" w:color="auto" w:fill="auto"/>
          <w:tcMar>
            <w:top w:w="0" w:type="dxa"/>
          </w:tcMar>
        </w:tcPr>
        <w:p w14:paraId="6CE7876F" w14:textId="77777777" w:rsidR="00A84778" w:rsidRPr="00AD7BF2" w:rsidRDefault="00A84778" w:rsidP="0030238F">
          <w:pPr>
            <w:pStyle w:val="FooterText"/>
            <w:jc w:val="center"/>
          </w:pPr>
        </w:p>
      </w:tc>
      <w:tc>
        <w:tcPr>
          <w:tcW w:w="1286" w:type="pct"/>
          <w:gridSpan w:val="3"/>
          <w:shd w:val="clear" w:color="auto" w:fill="auto"/>
          <w:tcMar>
            <w:top w:w="0" w:type="dxa"/>
          </w:tcMar>
        </w:tcPr>
        <w:p w14:paraId="0943A2E4" w14:textId="7603E8E3" w:rsidR="00A84778" w:rsidRPr="002511D8" w:rsidRDefault="00A84778" w:rsidP="0030238F">
          <w:pPr>
            <w:pStyle w:val="FooterText"/>
            <w:jc w:val="center"/>
          </w:pPr>
        </w:p>
      </w:tc>
      <w:tc>
        <w:tcPr>
          <w:tcW w:w="589" w:type="pct"/>
          <w:shd w:val="clear" w:color="auto" w:fill="auto"/>
          <w:tcMar>
            <w:top w:w="0" w:type="dxa"/>
          </w:tcMar>
        </w:tcPr>
        <w:p w14:paraId="02CCB828" w14:textId="77777777" w:rsidR="005B6253" w:rsidRDefault="0031073C" w:rsidP="0030238F">
          <w:pPr>
            <w:pStyle w:val="FooterText"/>
            <w:jc w:val="right"/>
          </w:pPr>
          <w:r>
            <w:fldChar w:fldCharType="begin"/>
          </w:r>
          <w:r>
            <w:instrText xml:space="preserve"> PAGE  \* MERGEFORMAT </w:instrText>
          </w:r>
          <w:r>
            <w:fldChar w:fldCharType="separate"/>
          </w:r>
          <w:r w:rsidR="006E0EA2">
            <w:t>212</w:t>
          </w:r>
          <w:r>
            <w:fldChar w:fldCharType="end"/>
          </w:r>
        </w:p>
        <w:p w14:paraId="02C19A45" w14:textId="77777777" w:rsidR="00A84778" w:rsidRPr="00B310DC" w:rsidRDefault="00A84778" w:rsidP="0030238F">
          <w:pPr>
            <w:pStyle w:val="FooterText"/>
            <w:jc w:val="right"/>
          </w:pPr>
        </w:p>
      </w:tc>
    </w:tr>
    <w:tr w:rsidR="00A84778" w:rsidRPr="00D94637" w14:paraId="5A55EDBD" w14:textId="77777777" w:rsidTr="00F46D42">
      <w:trPr>
        <w:jc w:val="center"/>
      </w:trPr>
      <w:tc>
        <w:tcPr>
          <w:tcW w:w="1774" w:type="pct"/>
          <w:shd w:val="clear" w:color="auto" w:fill="auto"/>
        </w:tcPr>
        <w:p w14:paraId="5DDB3BB7" w14:textId="77777777" w:rsidR="00A84778" w:rsidRPr="00AD7BF2" w:rsidRDefault="00A84778" w:rsidP="0030238F">
          <w:pPr>
            <w:pStyle w:val="FooterText"/>
            <w:spacing w:before="40"/>
          </w:pPr>
        </w:p>
      </w:tc>
      <w:tc>
        <w:tcPr>
          <w:tcW w:w="1455" w:type="pct"/>
          <w:gridSpan w:val="3"/>
          <w:shd w:val="clear" w:color="auto" w:fill="auto"/>
        </w:tcPr>
        <w:p w14:paraId="3E8EC3EE" w14:textId="790954B7" w:rsidR="00A84778" w:rsidRPr="00AD7BF2" w:rsidRDefault="00A84778" w:rsidP="0030238F">
          <w:pPr>
            <w:pStyle w:val="FooterText"/>
            <w:spacing w:before="40"/>
            <w:jc w:val="center"/>
          </w:pPr>
        </w:p>
      </w:tc>
      <w:tc>
        <w:tcPr>
          <w:tcW w:w="742" w:type="pct"/>
          <w:shd w:val="clear" w:color="auto" w:fill="auto"/>
        </w:tcPr>
        <w:p w14:paraId="05FF633F" w14:textId="77777777" w:rsidR="00A84778" w:rsidRPr="00D94637" w:rsidRDefault="00A84778" w:rsidP="0030238F">
          <w:pPr>
            <w:pStyle w:val="FooterText"/>
            <w:jc w:val="center"/>
            <w:rPr>
              <w:b/>
              <w:position w:val="-4"/>
              <w:sz w:val="36"/>
            </w:rPr>
          </w:pPr>
        </w:p>
      </w:tc>
      <w:tc>
        <w:tcPr>
          <w:tcW w:w="1029" w:type="pct"/>
          <w:gridSpan w:val="2"/>
          <w:shd w:val="clear" w:color="auto" w:fill="auto"/>
        </w:tcPr>
        <w:p w14:paraId="318F1CF0" w14:textId="0B488B01" w:rsidR="00A84778" w:rsidRPr="00695BAF" w:rsidRDefault="00A84778" w:rsidP="0030238F">
          <w:pPr>
            <w:pStyle w:val="FooterText"/>
            <w:jc w:val="right"/>
            <w:rPr>
              <w:caps/>
              <w:spacing w:val="-20"/>
              <w:sz w:val="16"/>
            </w:rPr>
          </w:pPr>
        </w:p>
      </w:tc>
    </w:tr>
  </w:tbl>
  <w:p w14:paraId="2D8E6199" w14:textId="77777777" w:rsidR="00A84778" w:rsidRPr="0030238F" w:rsidRDefault="00A84778" w:rsidP="0030238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5540" w14:textId="77777777" w:rsidR="00A84778" w:rsidRPr="00C70741" w:rsidRDefault="00A84778">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0792" w14:textId="77777777" w:rsidR="00A84778" w:rsidRPr="00271D33" w:rsidRDefault="00A84778" w:rsidP="00271D33">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3E59" w14:textId="77777777" w:rsidR="00A84778" w:rsidRPr="00271D33" w:rsidRDefault="00A84778" w:rsidP="00271D33">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4C4B2CDD" w14:textId="77777777" w:rsidTr="00F46D42">
      <w:trPr>
        <w:jc w:val="center"/>
      </w:trPr>
      <w:tc>
        <w:tcPr>
          <w:tcW w:w="2500" w:type="pct"/>
          <w:gridSpan w:val="2"/>
          <w:shd w:val="clear" w:color="auto" w:fill="auto"/>
          <w:tcMar>
            <w:top w:w="0" w:type="dxa"/>
          </w:tcMar>
        </w:tcPr>
        <w:p w14:paraId="4828658A" w14:textId="2A164452" w:rsidR="00A84778" w:rsidRPr="00AD7BF2" w:rsidRDefault="00A84778" w:rsidP="0030238F">
          <w:pPr>
            <w:pStyle w:val="FooterText"/>
          </w:pPr>
        </w:p>
      </w:tc>
      <w:tc>
        <w:tcPr>
          <w:tcW w:w="625" w:type="pct"/>
          <w:shd w:val="clear" w:color="auto" w:fill="auto"/>
          <w:tcMar>
            <w:top w:w="0" w:type="dxa"/>
          </w:tcMar>
        </w:tcPr>
        <w:p w14:paraId="50CC2950" w14:textId="77777777" w:rsidR="00A84778" w:rsidRPr="00AD7BF2" w:rsidRDefault="00A84778" w:rsidP="0030238F">
          <w:pPr>
            <w:pStyle w:val="FooterText"/>
            <w:jc w:val="center"/>
          </w:pPr>
        </w:p>
      </w:tc>
      <w:tc>
        <w:tcPr>
          <w:tcW w:w="1286" w:type="pct"/>
          <w:gridSpan w:val="3"/>
          <w:shd w:val="clear" w:color="auto" w:fill="auto"/>
          <w:tcMar>
            <w:top w:w="0" w:type="dxa"/>
          </w:tcMar>
        </w:tcPr>
        <w:p w14:paraId="4359B528" w14:textId="24FD724A" w:rsidR="00A84778" w:rsidRPr="002511D8" w:rsidRDefault="00A84778" w:rsidP="0030238F">
          <w:pPr>
            <w:pStyle w:val="FooterText"/>
            <w:jc w:val="center"/>
          </w:pPr>
        </w:p>
      </w:tc>
      <w:tc>
        <w:tcPr>
          <w:tcW w:w="589" w:type="pct"/>
          <w:shd w:val="clear" w:color="auto" w:fill="auto"/>
          <w:tcMar>
            <w:top w:w="0" w:type="dxa"/>
          </w:tcMar>
        </w:tcPr>
        <w:p w14:paraId="6387AA3A" w14:textId="77777777" w:rsidR="005B6253" w:rsidRDefault="00413ACE" w:rsidP="0030238F">
          <w:pPr>
            <w:pStyle w:val="FooterText"/>
            <w:jc w:val="right"/>
          </w:pPr>
          <w:r>
            <w:fldChar w:fldCharType="begin"/>
          </w:r>
          <w:r>
            <w:instrText xml:space="preserve"> PAGE  \* MERGEFORMAT </w:instrText>
          </w:r>
          <w:r>
            <w:fldChar w:fldCharType="separate"/>
          </w:r>
          <w:r w:rsidR="006E0EA2">
            <w:t>215</w:t>
          </w:r>
          <w:r>
            <w:fldChar w:fldCharType="end"/>
          </w:r>
        </w:p>
        <w:p w14:paraId="669A6615" w14:textId="77777777" w:rsidR="00A84778" w:rsidRPr="00B310DC" w:rsidRDefault="00A84778" w:rsidP="0030238F">
          <w:pPr>
            <w:pStyle w:val="FooterText"/>
            <w:jc w:val="right"/>
          </w:pPr>
        </w:p>
      </w:tc>
    </w:tr>
    <w:tr w:rsidR="00A84778" w:rsidRPr="00D94637" w14:paraId="3BAB0EE6" w14:textId="77777777" w:rsidTr="00F46D42">
      <w:trPr>
        <w:jc w:val="center"/>
      </w:trPr>
      <w:tc>
        <w:tcPr>
          <w:tcW w:w="1774" w:type="pct"/>
          <w:shd w:val="clear" w:color="auto" w:fill="auto"/>
        </w:tcPr>
        <w:p w14:paraId="7B04F013" w14:textId="77777777" w:rsidR="00A84778" w:rsidRPr="00AD7BF2" w:rsidRDefault="00A84778" w:rsidP="0030238F">
          <w:pPr>
            <w:pStyle w:val="FooterText"/>
            <w:spacing w:before="40"/>
          </w:pPr>
        </w:p>
      </w:tc>
      <w:tc>
        <w:tcPr>
          <w:tcW w:w="1455" w:type="pct"/>
          <w:gridSpan w:val="3"/>
          <w:shd w:val="clear" w:color="auto" w:fill="auto"/>
        </w:tcPr>
        <w:p w14:paraId="077B0849" w14:textId="63CF5BB1" w:rsidR="00A84778" w:rsidRPr="00AD7BF2" w:rsidRDefault="00A84778" w:rsidP="0030238F">
          <w:pPr>
            <w:pStyle w:val="FooterText"/>
            <w:spacing w:before="40"/>
            <w:jc w:val="center"/>
          </w:pPr>
        </w:p>
      </w:tc>
      <w:tc>
        <w:tcPr>
          <w:tcW w:w="742" w:type="pct"/>
          <w:shd w:val="clear" w:color="auto" w:fill="auto"/>
        </w:tcPr>
        <w:p w14:paraId="15F983E8" w14:textId="77777777" w:rsidR="00A84778" w:rsidRPr="00D94637" w:rsidRDefault="00A84778" w:rsidP="0030238F">
          <w:pPr>
            <w:pStyle w:val="FooterText"/>
            <w:jc w:val="center"/>
            <w:rPr>
              <w:b/>
              <w:position w:val="-4"/>
              <w:sz w:val="36"/>
            </w:rPr>
          </w:pPr>
        </w:p>
      </w:tc>
      <w:tc>
        <w:tcPr>
          <w:tcW w:w="1029" w:type="pct"/>
          <w:gridSpan w:val="2"/>
          <w:shd w:val="clear" w:color="auto" w:fill="auto"/>
        </w:tcPr>
        <w:p w14:paraId="20461547" w14:textId="18969498" w:rsidR="00A84778" w:rsidRPr="00695BAF" w:rsidRDefault="00A84778" w:rsidP="0030238F">
          <w:pPr>
            <w:pStyle w:val="FooterText"/>
            <w:jc w:val="right"/>
            <w:rPr>
              <w:caps/>
              <w:spacing w:val="-20"/>
              <w:sz w:val="16"/>
            </w:rPr>
          </w:pPr>
        </w:p>
      </w:tc>
    </w:tr>
  </w:tbl>
  <w:p w14:paraId="2C6759AF" w14:textId="77777777" w:rsidR="00A84778" w:rsidRPr="00271D33" w:rsidRDefault="00A84778" w:rsidP="00271D33">
    <w:pPr>
      <w:pStyle w:val="Footer"/>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66A1" w14:textId="77777777" w:rsidR="00A84778" w:rsidRPr="00271D33" w:rsidRDefault="00A84778" w:rsidP="00271D33">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0528" w14:textId="77777777" w:rsidR="00A84778" w:rsidRPr="00271D33" w:rsidRDefault="00A84778" w:rsidP="00271D33">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22C6266B" w14:textId="77777777" w:rsidTr="00F46D42">
      <w:trPr>
        <w:jc w:val="center"/>
      </w:trPr>
      <w:tc>
        <w:tcPr>
          <w:tcW w:w="2500" w:type="pct"/>
          <w:gridSpan w:val="2"/>
          <w:shd w:val="clear" w:color="auto" w:fill="auto"/>
          <w:tcMar>
            <w:top w:w="0" w:type="dxa"/>
          </w:tcMar>
        </w:tcPr>
        <w:p w14:paraId="4A761864" w14:textId="48D94367" w:rsidR="00A84778" w:rsidRPr="00AD7BF2" w:rsidRDefault="00A84778" w:rsidP="0030238F">
          <w:pPr>
            <w:pStyle w:val="FooterText"/>
          </w:pPr>
        </w:p>
      </w:tc>
      <w:tc>
        <w:tcPr>
          <w:tcW w:w="625" w:type="pct"/>
          <w:shd w:val="clear" w:color="auto" w:fill="auto"/>
          <w:tcMar>
            <w:top w:w="0" w:type="dxa"/>
          </w:tcMar>
        </w:tcPr>
        <w:p w14:paraId="2F929669" w14:textId="77777777" w:rsidR="00A84778" w:rsidRPr="00AD7BF2" w:rsidRDefault="00A84778" w:rsidP="0030238F">
          <w:pPr>
            <w:pStyle w:val="FooterText"/>
            <w:jc w:val="center"/>
          </w:pPr>
        </w:p>
      </w:tc>
      <w:tc>
        <w:tcPr>
          <w:tcW w:w="1286" w:type="pct"/>
          <w:gridSpan w:val="3"/>
          <w:shd w:val="clear" w:color="auto" w:fill="auto"/>
          <w:tcMar>
            <w:top w:w="0" w:type="dxa"/>
          </w:tcMar>
        </w:tcPr>
        <w:p w14:paraId="25A11688" w14:textId="37D6DC96" w:rsidR="00A84778" w:rsidRPr="002511D8" w:rsidRDefault="00A84778" w:rsidP="0030238F">
          <w:pPr>
            <w:pStyle w:val="FooterText"/>
            <w:jc w:val="center"/>
          </w:pPr>
        </w:p>
      </w:tc>
      <w:tc>
        <w:tcPr>
          <w:tcW w:w="589" w:type="pct"/>
          <w:shd w:val="clear" w:color="auto" w:fill="auto"/>
          <w:tcMar>
            <w:top w:w="0" w:type="dxa"/>
          </w:tcMar>
        </w:tcPr>
        <w:p w14:paraId="2FEA37D3" w14:textId="77777777" w:rsidR="005B6253" w:rsidRDefault="00413ACE" w:rsidP="0030238F">
          <w:pPr>
            <w:pStyle w:val="FooterText"/>
            <w:jc w:val="right"/>
          </w:pPr>
          <w:r>
            <w:fldChar w:fldCharType="begin"/>
          </w:r>
          <w:r>
            <w:instrText xml:space="preserve"> PAGE  \* MERGEFORMAT </w:instrText>
          </w:r>
          <w:r>
            <w:fldChar w:fldCharType="separate"/>
          </w:r>
          <w:r w:rsidR="006E0EA2">
            <w:t>220</w:t>
          </w:r>
          <w:r>
            <w:fldChar w:fldCharType="end"/>
          </w:r>
        </w:p>
        <w:p w14:paraId="476C5A04" w14:textId="77777777" w:rsidR="00A84778" w:rsidRPr="00B310DC" w:rsidRDefault="00A84778" w:rsidP="0030238F">
          <w:pPr>
            <w:pStyle w:val="FooterText"/>
            <w:jc w:val="right"/>
          </w:pPr>
        </w:p>
      </w:tc>
    </w:tr>
    <w:tr w:rsidR="00A84778" w:rsidRPr="00D94637" w14:paraId="34277B09" w14:textId="77777777" w:rsidTr="00F46D42">
      <w:trPr>
        <w:jc w:val="center"/>
      </w:trPr>
      <w:tc>
        <w:tcPr>
          <w:tcW w:w="1774" w:type="pct"/>
          <w:shd w:val="clear" w:color="auto" w:fill="auto"/>
        </w:tcPr>
        <w:p w14:paraId="26BC9DFB" w14:textId="77777777" w:rsidR="00A84778" w:rsidRPr="00AD7BF2" w:rsidRDefault="00A84778" w:rsidP="0030238F">
          <w:pPr>
            <w:pStyle w:val="FooterText"/>
            <w:spacing w:before="40"/>
          </w:pPr>
        </w:p>
      </w:tc>
      <w:tc>
        <w:tcPr>
          <w:tcW w:w="1455" w:type="pct"/>
          <w:gridSpan w:val="3"/>
          <w:shd w:val="clear" w:color="auto" w:fill="auto"/>
        </w:tcPr>
        <w:p w14:paraId="2D05681F" w14:textId="6325AFD1" w:rsidR="00A84778" w:rsidRPr="00AD7BF2" w:rsidRDefault="00A84778" w:rsidP="0030238F">
          <w:pPr>
            <w:pStyle w:val="FooterText"/>
            <w:spacing w:before="40"/>
            <w:jc w:val="center"/>
          </w:pPr>
        </w:p>
      </w:tc>
      <w:tc>
        <w:tcPr>
          <w:tcW w:w="742" w:type="pct"/>
          <w:shd w:val="clear" w:color="auto" w:fill="auto"/>
        </w:tcPr>
        <w:p w14:paraId="4378411B" w14:textId="77777777" w:rsidR="00A84778" w:rsidRPr="00D94637" w:rsidRDefault="00A84778" w:rsidP="0030238F">
          <w:pPr>
            <w:pStyle w:val="FooterText"/>
            <w:jc w:val="center"/>
            <w:rPr>
              <w:b/>
              <w:position w:val="-4"/>
              <w:sz w:val="36"/>
            </w:rPr>
          </w:pPr>
        </w:p>
      </w:tc>
      <w:tc>
        <w:tcPr>
          <w:tcW w:w="1029" w:type="pct"/>
          <w:gridSpan w:val="2"/>
          <w:shd w:val="clear" w:color="auto" w:fill="auto"/>
        </w:tcPr>
        <w:p w14:paraId="77668C76" w14:textId="3347C38C" w:rsidR="00A84778" w:rsidRPr="00695BAF" w:rsidRDefault="00A84778" w:rsidP="0030238F">
          <w:pPr>
            <w:pStyle w:val="FooterText"/>
            <w:jc w:val="right"/>
            <w:rPr>
              <w:caps/>
              <w:spacing w:val="-20"/>
              <w:sz w:val="16"/>
            </w:rPr>
          </w:pPr>
        </w:p>
      </w:tc>
    </w:tr>
  </w:tbl>
  <w:p w14:paraId="69A7DEF6" w14:textId="77777777" w:rsidR="00A84778" w:rsidRPr="00271D33" w:rsidRDefault="00A84778" w:rsidP="00271D33">
    <w:pPr>
      <w:pStyle w:val="Footer"/>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D60F" w14:textId="77777777" w:rsidR="00A84778" w:rsidRPr="00271D33" w:rsidRDefault="00A84778" w:rsidP="00271D33">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B48B" w14:textId="77777777" w:rsidR="00A84778" w:rsidRPr="00271D33" w:rsidRDefault="00A84778" w:rsidP="00271D33">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078162ED" w14:textId="77777777" w:rsidTr="00F46D42">
      <w:trPr>
        <w:jc w:val="center"/>
      </w:trPr>
      <w:tc>
        <w:tcPr>
          <w:tcW w:w="2500" w:type="pct"/>
          <w:gridSpan w:val="2"/>
          <w:shd w:val="clear" w:color="auto" w:fill="auto"/>
          <w:tcMar>
            <w:top w:w="0" w:type="dxa"/>
          </w:tcMar>
        </w:tcPr>
        <w:p w14:paraId="5DCF2062" w14:textId="3F768539" w:rsidR="00A84778" w:rsidRPr="00AD7BF2" w:rsidRDefault="00A84778" w:rsidP="0030238F">
          <w:pPr>
            <w:pStyle w:val="FooterText"/>
          </w:pPr>
        </w:p>
      </w:tc>
      <w:tc>
        <w:tcPr>
          <w:tcW w:w="625" w:type="pct"/>
          <w:shd w:val="clear" w:color="auto" w:fill="auto"/>
          <w:tcMar>
            <w:top w:w="0" w:type="dxa"/>
          </w:tcMar>
        </w:tcPr>
        <w:p w14:paraId="6E1A465C" w14:textId="77777777" w:rsidR="00A84778" w:rsidRPr="00AD7BF2" w:rsidRDefault="00A84778" w:rsidP="0030238F">
          <w:pPr>
            <w:pStyle w:val="FooterText"/>
            <w:jc w:val="center"/>
          </w:pPr>
        </w:p>
      </w:tc>
      <w:tc>
        <w:tcPr>
          <w:tcW w:w="1286" w:type="pct"/>
          <w:gridSpan w:val="3"/>
          <w:shd w:val="clear" w:color="auto" w:fill="auto"/>
          <w:tcMar>
            <w:top w:w="0" w:type="dxa"/>
          </w:tcMar>
        </w:tcPr>
        <w:p w14:paraId="010A33CF" w14:textId="05F5BD94" w:rsidR="00A84778" w:rsidRPr="002511D8" w:rsidRDefault="00A84778" w:rsidP="0030238F">
          <w:pPr>
            <w:pStyle w:val="FooterText"/>
            <w:jc w:val="center"/>
          </w:pPr>
        </w:p>
      </w:tc>
      <w:tc>
        <w:tcPr>
          <w:tcW w:w="589" w:type="pct"/>
          <w:shd w:val="clear" w:color="auto" w:fill="auto"/>
          <w:tcMar>
            <w:top w:w="0" w:type="dxa"/>
          </w:tcMar>
        </w:tcPr>
        <w:p w14:paraId="7F722D64" w14:textId="77777777" w:rsidR="005B6253" w:rsidRDefault="00413ACE" w:rsidP="0030238F">
          <w:pPr>
            <w:pStyle w:val="FooterText"/>
            <w:jc w:val="right"/>
          </w:pPr>
          <w:r>
            <w:fldChar w:fldCharType="begin"/>
          </w:r>
          <w:r>
            <w:instrText xml:space="preserve"> PAGE  \* MERGEFORMAT </w:instrText>
          </w:r>
          <w:r>
            <w:fldChar w:fldCharType="separate"/>
          </w:r>
          <w:r w:rsidR="006E0EA2">
            <w:t>230</w:t>
          </w:r>
          <w:r>
            <w:fldChar w:fldCharType="end"/>
          </w:r>
        </w:p>
        <w:p w14:paraId="5A444113" w14:textId="77777777" w:rsidR="00A84778" w:rsidRPr="00B310DC" w:rsidRDefault="00A84778" w:rsidP="0030238F">
          <w:pPr>
            <w:pStyle w:val="FooterText"/>
            <w:jc w:val="right"/>
          </w:pPr>
        </w:p>
      </w:tc>
    </w:tr>
    <w:tr w:rsidR="00A84778" w:rsidRPr="00D94637" w14:paraId="1E093807" w14:textId="77777777" w:rsidTr="00F46D42">
      <w:trPr>
        <w:jc w:val="center"/>
      </w:trPr>
      <w:tc>
        <w:tcPr>
          <w:tcW w:w="1774" w:type="pct"/>
          <w:shd w:val="clear" w:color="auto" w:fill="auto"/>
        </w:tcPr>
        <w:p w14:paraId="09BCDC97" w14:textId="77777777" w:rsidR="00A84778" w:rsidRPr="00AD7BF2" w:rsidRDefault="00A84778" w:rsidP="0030238F">
          <w:pPr>
            <w:pStyle w:val="FooterText"/>
            <w:spacing w:before="40"/>
          </w:pPr>
        </w:p>
      </w:tc>
      <w:tc>
        <w:tcPr>
          <w:tcW w:w="1455" w:type="pct"/>
          <w:gridSpan w:val="3"/>
          <w:shd w:val="clear" w:color="auto" w:fill="auto"/>
        </w:tcPr>
        <w:p w14:paraId="2D675311" w14:textId="3E98C621" w:rsidR="00A84778" w:rsidRPr="00AD7BF2" w:rsidRDefault="00A84778" w:rsidP="0030238F">
          <w:pPr>
            <w:pStyle w:val="FooterText"/>
            <w:spacing w:before="40"/>
            <w:jc w:val="center"/>
          </w:pPr>
        </w:p>
      </w:tc>
      <w:tc>
        <w:tcPr>
          <w:tcW w:w="742" w:type="pct"/>
          <w:shd w:val="clear" w:color="auto" w:fill="auto"/>
        </w:tcPr>
        <w:p w14:paraId="6FEA6E37" w14:textId="77777777" w:rsidR="00A84778" w:rsidRPr="00D94637" w:rsidRDefault="00A84778" w:rsidP="0030238F">
          <w:pPr>
            <w:pStyle w:val="FooterText"/>
            <w:jc w:val="center"/>
            <w:rPr>
              <w:b/>
              <w:position w:val="-4"/>
              <w:sz w:val="36"/>
            </w:rPr>
          </w:pPr>
        </w:p>
      </w:tc>
      <w:tc>
        <w:tcPr>
          <w:tcW w:w="1029" w:type="pct"/>
          <w:gridSpan w:val="2"/>
          <w:shd w:val="clear" w:color="auto" w:fill="auto"/>
        </w:tcPr>
        <w:p w14:paraId="0F933948" w14:textId="51FBA93F" w:rsidR="00A84778" w:rsidRPr="00695BAF" w:rsidRDefault="00A84778" w:rsidP="0030238F">
          <w:pPr>
            <w:pStyle w:val="FooterText"/>
            <w:jc w:val="right"/>
            <w:rPr>
              <w:caps/>
              <w:spacing w:val="-20"/>
              <w:sz w:val="16"/>
            </w:rPr>
          </w:pPr>
        </w:p>
      </w:tc>
    </w:tr>
  </w:tbl>
  <w:p w14:paraId="62B73936" w14:textId="77777777" w:rsidR="00A84778" w:rsidRPr="00271D33" w:rsidRDefault="00A84778" w:rsidP="00271D33">
    <w:pPr>
      <w:pStyle w:val="Footer"/>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9E3E" w14:textId="77777777" w:rsidR="00A84778" w:rsidRPr="00271D33" w:rsidRDefault="00A84778" w:rsidP="00271D3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EAF5" w14:textId="77777777" w:rsidR="00F72C9B" w:rsidRPr="00C70741" w:rsidRDefault="00F72C9B">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0E1F" w14:textId="77777777" w:rsidR="00A84778" w:rsidRPr="00271D33" w:rsidRDefault="00A84778" w:rsidP="00271D33">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42FA7A26" w14:textId="77777777" w:rsidTr="00F46D42">
      <w:trPr>
        <w:jc w:val="center"/>
      </w:trPr>
      <w:tc>
        <w:tcPr>
          <w:tcW w:w="2500" w:type="pct"/>
          <w:gridSpan w:val="2"/>
          <w:shd w:val="clear" w:color="auto" w:fill="auto"/>
          <w:tcMar>
            <w:top w:w="0" w:type="dxa"/>
          </w:tcMar>
        </w:tcPr>
        <w:p w14:paraId="588B8893" w14:textId="1C61BF98" w:rsidR="00A84778" w:rsidRPr="00AD7BF2" w:rsidRDefault="00A84778" w:rsidP="006B4EF8">
          <w:pPr>
            <w:pStyle w:val="FooterText"/>
          </w:pPr>
        </w:p>
      </w:tc>
      <w:tc>
        <w:tcPr>
          <w:tcW w:w="625" w:type="pct"/>
          <w:shd w:val="clear" w:color="auto" w:fill="auto"/>
          <w:tcMar>
            <w:top w:w="0" w:type="dxa"/>
          </w:tcMar>
        </w:tcPr>
        <w:p w14:paraId="7C034258" w14:textId="77777777" w:rsidR="00A84778" w:rsidRPr="00AD7BF2" w:rsidRDefault="00A84778" w:rsidP="006B4EF8">
          <w:pPr>
            <w:pStyle w:val="FooterText"/>
            <w:jc w:val="center"/>
          </w:pPr>
        </w:p>
      </w:tc>
      <w:tc>
        <w:tcPr>
          <w:tcW w:w="1286" w:type="pct"/>
          <w:gridSpan w:val="3"/>
          <w:shd w:val="clear" w:color="auto" w:fill="auto"/>
          <w:tcMar>
            <w:top w:w="0" w:type="dxa"/>
          </w:tcMar>
        </w:tcPr>
        <w:p w14:paraId="24152D18" w14:textId="2B9F613A" w:rsidR="00A84778" w:rsidRPr="002511D8" w:rsidRDefault="00A84778" w:rsidP="006B4EF8">
          <w:pPr>
            <w:pStyle w:val="FooterText"/>
            <w:jc w:val="center"/>
          </w:pPr>
        </w:p>
      </w:tc>
      <w:tc>
        <w:tcPr>
          <w:tcW w:w="589" w:type="pct"/>
          <w:shd w:val="clear" w:color="auto" w:fill="auto"/>
          <w:tcMar>
            <w:top w:w="0" w:type="dxa"/>
          </w:tcMar>
        </w:tcPr>
        <w:p w14:paraId="5B6FC6C3" w14:textId="77777777" w:rsidR="005B6253" w:rsidRDefault="00413ACE" w:rsidP="006B4EF8">
          <w:pPr>
            <w:pStyle w:val="FooterText"/>
            <w:jc w:val="right"/>
          </w:pPr>
          <w:r>
            <w:fldChar w:fldCharType="begin"/>
          </w:r>
          <w:r>
            <w:instrText xml:space="preserve"> PAGE  \* MERGEFORMAT </w:instrText>
          </w:r>
          <w:r>
            <w:fldChar w:fldCharType="separate"/>
          </w:r>
          <w:r w:rsidR="006E0EA2">
            <w:t>236</w:t>
          </w:r>
          <w:r>
            <w:fldChar w:fldCharType="end"/>
          </w:r>
        </w:p>
        <w:p w14:paraId="6A2906E5" w14:textId="77777777" w:rsidR="00A84778" w:rsidRPr="00B310DC" w:rsidRDefault="00A84778" w:rsidP="006B4EF8">
          <w:pPr>
            <w:pStyle w:val="FooterText"/>
            <w:jc w:val="right"/>
          </w:pPr>
        </w:p>
      </w:tc>
    </w:tr>
    <w:tr w:rsidR="00A84778" w:rsidRPr="00D94637" w14:paraId="4481C60F" w14:textId="77777777" w:rsidTr="00F46D42">
      <w:trPr>
        <w:jc w:val="center"/>
      </w:trPr>
      <w:tc>
        <w:tcPr>
          <w:tcW w:w="1774" w:type="pct"/>
          <w:shd w:val="clear" w:color="auto" w:fill="auto"/>
        </w:tcPr>
        <w:p w14:paraId="1E2CE06B" w14:textId="77777777" w:rsidR="00A84778" w:rsidRPr="00AD7BF2" w:rsidRDefault="00A84778" w:rsidP="006B4EF8">
          <w:pPr>
            <w:pStyle w:val="FooterText"/>
            <w:spacing w:before="40"/>
          </w:pPr>
        </w:p>
      </w:tc>
      <w:tc>
        <w:tcPr>
          <w:tcW w:w="1455" w:type="pct"/>
          <w:gridSpan w:val="3"/>
          <w:shd w:val="clear" w:color="auto" w:fill="auto"/>
        </w:tcPr>
        <w:p w14:paraId="3AAA2FD4" w14:textId="2BCB26E1" w:rsidR="00A84778" w:rsidRPr="00AD7BF2" w:rsidRDefault="00A84778" w:rsidP="006B4EF8">
          <w:pPr>
            <w:pStyle w:val="FooterText"/>
            <w:spacing w:before="40"/>
            <w:jc w:val="center"/>
          </w:pPr>
        </w:p>
      </w:tc>
      <w:tc>
        <w:tcPr>
          <w:tcW w:w="742" w:type="pct"/>
          <w:shd w:val="clear" w:color="auto" w:fill="auto"/>
        </w:tcPr>
        <w:p w14:paraId="2DF9B261" w14:textId="77777777" w:rsidR="00A84778" w:rsidRPr="00D94637" w:rsidRDefault="00A84778" w:rsidP="006B4EF8">
          <w:pPr>
            <w:pStyle w:val="FooterText"/>
            <w:jc w:val="center"/>
            <w:rPr>
              <w:b/>
              <w:position w:val="-4"/>
              <w:sz w:val="36"/>
            </w:rPr>
          </w:pPr>
        </w:p>
      </w:tc>
      <w:tc>
        <w:tcPr>
          <w:tcW w:w="1029" w:type="pct"/>
          <w:gridSpan w:val="2"/>
          <w:shd w:val="clear" w:color="auto" w:fill="auto"/>
        </w:tcPr>
        <w:p w14:paraId="5F3D0F53" w14:textId="40E1A6DC" w:rsidR="00A84778" w:rsidRPr="00695BAF" w:rsidRDefault="00A84778" w:rsidP="006B4EF8">
          <w:pPr>
            <w:pStyle w:val="FooterText"/>
            <w:jc w:val="right"/>
            <w:rPr>
              <w:caps/>
              <w:spacing w:val="-20"/>
              <w:sz w:val="16"/>
            </w:rPr>
          </w:pPr>
        </w:p>
      </w:tc>
    </w:tr>
  </w:tbl>
  <w:p w14:paraId="4197FE4C" w14:textId="77777777" w:rsidR="00A84778" w:rsidRPr="00271D33" w:rsidRDefault="00A84778" w:rsidP="00271D33">
    <w:pPr>
      <w:pStyle w:val="Footer"/>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F3B4" w14:textId="77777777" w:rsidR="00A84778" w:rsidRPr="00271D33" w:rsidRDefault="00A84778" w:rsidP="00271D33">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1B25" w14:textId="77777777" w:rsidR="00A84778" w:rsidRPr="00271D33" w:rsidRDefault="00A84778" w:rsidP="00271D33">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4278B232" w14:textId="77777777" w:rsidTr="00F46D42">
      <w:trPr>
        <w:jc w:val="center"/>
      </w:trPr>
      <w:tc>
        <w:tcPr>
          <w:tcW w:w="2500" w:type="pct"/>
          <w:gridSpan w:val="2"/>
          <w:shd w:val="clear" w:color="auto" w:fill="auto"/>
          <w:tcMar>
            <w:top w:w="0" w:type="dxa"/>
          </w:tcMar>
        </w:tcPr>
        <w:p w14:paraId="5117587D" w14:textId="0D7FA0B5" w:rsidR="00A84778" w:rsidRPr="00AD7BF2" w:rsidRDefault="00A84778" w:rsidP="006B4EF8">
          <w:pPr>
            <w:pStyle w:val="FooterText"/>
          </w:pPr>
        </w:p>
      </w:tc>
      <w:tc>
        <w:tcPr>
          <w:tcW w:w="625" w:type="pct"/>
          <w:shd w:val="clear" w:color="auto" w:fill="auto"/>
          <w:tcMar>
            <w:top w:w="0" w:type="dxa"/>
          </w:tcMar>
        </w:tcPr>
        <w:p w14:paraId="07AA9FFC" w14:textId="77777777" w:rsidR="00A84778" w:rsidRPr="00AD7BF2" w:rsidRDefault="00A84778" w:rsidP="006B4EF8">
          <w:pPr>
            <w:pStyle w:val="FooterText"/>
            <w:jc w:val="center"/>
          </w:pPr>
        </w:p>
      </w:tc>
      <w:tc>
        <w:tcPr>
          <w:tcW w:w="1286" w:type="pct"/>
          <w:gridSpan w:val="3"/>
          <w:shd w:val="clear" w:color="auto" w:fill="auto"/>
          <w:tcMar>
            <w:top w:w="0" w:type="dxa"/>
          </w:tcMar>
        </w:tcPr>
        <w:p w14:paraId="37C84197" w14:textId="0B3864CC" w:rsidR="00A84778" w:rsidRPr="002511D8" w:rsidRDefault="00A84778" w:rsidP="006B4EF8">
          <w:pPr>
            <w:pStyle w:val="FooterText"/>
            <w:jc w:val="center"/>
          </w:pPr>
        </w:p>
      </w:tc>
      <w:tc>
        <w:tcPr>
          <w:tcW w:w="589" w:type="pct"/>
          <w:shd w:val="clear" w:color="auto" w:fill="auto"/>
          <w:tcMar>
            <w:top w:w="0" w:type="dxa"/>
          </w:tcMar>
        </w:tcPr>
        <w:p w14:paraId="18891CCB" w14:textId="77777777" w:rsidR="005B6253" w:rsidRDefault="00413ACE" w:rsidP="006B4EF8">
          <w:pPr>
            <w:pStyle w:val="FooterText"/>
            <w:jc w:val="right"/>
          </w:pPr>
          <w:r>
            <w:fldChar w:fldCharType="begin"/>
          </w:r>
          <w:r>
            <w:instrText xml:space="preserve"> PAGE  \* MERGEFORMAT </w:instrText>
          </w:r>
          <w:r>
            <w:fldChar w:fldCharType="separate"/>
          </w:r>
          <w:r w:rsidR="006E0EA2">
            <w:t>239</w:t>
          </w:r>
          <w:r>
            <w:fldChar w:fldCharType="end"/>
          </w:r>
        </w:p>
        <w:p w14:paraId="5F22508A" w14:textId="77777777" w:rsidR="00A84778" w:rsidRPr="00B310DC" w:rsidRDefault="00A84778" w:rsidP="006B4EF8">
          <w:pPr>
            <w:pStyle w:val="FooterText"/>
            <w:jc w:val="right"/>
          </w:pPr>
        </w:p>
      </w:tc>
    </w:tr>
    <w:tr w:rsidR="00A84778" w:rsidRPr="00D94637" w14:paraId="76A8FBC7" w14:textId="77777777" w:rsidTr="00F46D42">
      <w:trPr>
        <w:jc w:val="center"/>
      </w:trPr>
      <w:tc>
        <w:tcPr>
          <w:tcW w:w="1774" w:type="pct"/>
          <w:shd w:val="clear" w:color="auto" w:fill="auto"/>
        </w:tcPr>
        <w:p w14:paraId="2B590FDE" w14:textId="77777777" w:rsidR="00A84778" w:rsidRPr="00AD7BF2" w:rsidRDefault="00A84778" w:rsidP="006B4EF8">
          <w:pPr>
            <w:pStyle w:val="FooterText"/>
            <w:spacing w:before="40"/>
          </w:pPr>
        </w:p>
      </w:tc>
      <w:tc>
        <w:tcPr>
          <w:tcW w:w="1455" w:type="pct"/>
          <w:gridSpan w:val="3"/>
          <w:shd w:val="clear" w:color="auto" w:fill="auto"/>
        </w:tcPr>
        <w:p w14:paraId="12C27A1D" w14:textId="32809DF4" w:rsidR="00A84778" w:rsidRPr="00AD7BF2" w:rsidRDefault="00A84778" w:rsidP="006B4EF8">
          <w:pPr>
            <w:pStyle w:val="FooterText"/>
            <w:spacing w:before="40"/>
            <w:jc w:val="center"/>
          </w:pPr>
        </w:p>
      </w:tc>
      <w:tc>
        <w:tcPr>
          <w:tcW w:w="742" w:type="pct"/>
          <w:shd w:val="clear" w:color="auto" w:fill="auto"/>
        </w:tcPr>
        <w:p w14:paraId="49D3626E" w14:textId="77777777" w:rsidR="00A84778" w:rsidRPr="00D94637" w:rsidRDefault="00A84778" w:rsidP="006B4EF8">
          <w:pPr>
            <w:pStyle w:val="FooterText"/>
            <w:jc w:val="center"/>
            <w:rPr>
              <w:b/>
              <w:position w:val="-4"/>
              <w:sz w:val="36"/>
            </w:rPr>
          </w:pPr>
        </w:p>
      </w:tc>
      <w:tc>
        <w:tcPr>
          <w:tcW w:w="1029" w:type="pct"/>
          <w:gridSpan w:val="2"/>
          <w:shd w:val="clear" w:color="auto" w:fill="auto"/>
        </w:tcPr>
        <w:p w14:paraId="4D740322" w14:textId="6CFFF5AB" w:rsidR="00A84778" w:rsidRPr="00695BAF" w:rsidRDefault="00A84778" w:rsidP="006B4EF8">
          <w:pPr>
            <w:pStyle w:val="FooterText"/>
            <w:jc w:val="right"/>
            <w:rPr>
              <w:caps/>
              <w:spacing w:val="-20"/>
              <w:sz w:val="16"/>
            </w:rPr>
          </w:pPr>
        </w:p>
      </w:tc>
    </w:tr>
  </w:tbl>
  <w:p w14:paraId="4BCFE59F" w14:textId="77777777" w:rsidR="00A84778" w:rsidRPr="00271D33" w:rsidRDefault="00A84778" w:rsidP="00271D33">
    <w:pPr>
      <w:pStyle w:val="Footer"/>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06C7" w14:textId="77777777" w:rsidR="00A84778" w:rsidRPr="00271D33" w:rsidRDefault="00A84778" w:rsidP="00271D33">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ABC6" w14:textId="77777777" w:rsidR="00A84778" w:rsidRPr="00271D33" w:rsidRDefault="00A84778" w:rsidP="00271D33">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63125026" w14:textId="77777777" w:rsidTr="00F46D42">
      <w:trPr>
        <w:jc w:val="center"/>
      </w:trPr>
      <w:tc>
        <w:tcPr>
          <w:tcW w:w="2500" w:type="pct"/>
          <w:gridSpan w:val="2"/>
          <w:shd w:val="clear" w:color="auto" w:fill="auto"/>
          <w:tcMar>
            <w:top w:w="0" w:type="dxa"/>
          </w:tcMar>
        </w:tcPr>
        <w:p w14:paraId="32774DB7" w14:textId="7FBBF836" w:rsidR="00A84778" w:rsidRPr="00AD7BF2" w:rsidRDefault="00A84778" w:rsidP="006B4EF8">
          <w:pPr>
            <w:pStyle w:val="FooterText"/>
          </w:pPr>
        </w:p>
      </w:tc>
      <w:tc>
        <w:tcPr>
          <w:tcW w:w="625" w:type="pct"/>
          <w:shd w:val="clear" w:color="auto" w:fill="auto"/>
          <w:tcMar>
            <w:top w:w="0" w:type="dxa"/>
          </w:tcMar>
        </w:tcPr>
        <w:p w14:paraId="25ED43E4" w14:textId="77777777" w:rsidR="00A84778" w:rsidRPr="00AD7BF2" w:rsidRDefault="00A84778" w:rsidP="006B4EF8">
          <w:pPr>
            <w:pStyle w:val="FooterText"/>
            <w:jc w:val="center"/>
          </w:pPr>
        </w:p>
      </w:tc>
      <w:tc>
        <w:tcPr>
          <w:tcW w:w="1286" w:type="pct"/>
          <w:gridSpan w:val="3"/>
          <w:shd w:val="clear" w:color="auto" w:fill="auto"/>
          <w:tcMar>
            <w:top w:w="0" w:type="dxa"/>
          </w:tcMar>
        </w:tcPr>
        <w:p w14:paraId="1A525693" w14:textId="219C2ECB" w:rsidR="00A84778" w:rsidRPr="002511D8" w:rsidRDefault="00A84778" w:rsidP="006B4EF8">
          <w:pPr>
            <w:pStyle w:val="FooterText"/>
            <w:jc w:val="center"/>
          </w:pPr>
        </w:p>
      </w:tc>
      <w:tc>
        <w:tcPr>
          <w:tcW w:w="589" w:type="pct"/>
          <w:shd w:val="clear" w:color="auto" w:fill="auto"/>
          <w:tcMar>
            <w:top w:w="0" w:type="dxa"/>
          </w:tcMar>
        </w:tcPr>
        <w:p w14:paraId="63D00996" w14:textId="77777777" w:rsidR="005B6253" w:rsidRDefault="00413ACE" w:rsidP="006B4EF8">
          <w:pPr>
            <w:pStyle w:val="FooterText"/>
            <w:jc w:val="right"/>
          </w:pPr>
          <w:r>
            <w:fldChar w:fldCharType="begin"/>
          </w:r>
          <w:r>
            <w:instrText xml:space="preserve"> PAGE  \* MERGEFORMAT </w:instrText>
          </w:r>
          <w:r>
            <w:fldChar w:fldCharType="separate"/>
          </w:r>
          <w:r w:rsidR="006E0EA2">
            <w:t>252</w:t>
          </w:r>
          <w:r>
            <w:fldChar w:fldCharType="end"/>
          </w:r>
        </w:p>
        <w:p w14:paraId="3F0CA492" w14:textId="77777777" w:rsidR="00A84778" w:rsidRPr="00B310DC" w:rsidRDefault="00A84778" w:rsidP="006B4EF8">
          <w:pPr>
            <w:pStyle w:val="FooterText"/>
            <w:jc w:val="right"/>
          </w:pPr>
        </w:p>
      </w:tc>
    </w:tr>
    <w:tr w:rsidR="00A84778" w:rsidRPr="00D94637" w14:paraId="13F4A8B8" w14:textId="77777777" w:rsidTr="00F46D42">
      <w:trPr>
        <w:jc w:val="center"/>
      </w:trPr>
      <w:tc>
        <w:tcPr>
          <w:tcW w:w="1774" w:type="pct"/>
          <w:shd w:val="clear" w:color="auto" w:fill="auto"/>
        </w:tcPr>
        <w:p w14:paraId="5099BD36" w14:textId="77777777" w:rsidR="00A84778" w:rsidRPr="00AD7BF2" w:rsidRDefault="00A84778" w:rsidP="006B4EF8">
          <w:pPr>
            <w:pStyle w:val="FooterText"/>
            <w:spacing w:before="40"/>
          </w:pPr>
        </w:p>
      </w:tc>
      <w:tc>
        <w:tcPr>
          <w:tcW w:w="1455" w:type="pct"/>
          <w:gridSpan w:val="3"/>
          <w:shd w:val="clear" w:color="auto" w:fill="auto"/>
        </w:tcPr>
        <w:p w14:paraId="34FCA0AD" w14:textId="14732D43" w:rsidR="00A84778" w:rsidRPr="00AD7BF2" w:rsidRDefault="00A84778" w:rsidP="006B4EF8">
          <w:pPr>
            <w:pStyle w:val="FooterText"/>
            <w:spacing w:before="40"/>
            <w:jc w:val="center"/>
          </w:pPr>
        </w:p>
      </w:tc>
      <w:tc>
        <w:tcPr>
          <w:tcW w:w="742" w:type="pct"/>
          <w:shd w:val="clear" w:color="auto" w:fill="auto"/>
        </w:tcPr>
        <w:p w14:paraId="5AACE171" w14:textId="77777777" w:rsidR="00A84778" w:rsidRPr="00D94637" w:rsidRDefault="00A84778" w:rsidP="006B4EF8">
          <w:pPr>
            <w:pStyle w:val="FooterText"/>
            <w:jc w:val="center"/>
            <w:rPr>
              <w:b/>
              <w:position w:val="-4"/>
              <w:sz w:val="36"/>
            </w:rPr>
          </w:pPr>
        </w:p>
      </w:tc>
      <w:tc>
        <w:tcPr>
          <w:tcW w:w="1029" w:type="pct"/>
          <w:gridSpan w:val="2"/>
          <w:shd w:val="clear" w:color="auto" w:fill="auto"/>
        </w:tcPr>
        <w:p w14:paraId="355188AA" w14:textId="7444F4E0" w:rsidR="00A84778" w:rsidRPr="00695BAF" w:rsidRDefault="00A84778" w:rsidP="006B4EF8">
          <w:pPr>
            <w:pStyle w:val="FooterText"/>
            <w:jc w:val="right"/>
            <w:rPr>
              <w:caps/>
              <w:spacing w:val="-20"/>
              <w:sz w:val="16"/>
            </w:rPr>
          </w:pPr>
        </w:p>
      </w:tc>
    </w:tr>
  </w:tbl>
  <w:p w14:paraId="2BF94ED8" w14:textId="77777777" w:rsidR="00A84778" w:rsidRPr="00271D33" w:rsidRDefault="00A84778" w:rsidP="00271D33">
    <w:pPr>
      <w:pStyle w:val="Footer"/>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214E" w14:textId="77777777" w:rsidR="00A84778" w:rsidRPr="00271D33" w:rsidRDefault="00A84778" w:rsidP="00271D33">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E635" w14:textId="77777777" w:rsidR="00A84778" w:rsidRPr="00271D33" w:rsidRDefault="00A84778" w:rsidP="00271D3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9"/>
      <w:gridCol w:w="1134"/>
      <w:gridCol w:w="187"/>
      <w:gridCol w:w="1346"/>
      <w:gridCol w:w="800"/>
      <w:gridCol w:w="1067"/>
    </w:tblGrid>
    <w:tr w:rsidR="00F72C9B" w:rsidRPr="00B310DC" w14:paraId="173E5830" w14:textId="77777777" w:rsidTr="0033380C">
      <w:trPr>
        <w:jc w:val="center"/>
      </w:trPr>
      <w:tc>
        <w:tcPr>
          <w:tcW w:w="2501" w:type="pct"/>
          <w:gridSpan w:val="2"/>
          <w:shd w:val="clear" w:color="auto" w:fill="auto"/>
          <w:tcMar>
            <w:top w:w="0" w:type="dxa"/>
          </w:tcMar>
        </w:tcPr>
        <w:p w14:paraId="41F63E34" w14:textId="11C29F7F" w:rsidR="00F72C9B" w:rsidRPr="00AD7BF2" w:rsidRDefault="00F72C9B" w:rsidP="00F46D42">
          <w:pPr>
            <w:pStyle w:val="FooterText"/>
          </w:pPr>
        </w:p>
      </w:tc>
      <w:tc>
        <w:tcPr>
          <w:tcW w:w="625" w:type="pct"/>
          <w:shd w:val="clear" w:color="auto" w:fill="auto"/>
          <w:tcMar>
            <w:top w:w="0" w:type="dxa"/>
          </w:tcMar>
        </w:tcPr>
        <w:p w14:paraId="1EBD1899" w14:textId="77777777" w:rsidR="00F72C9B" w:rsidRPr="00AD7BF2" w:rsidRDefault="00F72C9B" w:rsidP="00F46D42">
          <w:pPr>
            <w:pStyle w:val="FooterText"/>
            <w:jc w:val="center"/>
          </w:pPr>
        </w:p>
      </w:tc>
      <w:tc>
        <w:tcPr>
          <w:tcW w:w="1286" w:type="pct"/>
          <w:gridSpan w:val="3"/>
          <w:shd w:val="clear" w:color="auto" w:fill="auto"/>
          <w:tcMar>
            <w:top w:w="0" w:type="dxa"/>
          </w:tcMar>
        </w:tcPr>
        <w:p w14:paraId="576578E7" w14:textId="4ED9BA08" w:rsidR="00F72C9B" w:rsidRPr="002511D8" w:rsidRDefault="00F72C9B" w:rsidP="00F46D42">
          <w:pPr>
            <w:pStyle w:val="FooterText"/>
            <w:jc w:val="center"/>
          </w:pPr>
        </w:p>
      </w:tc>
      <w:tc>
        <w:tcPr>
          <w:tcW w:w="589" w:type="pct"/>
          <w:shd w:val="clear" w:color="auto" w:fill="auto"/>
          <w:tcMar>
            <w:top w:w="0" w:type="dxa"/>
          </w:tcMar>
        </w:tcPr>
        <w:p w14:paraId="6ADC0F28" w14:textId="77777777" w:rsidR="00F72C9B" w:rsidRPr="00B310DC" w:rsidRDefault="00F72C9B" w:rsidP="00F46D42">
          <w:pPr>
            <w:pStyle w:val="FooterText"/>
            <w:jc w:val="right"/>
          </w:pPr>
          <w:r>
            <w:fldChar w:fldCharType="begin"/>
          </w:r>
          <w:r>
            <w:instrText xml:space="preserve"> PAGE  \* MERGEFORMAT </w:instrText>
          </w:r>
          <w:r>
            <w:fldChar w:fldCharType="separate"/>
          </w:r>
          <w:r>
            <w:t>19</w:t>
          </w:r>
          <w:r>
            <w:fldChar w:fldCharType="end"/>
          </w:r>
        </w:p>
      </w:tc>
    </w:tr>
    <w:tr w:rsidR="00F72C9B" w:rsidRPr="00D94637" w14:paraId="6483DFB1" w14:textId="77777777" w:rsidTr="00271D33">
      <w:trPr>
        <w:jc w:val="center"/>
      </w:trPr>
      <w:tc>
        <w:tcPr>
          <w:tcW w:w="1774" w:type="pct"/>
          <w:shd w:val="clear" w:color="auto" w:fill="auto"/>
        </w:tcPr>
        <w:p w14:paraId="4DC9D738" w14:textId="77777777" w:rsidR="00F72C9B" w:rsidRPr="00AD7BF2" w:rsidRDefault="00F72C9B" w:rsidP="00F46D42">
          <w:pPr>
            <w:pStyle w:val="FooterText"/>
            <w:spacing w:before="40"/>
          </w:pPr>
        </w:p>
      </w:tc>
      <w:tc>
        <w:tcPr>
          <w:tcW w:w="1455" w:type="pct"/>
          <w:gridSpan w:val="3"/>
          <w:shd w:val="clear" w:color="auto" w:fill="auto"/>
        </w:tcPr>
        <w:p w14:paraId="53525882" w14:textId="372CDAFC" w:rsidR="00F72C9B" w:rsidRPr="00AD7BF2" w:rsidRDefault="00F72C9B" w:rsidP="00F46D42">
          <w:pPr>
            <w:pStyle w:val="FooterText"/>
            <w:spacing w:before="40"/>
            <w:jc w:val="center"/>
          </w:pPr>
        </w:p>
      </w:tc>
      <w:tc>
        <w:tcPr>
          <w:tcW w:w="742" w:type="pct"/>
          <w:shd w:val="clear" w:color="auto" w:fill="auto"/>
        </w:tcPr>
        <w:p w14:paraId="191A52EA" w14:textId="77777777" w:rsidR="00F72C9B" w:rsidRPr="00D94637" w:rsidRDefault="00F72C9B" w:rsidP="00F46D42">
          <w:pPr>
            <w:pStyle w:val="FooterText"/>
            <w:jc w:val="center"/>
            <w:rPr>
              <w:b/>
              <w:position w:val="-4"/>
              <w:sz w:val="36"/>
            </w:rPr>
          </w:pPr>
        </w:p>
      </w:tc>
      <w:tc>
        <w:tcPr>
          <w:tcW w:w="1029" w:type="pct"/>
          <w:gridSpan w:val="2"/>
          <w:shd w:val="clear" w:color="auto" w:fill="auto"/>
        </w:tcPr>
        <w:p w14:paraId="21EB8CC3" w14:textId="5F4D651C" w:rsidR="00F72C9B" w:rsidRPr="00695BAF" w:rsidRDefault="00F72C9B" w:rsidP="00F46D42">
          <w:pPr>
            <w:pStyle w:val="FooterText"/>
            <w:jc w:val="right"/>
            <w:rPr>
              <w:caps/>
              <w:spacing w:val="-20"/>
              <w:sz w:val="16"/>
            </w:rPr>
          </w:pPr>
        </w:p>
      </w:tc>
    </w:tr>
  </w:tbl>
  <w:p w14:paraId="322974C0" w14:textId="77777777" w:rsidR="00F72C9B" w:rsidRPr="00A873DC" w:rsidRDefault="00F72C9B" w:rsidP="00271D33">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6E0F2546" w14:textId="77777777" w:rsidTr="00F46D42">
      <w:trPr>
        <w:jc w:val="center"/>
      </w:trPr>
      <w:tc>
        <w:tcPr>
          <w:tcW w:w="2500" w:type="pct"/>
          <w:gridSpan w:val="2"/>
          <w:shd w:val="clear" w:color="auto" w:fill="auto"/>
          <w:tcMar>
            <w:top w:w="0" w:type="dxa"/>
          </w:tcMar>
        </w:tcPr>
        <w:p w14:paraId="5081C124" w14:textId="1CC69C72" w:rsidR="00A84778" w:rsidRPr="00AD7BF2" w:rsidRDefault="00A84778" w:rsidP="006B4EF8">
          <w:pPr>
            <w:pStyle w:val="FooterText"/>
          </w:pPr>
        </w:p>
      </w:tc>
      <w:tc>
        <w:tcPr>
          <w:tcW w:w="625" w:type="pct"/>
          <w:shd w:val="clear" w:color="auto" w:fill="auto"/>
          <w:tcMar>
            <w:top w:w="0" w:type="dxa"/>
          </w:tcMar>
        </w:tcPr>
        <w:p w14:paraId="1CDB6DC1" w14:textId="77777777" w:rsidR="00A84778" w:rsidRPr="00AD7BF2" w:rsidRDefault="00A84778" w:rsidP="006B4EF8">
          <w:pPr>
            <w:pStyle w:val="FooterText"/>
            <w:jc w:val="center"/>
          </w:pPr>
        </w:p>
      </w:tc>
      <w:tc>
        <w:tcPr>
          <w:tcW w:w="1286" w:type="pct"/>
          <w:gridSpan w:val="3"/>
          <w:shd w:val="clear" w:color="auto" w:fill="auto"/>
          <w:tcMar>
            <w:top w:w="0" w:type="dxa"/>
          </w:tcMar>
        </w:tcPr>
        <w:p w14:paraId="290E46E7" w14:textId="01A11C48" w:rsidR="00A84778" w:rsidRPr="002511D8" w:rsidRDefault="00A84778" w:rsidP="006B4EF8">
          <w:pPr>
            <w:pStyle w:val="FooterText"/>
            <w:jc w:val="center"/>
          </w:pPr>
        </w:p>
      </w:tc>
      <w:tc>
        <w:tcPr>
          <w:tcW w:w="589" w:type="pct"/>
          <w:shd w:val="clear" w:color="auto" w:fill="auto"/>
          <w:tcMar>
            <w:top w:w="0" w:type="dxa"/>
          </w:tcMar>
        </w:tcPr>
        <w:p w14:paraId="23C2D1D4" w14:textId="77777777" w:rsidR="005B6253" w:rsidRDefault="00413ACE" w:rsidP="006B4EF8">
          <w:pPr>
            <w:pStyle w:val="FooterText"/>
            <w:jc w:val="right"/>
          </w:pPr>
          <w:r>
            <w:fldChar w:fldCharType="begin"/>
          </w:r>
          <w:r>
            <w:instrText xml:space="preserve"> PAGE  \* MERGEFORMAT </w:instrText>
          </w:r>
          <w:r>
            <w:fldChar w:fldCharType="separate"/>
          </w:r>
          <w:r w:rsidR="006E0EA2">
            <w:t>262</w:t>
          </w:r>
          <w:r>
            <w:fldChar w:fldCharType="end"/>
          </w:r>
        </w:p>
        <w:p w14:paraId="03F8778E" w14:textId="77777777" w:rsidR="00A84778" w:rsidRPr="00B310DC" w:rsidRDefault="00A84778" w:rsidP="006B4EF8">
          <w:pPr>
            <w:pStyle w:val="FooterText"/>
            <w:jc w:val="right"/>
          </w:pPr>
        </w:p>
      </w:tc>
    </w:tr>
    <w:tr w:rsidR="00A84778" w:rsidRPr="00D94637" w14:paraId="6922D72E" w14:textId="77777777" w:rsidTr="00F46D42">
      <w:trPr>
        <w:jc w:val="center"/>
      </w:trPr>
      <w:tc>
        <w:tcPr>
          <w:tcW w:w="1774" w:type="pct"/>
          <w:shd w:val="clear" w:color="auto" w:fill="auto"/>
        </w:tcPr>
        <w:p w14:paraId="5615F274" w14:textId="77777777" w:rsidR="00A84778" w:rsidRPr="00AD7BF2" w:rsidRDefault="00A84778" w:rsidP="006B4EF8">
          <w:pPr>
            <w:pStyle w:val="FooterText"/>
            <w:spacing w:before="40"/>
          </w:pPr>
        </w:p>
      </w:tc>
      <w:tc>
        <w:tcPr>
          <w:tcW w:w="1455" w:type="pct"/>
          <w:gridSpan w:val="3"/>
          <w:shd w:val="clear" w:color="auto" w:fill="auto"/>
        </w:tcPr>
        <w:p w14:paraId="23032814" w14:textId="29B436A5" w:rsidR="00A84778" w:rsidRPr="00AD7BF2" w:rsidRDefault="00A84778" w:rsidP="006B4EF8">
          <w:pPr>
            <w:pStyle w:val="FooterText"/>
            <w:spacing w:before="40"/>
            <w:jc w:val="center"/>
          </w:pPr>
        </w:p>
      </w:tc>
      <w:tc>
        <w:tcPr>
          <w:tcW w:w="742" w:type="pct"/>
          <w:shd w:val="clear" w:color="auto" w:fill="auto"/>
        </w:tcPr>
        <w:p w14:paraId="4B255C3C" w14:textId="77777777" w:rsidR="00A84778" w:rsidRPr="00D94637" w:rsidRDefault="00A84778" w:rsidP="006B4EF8">
          <w:pPr>
            <w:pStyle w:val="FooterText"/>
            <w:jc w:val="center"/>
            <w:rPr>
              <w:b/>
              <w:position w:val="-4"/>
              <w:sz w:val="36"/>
            </w:rPr>
          </w:pPr>
        </w:p>
      </w:tc>
      <w:tc>
        <w:tcPr>
          <w:tcW w:w="1029" w:type="pct"/>
          <w:gridSpan w:val="2"/>
          <w:shd w:val="clear" w:color="auto" w:fill="auto"/>
        </w:tcPr>
        <w:p w14:paraId="735042E2" w14:textId="692E20FB" w:rsidR="00A84778" w:rsidRPr="00695BAF" w:rsidRDefault="00A84778" w:rsidP="006B4EF8">
          <w:pPr>
            <w:pStyle w:val="FooterText"/>
            <w:jc w:val="right"/>
            <w:rPr>
              <w:caps/>
              <w:spacing w:val="-20"/>
              <w:sz w:val="16"/>
            </w:rPr>
          </w:pPr>
        </w:p>
      </w:tc>
    </w:tr>
  </w:tbl>
  <w:p w14:paraId="78A5DBF2" w14:textId="77777777" w:rsidR="00A84778" w:rsidRPr="00271D33" w:rsidRDefault="00A84778" w:rsidP="00271D33">
    <w:pPr>
      <w:pStyle w:val="Footer"/>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A6567" w14:textId="77777777" w:rsidR="00A84778" w:rsidRPr="00271D33" w:rsidRDefault="00A84778" w:rsidP="00271D33">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517D" w14:textId="77777777" w:rsidR="00F72C9B" w:rsidRPr="00271D33" w:rsidRDefault="00F72C9B" w:rsidP="00271D33">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F72C9B" w:rsidRPr="00B310DC" w14:paraId="131CDFC2" w14:textId="77777777" w:rsidTr="00F46D42">
      <w:trPr>
        <w:jc w:val="center"/>
      </w:trPr>
      <w:tc>
        <w:tcPr>
          <w:tcW w:w="2500" w:type="pct"/>
          <w:gridSpan w:val="2"/>
          <w:shd w:val="clear" w:color="auto" w:fill="auto"/>
          <w:tcMar>
            <w:top w:w="0" w:type="dxa"/>
          </w:tcMar>
        </w:tcPr>
        <w:p w14:paraId="3708852C" w14:textId="52A9673B" w:rsidR="00F72C9B" w:rsidRPr="00AD7BF2" w:rsidRDefault="00F72C9B" w:rsidP="006B4EF8">
          <w:pPr>
            <w:pStyle w:val="FooterText"/>
          </w:pPr>
        </w:p>
      </w:tc>
      <w:tc>
        <w:tcPr>
          <w:tcW w:w="625" w:type="pct"/>
          <w:shd w:val="clear" w:color="auto" w:fill="auto"/>
          <w:tcMar>
            <w:top w:w="0" w:type="dxa"/>
          </w:tcMar>
        </w:tcPr>
        <w:p w14:paraId="5CE9B5C9" w14:textId="77777777" w:rsidR="00F72C9B" w:rsidRPr="00AD7BF2" w:rsidRDefault="00F72C9B" w:rsidP="006B4EF8">
          <w:pPr>
            <w:pStyle w:val="FooterText"/>
            <w:jc w:val="center"/>
          </w:pPr>
        </w:p>
      </w:tc>
      <w:tc>
        <w:tcPr>
          <w:tcW w:w="1286" w:type="pct"/>
          <w:gridSpan w:val="3"/>
          <w:shd w:val="clear" w:color="auto" w:fill="auto"/>
          <w:tcMar>
            <w:top w:w="0" w:type="dxa"/>
          </w:tcMar>
        </w:tcPr>
        <w:p w14:paraId="0CEFC0D5" w14:textId="405D343A" w:rsidR="00F72C9B" w:rsidRPr="002511D8" w:rsidRDefault="00F72C9B" w:rsidP="006B4EF8">
          <w:pPr>
            <w:pStyle w:val="FooterText"/>
            <w:jc w:val="center"/>
          </w:pPr>
        </w:p>
      </w:tc>
      <w:tc>
        <w:tcPr>
          <w:tcW w:w="589" w:type="pct"/>
          <w:shd w:val="clear" w:color="auto" w:fill="auto"/>
          <w:tcMar>
            <w:top w:w="0" w:type="dxa"/>
          </w:tcMar>
        </w:tcPr>
        <w:p w14:paraId="64C55291" w14:textId="77777777" w:rsidR="00F72C9B" w:rsidRDefault="00F72C9B" w:rsidP="006B4EF8">
          <w:pPr>
            <w:pStyle w:val="FooterText"/>
            <w:jc w:val="right"/>
          </w:pPr>
          <w:r>
            <w:fldChar w:fldCharType="begin"/>
          </w:r>
          <w:r>
            <w:instrText xml:space="preserve"> PAGE  \* MERGEFORMAT </w:instrText>
          </w:r>
          <w:r>
            <w:fldChar w:fldCharType="separate"/>
          </w:r>
          <w:r>
            <w:t>262</w:t>
          </w:r>
          <w:r>
            <w:fldChar w:fldCharType="end"/>
          </w:r>
        </w:p>
        <w:p w14:paraId="00FD5E72" w14:textId="77777777" w:rsidR="00F72C9B" w:rsidRPr="00B310DC" w:rsidRDefault="00F72C9B" w:rsidP="006B4EF8">
          <w:pPr>
            <w:pStyle w:val="FooterText"/>
            <w:jc w:val="right"/>
          </w:pPr>
        </w:p>
      </w:tc>
    </w:tr>
    <w:tr w:rsidR="00F72C9B" w:rsidRPr="00D94637" w14:paraId="62410F0D" w14:textId="77777777" w:rsidTr="00F46D42">
      <w:trPr>
        <w:jc w:val="center"/>
      </w:trPr>
      <w:tc>
        <w:tcPr>
          <w:tcW w:w="1774" w:type="pct"/>
          <w:shd w:val="clear" w:color="auto" w:fill="auto"/>
        </w:tcPr>
        <w:p w14:paraId="55C0CCA0" w14:textId="77777777" w:rsidR="00F72C9B" w:rsidRPr="00AD7BF2" w:rsidRDefault="00F72C9B" w:rsidP="006B4EF8">
          <w:pPr>
            <w:pStyle w:val="FooterText"/>
            <w:spacing w:before="40"/>
          </w:pPr>
        </w:p>
      </w:tc>
      <w:tc>
        <w:tcPr>
          <w:tcW w:w="1455" w:type="pct"/>
          <w:gridSpan w:val="3"/>
          <w:shd w:val="clear" w:color="auto" w:fill="auto"/>
        </w:tcPr>
        <w:p w14:paraId="6076EF7A" w14:textId="028195D1" w:rsidR="00F72C9B" w:rsidRPr="00AD7BF2" w:rsidRDefault="00F72C9B" w:rsidP="006B4EF8">
          <w:pPr>
            <w:pStyle w:val="FooterText"/>
            <w:spacing w:before="40"/>
            <w:jc w:val="center"/>
          </w:pPr>
        </w:p>
      </w:tc>
      <w:tc>
        <w:tcPr>
          <w:tcW w:w="742" w:type="pct"/>
          <w:shd w:val="clear" w:color="auto" w:fill="auto"/>
        </w:tcPr>
        <w:p w14:paraId="4DCDF948" w14:textId="77777777" w:rsidR="00F72C9B" w:rsidRPr="00D94637" w:rsidRDefault="00F72C9B" w:rsidP="006B4EF8">
          <w:pPr>
            <w:pStyle w:val="FooterText"/>
            <w:jc w:val="center"/>
            <w:rPr>
              <w:b/>
              <w:position w:val="-4"/>
              <w:sz w:val="36"/>
            </w:rPr>
          </w:pPr>
        </w:p>
      </w:tc>
      <w:tc>
        <w:tcPr>
          <w:tcW w:w="1029" w:type="pct"/>
          <w:gridSpan w:val="2"/>
          <w:shd w:val="clear" w:color="auto" w:fill="auto"/>
        </w:tcPr>
        <w:p w14:paraId="71E11073" w14:textId="0A6C944A" w:rsidR="00F72C9B" w:rsidRPr="00695BAF" w:rsidRDefault="00F72C9B" w:rsidP="006B4EF8">
          <w:pPr>
            <w:pStyle w:val="FooterText"/>
            <w:jc w:val="right"/>
            <w:rPr>
              <w:caps/>
              <w:spacing w:val="-20"/>
              <w:sz w:val="16"/>
            </w:rPr>
          </w:pPr>
        </w:p>
      </w:tc>
    </w:tr>
  </w:tbl>
  <w:p w14:paraId="74EB488D" w14:textId="77777777" w:rsidR="00F72C9B" w:rsidRPr="00271D33" w:rsidRDefault="00F72C9B" w:rsidP="00271D33">
    <w:pPr>
      <w:pStyle w:val="Footer"/>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10EF" w14:textId="77777777" w:rsidR="00F72C9B" w:rsidRPr="00271D33" w:rsidRDefault="00F72C9B" w:rsidP="00271D33">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615E" w14:textId="77777777" w:rsidR="00A84778" w:rsidRPr="00271D33" w:rsidRDefault="00A84778" w:rsidP="00271D33">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3AEB1B91" w14:textId="77777777" w:rsidTr="00F46D42">
      <w:trPr>
        <w:jc w:val="center"/>
      </w:trPr>
      <w:tc>
        <w:tcPr>
          <w:tcW w:w="2500" w:type="pct"/>
          <w:gridSpan w:val="2"/>
          <w:shd w:val="clear" w:color="auto" w:fill="auto"/>
          <w:tcMar>
            <w:top w:w="0" w:type="dxa"/>
          </w:tcMar>
        </w:tcPr>
        <w:p w14:paraId="1F988090" w14:textId="7D5F64E5" w:rsidR="00A84778" w:rsidRPr="00AD7BF2" w:rsidRDefault="00A84778" w:rsidP="006B4EF8">
          <w:pPr>
            <w:pStyle w:val="FooterText"/>
          </w:pPr>
        </w:p>
      </w:tc>
      <w:tc>
        <w:tcPr>
          <w:tcW w:w="625" w:type="pct"/>
          <w:shd w:val="clear" w:color="auto" w:fill="auto"/>
          <w:tcMar>
            <w:top w:w="0" w:type="dxa"/>
          </w:tcMar>
        </w:tcPr>
        <w:p w14:paraId="3888D979" w14:textId="77777777" w:rsidR="00A84778" w:rsidRPr="00AD7BF2" w:rsidRDefault="00A84778" w:rsidP="006B4EF8">
          <w:pPr>
            <w:pStyle w:val="FooterText"/>
            <w:jc w:val="center"/>
          </w:pPr>
        </w:p>
      </w:tc>
      <w:tc>
        <w:tcPr>
          <w:tcW w:w="1286" w:type="pct"/>
          <w:gridSpan w:val="3"/>
          <w:shd w:val="clear" w:color="auto" w:fill="auto"/>
          <w:tcMar>
            <w:top w:w="0" w:type="dxa"/>
          </w:tcMar>
        </w:tcPr>
        <w:p w14:paraId="750BC388" w14:textId="1D6D18DC" w:rsidR="00A84778" w:rsidRPr="002511D8" w:rsidRDefault="00A84778" w:rsidP="006B4EF8">
          <w:pPr>
            <w:pStyle w:val="FooterText"/>
            <w:jc w:val="center"/>
          </w:pPr>
        </w:p>
      </w:tc>
      <w:tc>
        <w:tcPr>
          <w:tcW w:w="589" w:type="pct"/>
          <w:shd w:val="clear" w:color="auto" w:fill="auto"/>
          <w:tcMar>
            <w:top w:w="0" w:type="dxa"/>
          </w:tcMar>
        </w:tcPr>
        <w:p w14:paraId="5F592AAC" w14:textId="77777777" w:rsidR="005B6253" w:rsidRDefault="0031073C" w:rsidP="006B4EF8">
          <w:pPr>
            <w:pStyle w:val="FooterText"/>
            <w:jc w:val="right"/>
          </w:pPr>
          <w:r>
            <w:fldChar w:fldCharType="begin"/>
          </w:r>
          <w:r>
            <w:instrText xml:space="preserve"> PAGE  \* MERGEFORMAT </w:instrText>
          </w:r>
          <w:r>
            <w:fldChar w:fldCharType="separate"/>
          </w:r>
          <w:r w:rsidR="006E0EA2">
            <w:t>266</w:t>
          </w:r>
          <w:r>
            <w:fldChar w:fldCharType="end"/>
          </w:r>
        </w:p>
        <w:p w14:paraId="7AC6E278" w14:textId="77777777" w:rsidR="00A84778" w:rsidRPr="00B310DC" w:rsidRDefault="00A84778" w:rsidP="006B4EF8">
          <w:pPr>
            <w:pStyle w:val="FooterText"/>
            <w:jc w:val="right"/>
          </w:pPr>
        </w:p>
      </w:tc>
    </w:tr>
    <w:tr w:rsidR="00A84778" w:rsidRPr="00D94637" w14:paraId="706B12A8" w14:textId="77777777" w:rsidTr="00F46D42">
      <w:trPr>
        <w:jc w:val="center"/>
      </w:trPr>
      <w:tc>
        <w:tcPr>
          <w:tcW w:w="1774" w:type="pct"/>
          <w:shd w:val="clear" w:color="auto" w:fill="auto"/>
        </w:tcPr>
        <w:p w14:paraId="688D5AD2" w14:textId="77777777" w:rsidR="00A84778" w:rsidRPr="00AD7BF2" w:rsidRDefault="00A84778" w:rsidP="006B4EF8">
          <w:pPr>
            <w:pStyle w:val="FooterText"/>
            <w:spacing w:before="40"/>
          </w:pPr>
        </w:p>
      </w:tc>
      <w:tc>
        <w:tcPr>
          <w:tcW w:w="1455" w:type="pct"/>
          <w:gridSpan w:val="3"/>
          <w:shd w:val="clear" w:color="auto" w:fill="auto"/>
        </w:tcPr>
        <w:p w14:paraId="11E21FA1" w14:textId="7CD54961" w:rsidR="00A84778" w:rsidRPr="00AD7BF2" w:rsidRDefault="00A84778" w:rsidP="006B4EF8">
          <w:pPr>
            <w:pStyle w:val="FooterText"/>
            <w:spacing w:before="40"/>
            <w:jc w:val="center"/>
          </w:pPr>
        </w:p>
      </w:tc>
      <w:tc>
        <w:tcPr>
          <w:tcW w:w="742" w:type="pct"/>
          <w:shd w:val="clear" w:color="auto" w:fill="auto"/>
        </w:tcPr>
        <w:p w14:paraId="2AE42833" w14:textId="77777777" w:rsidR="00A84778" w:rsidRPr="00D94637" w:rsidRDefault="00A84778" w:rsidP="006B4EF8">
          <w:pPr>
            <w:pStyle w:val="FooterText"/>
            <w:jc w:val="center"/>
            <w:rPr>
              <w:b/>
              <w:position w:val="-4"/>
              <w:sz w:val="36"/>
            </w:rPr>
          </w:pPr>
        </w:p>
      </w:tc>
      <w:tc>
        <w:tcPr>
          <w:tcW w:w="1029" w:type="pct"/>
          <w:gridSpan w:val="2"/>
          <w:shd w:val="clear" w:color="auto" w:fill="auto"/>
        </w:tcPr>
        <w:p w14:paraId="0DE6F5A9" w14:textId="47EA268A" w:rsidR="00A84778" w:rsidRPr="00695BAF" w:rsidRDefault="00A84778" w:rsidP="006B4EF8">
          <w:pPr>
            <w:pStyle w:val="FooterText"/>
            <w:jc w:val="right"/>
            <w:rPr>
              <w:caps/>
              <w:spacing w:val="-20"/>
              <w:sz w:val="16"/>
            </w:rPr>
          </w:pPr>
        </w:p>
      </w:tc>
    </w:tr>
  </w:tbl>
  <w:p w14:paraId="56B7B50F" w14:textId="77777777" w:rsidR="00A84778" w:rsidRPr="00271D33" w:rsidRDefault="00A84778" w:rsidP="00271D33">
    <w:pPr>
      <w:pStyle w:val="Footer"/>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4576" w14:textId="77777777" w:rsidR="00A84778" w:rsidRPr="00271D33" w:rsidRDefault="00A84778" w:rsidP="00271D33">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57E2" w14:textId="77777777" w:rsidR="00A84778" w:rsidRPr="00271D33" w:rsidRDefault="00A84778" w:rsidP="00271D33">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48E1F29D" w14:textId="77777777" w:rsidTr="00F46D42">
      <w:trPr>
        <w:jc w:val="center"/>
      </w:trPr>
      <w:tc>
        <w:tcPr>
          <w:tcW w:w="2500" w:type="pct"/>
          <w:gridSpan w:val="2"/>
          <w:shd w:val="clear" w:color="auto" w:fill="auto"/>
          <w:tcMar>
            <w:top w:w="0" w:type="dxa"/>
          </w:tcMar>
        </w:tcPr>
        <w:p w14:paraId="20D3C3DC" w14:textId="6D102648" w:rsidR="00A84778" w:rsidRPr="00AD7BF2" w:rsidRDefault="00A84778" w:rsidP="00DB78EA">
          <w:pPr>
            <w:pStyle w:val="FooterText"/>
          </w:pPr>
        </w:p>
      </w:tc>
      <w:tc>
        <w:tcPr>
          <w:tcW w:w="625" w:type="pct"/>
          <w:shd w:val="clear" w:color="auto" w:fill="auto"/>
          <w:tcMar>
            <w:top w:w="0" w:type="dxa"/>
          </w:tcMar>
        </w:tcPr>
        <w:p w14:paraId="770D83BE" w14:textId="77777777" w:rsidR="00A84778" w:rsidRPr="00AD7BF2" w:rsidRDefault="00A84778" w:rsidP="00DB78EA">
          <w:pPr>
            <w:pStyle w:val="FooterText"/>
            <w:jc w:val="center"/>
          </w:pPr>
        </w:p>
      </w:tc>
      <w:tc>
        <w:tcPr>
          <w:tcW w:w="1286" w:type="pct"/>
          <w:gridSpan w:val="3"/>
          <w:shd w:val="clear" w:color="auto" w:fill="auto"/>
          <w:tcMar>
            <w:top w:w="0" w:type="dxa"/>
          </w:tcMar>
        </w:tcPr>
        <w:p w14:paraId="5C841266" w14:textId="45BFE064" w:rsidR="00A84778" w:rsidRPr="002511D8" w:rsidRDefault="00A84778" w:rsidP="00DB78EA">
          <w:pPr>
            <w:pStyle w:val="FooterText"/>
            <w:jc w:val="center"/>
          </w:pPr>
        </w:p>
      </w:tc>
      <w:tc>
        <w:tcPr>
          <w:tcW w:w="589" w:type="pct"/>
          <w:shd w:val="clear" w:color="auto" w:fill="auto"/>
          <w:tcMar>
            <w:top w:w="0" w:type="dxa"/>
          </w:tcMar>
        </w:tcPr>
        <w:p w14:paraId="51C2AEFE" w14:textId="77777777" w:rsidR="005B6253" w:rsidRDefault="00413ACE" w:rsidP="00DB78EA">
          <w:pPr>
            <w:pStyle w:val="FooterText"/>
            <w:jc w:val="right"/>
          </w:pPr>
          <w:r>
            <w:fldChar w:fldCharType="begin"/>
          </w:r>
          <w:r>
            <w:instrText xml:space="preserve"> PAGE  \* MERGEFORMAT </w:instrText>
          </w:r>
          <w:r>
            <w:fldChar w:fldCharType="separate"/>
          </w:r>
          <w:r w:rsidR="006E0EA2">
            <w:t>268</w:t>
          </w:r>
          <w:r>
            <w:fldChar w:fldCharType="end"/>
          </w:r>
        </w:p>
        <w:p w14:paraId="34C01B3E" w14:textId="77777777" w:rsidR="00A84778" w:rsidRPr="00B310DC" w:rsidRDefault="00A84778" w:rsidP="00DB78EA">
          <w:pPr>
            <w:pStyle w:val="FooterText"/>
            <w:jc w:val="right"/>
          </w:pPr>
        </w:p>
      </w:tc>
    </w:tr>
    <w:tr w:rsidR="00A84778" w:rsidRPr="00D94637" w14:paraId="777FB0C7" w14:textId="77777777" w:rsidTr="00F46D42">
      <w:trPr>
        <w:jc w:val="center"/>
      </w:trPr>
      <w:tc>
        <w:tcPr>
          <w:tcW w:w="1774" w:type="pct"/>
          <w:shd w:val="clear" w:color="auto" w:fill="auto"/>
        </w:tcPr>
        <w:p w14:paraId="1F2549C1" w14:textId="77777777" w:rsidR="00A84778" w:rsidRPr="00AD7BF2" w:rsidRDefault="00A84778" w:rsidP="00DB78EA">
          <w:pPr>
            <w:pStyle w:val="FooterText"/>
            <w:spacing w:before="40"/>
          </w:pPr>
        </w:p>
      </w:tc>
      <w:tc>
        <w:tcPr>
          <w:tcW w:w="1455" w:type="pct"/>
          <w:gridSpan w:val="3"/>
          <w:shd w:val="clear" w:color="auto" w:fill="auto"/>
        </w:tcPr>
        <w:p w14:paraId="748B26FC" w14:textId="76B62BEB" w:rsidR="00A84778" w:rsidRPr="00AD7BF2" w:rsidRDefault="00A84778" w:rsidP="00DB78EA">
          <w:pPr>
            <w:pStyle w:val="FooterText"/>
            <w:spacing w:before="40"/>
            <w:jc w:val="center"/>
          </w:pPr>
        </w:p>
      </w:tc>
      <w:tc>
        <w:tcPr>
          <w:tcW w:w="742" w:type="pct"/>
          <w:shd w:val="clear" w:color="auto" w:fill="auto"/>
        </w:tcPr>
        <w:p w14:paraId="19638264" w14:textId="77777777" w:rsidR="00A84778" w:rsidRPr="00D94637" w:rsidRDefault="00A84778" w:rsidP="00DB78EA">
          <w:pPr>
            <w:pStyle w:val="FooterText"/>
            <w:jc w:val="center"/>
            <w:rPr>
              <w:b/>
              <w:position w:val="-4"/>
              <w:sz w:val="36"/>
            </w:rPr>
          </w:pPr>
        </w:p>
      </w:tc>
      <w:tc>
        <w:tcPr>
          <w:tcW w:w="1029" w:type="pct"/>
          <w:gridSpan w:val="2"/>
          <w:shd w:val="clear" w:color="auto" w:fill="auto"/>
        </w:tcPr>
        <w:p w14:paraId="198DFF16" w14:textId="4FAE8F24" w:rsidR="00A84778" w:rsidRPr="00695BAF" w:rsidRDefault="00A84778" w:rsidP="00DB78EA">
          <w:pPr>
            <w:pStyle w:val="FooterText"/>
            <w:jc w:val="right"/>
            <w:rPr>
              <w:caps/>
              <w:spacing w:val="-20"/>
              <w:sz w:val="16"/>
            </w:rPr>
          </w:pPr>
        </w:p>
      </w:tc>
    </w:tr>
  </w:tbl>
  <w:p w14:paraId="78ADAE90" w14:textId="77777777" w:rsidR="00A84778" w:rsidRPr="00271D33" w:rsidRDefault="00A84778" w:rsidP="00271D3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8E6B" w14:textId="77777777" w:rsidR="00F72C9B" w:rsidRPr="00C70741" w:rsidRDefault="00F72C9B">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2353" w14:textId="77777777" w:rsidR="00A84778" w:rsidRPr="00271D33" w:rsidRDefault="00A84778" w:rsidP="00271D33">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B88F" w14:textId="77777777" w:rsidR="00F72C9B" w:rsidRPr="00271D33" w:rsidRDefault="00F72C9B" w:rsidP="00271D33">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4536"/>
      <w:gridCol w:w="1134"/>
      <w:gridCol w:w="2334"/>
      <w:gridCol w:w="1069"/>
    </w:tblGrid>
    <w:tr w:rsidR="00F72C9B" w:rsidRPr="00B310DC" w14:paraId="6DDBAEB1" w14:textId="77777777" w:rsidTr="00F46D42">
      <w:trPr>
        <w:jc w:val="center"/>
      </w:trPr>
      <w:tc>
        <w:tcPr>
          <w:tcW w:w="2500" w:type="pct"/>
          <w:shd w:val="clear" w:color="auto" w:fill="auto"/>
          <w:tcMar>
            <w:top w:w="0" w:type="dxa"/>
          </w:tcMar>
        </w:tcPr>
        <w:p w14:paraId="3FD3BF73" w14:textId="5E5222F7" w:rsidR="00F72C9B" w:rsidRPr="00AD7BF2" w:rsidRDefault="00F72C9B" w:rsidP="00DB78EA">
          <w:pPr>
            <w:pStyle w:val="FooterText"/>
          </w:pPr>
        </w:p>
      </w:tc>
      <w:tc>
        <w:tcPr>
          <w:tcW w:w="625" w:type="pct"/>
          <w:shd w:val="clear" w:color="auto" w:fill="auto"/>
          <w:tcMar>
            <w:top w:w="0" w:type="dxa"/>
          </w:tcMar>
        </w:tcPr>
        <w:p w14:paraId="39647253" w14:textId="77777777" w:rsidR="00F72C9B" w:rsidRPr="00AD7BF2" w:rsidRDefault="00F72C9B" w:rsidP="00DB78EA">
          <w:pPr>
            <w:pStyle w:val="FooterText"/>
            <w:jc w:val="center"/>
          </w:pPr>
        </w:p>
      </w:tc>
      <w:tc>
        <w:tcPr>
          <w:tcW w:w="1286" w:type="pct"/>
          <w:shd w:val="clear" w:color="auto" w:fill="auto"/>
          <w:tcMar>
            <w:top w:w="0" w:type="dxa"/>
          </w:tcMar>
        </w:tcPr>
        <w:p w14:paraId="5D82A1EF" w14:textId="1F997CB6" w:rsidR="00F72C9B" w:rsidRPr="002511D8" w:rsidRDefault="00F72C9B" w:rsidP="00DB78EA">
          <w:pPr>
            <w:pStyle w:val="FooterText"/>
            <w:jc w:val="center"/>
          </w:pPr>
        </w:p>
      </w:tc>
      <w:tc>
        <w:tcPr>
          <w:tcW w:w="589" w:type="pct"/>
          <w:shd w:val="clear" w:color="auto" w:fill="auto"/>
          <w:tcMar>
            <w:top w:w="0" w:type="dxa"/>
          </w:tcMar>
        </w:tcPr>
        <w:p w14:paraId="778B281C" w14:textId="77777777" w:rsidR="00F72C9B" w:rsidRDefault="00F72C9B" w:rsidP="00DB78EA">
          <w:pPr>
            <w:pStyle w:val="FooterText"/>
            <w:jc w:val="right"/>
          </w:pPr>
          <w:r>
            <w:fldChar w:fldCharType="begin"/>
          </w:r>
          <w:r>
            <w:instrText xml:space="preserve"> PAGE  \* MERGEFORMAT </w:instrText>
          </w:r>
          <w:r>
            <w:fldChar w:fldCharType="separate"/>
          </w:r>
          <w:r>
            <w:t>268</w:t>
          </w:r>
          <w:r>
            <w:fldChar w:fldCharType="end"/>
          </w:r>
        </w:p>
        <w:p w14:paraId="308EB5A8" w14:textId="77777777" w:rsidR="00F72C9B" w:rsidRPr="00B310DC" w:rsidRDefault="00F72C9B" w:rsidP="00DB78EA">
          <w:pPr>
            <w:pStyle w:val="FooterText"/>
            <w:jc w:val="right"/>
          </w:pPr>
        </w:p>
      </w:tc>
    </w:tr>
  </w:tbl>
  <w:p w14:paraId="058F37DE" w14:textId="77777777" w:rsidR="00F72C9B" w:rsidRPr="00271D33" w:rsidRDefault="00F72C9B" w:rsidP="00271D33">
    <w:pPr>
      <w:pStyle w:val="Footer"/>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D98A" w14:textId="77777777" w:rsidR="00F72C9B" w:rsidRPr="00271D33" w:rsidRDefault="00F72C9B" w:rsidP="00271D33">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EEB3" w14:textId="77777777" w:rsidR="00A84778" w:rsidRPr="00271D33" w:rsidRDefault="00A84778" w:rsidP="00271D33">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383AF26B" w14:textId="77777777" w:rsidTr="00F46D42">
      <w:trPr>
        <w:jc w:val="center"/>
      </w:trPr>
      <w:tc>
        <w:tcPr>
          <w:tcW w:w="2500" w:type="pct"/>
          <w:gridSpan w:val="2"/>
          <w:shd w:val="clear" w:color="auto" w:fill="auto"/>
          <w:tcMar>
            <w:top w:w="0" w:type="dxa"/>
          </w:tcMar>
        </w:tcPr>
        <w:p w14:paraId="0797C1AF" w14:textId="06D4D071" w:rsidR="00A84778" w:rsidRPr="00AD7BF2" w:rsidRDefault="00A84778" w:rsidP="00DB78EA">
          <w:pPr>
            <w:pStyle w:val="FooterText"/>
          </w:pPr>
        </w:p>
      </w:tc>
      <w:tc>
        <w:tcPr>
          <w:tcW w:w="625" w:type="pct"/>
          <w:shd w:val="clear" w:color="auto" w:fill="auto"/>
          <w:tcMar>
            <w:top w:w="0" w:type="dxa"/>
          </w:tcMar>
        </w:tcPr>
        <w:p w14:paraId="63EDFC43" w14:textId="77777777" w:rsidR="00A84778" w:rsidRPr="00AD7BF2" w:rsidRDefault="00A84778" w:rsidP="00DB78EA">
          <w:pPr>
            <w:pStyle w:val="FooterText"/>
            <w:jc w:val="center"/>
          </w:pPr>
        </w:p>
      </w:tc>
      <w:tc>
        <w:tcPr>
          <w:tcW w:w="1286" w:type="pct"/>
          <w:gridSpan w:val="3"/>
          <w:shd w:val="clear" w:color="auto" w:fill="auto"/>
          <w:tcMar>
            <w:top w:w="0" w:type="dxa"/>
          </w:tcMar>
        </w:tcPr>
        <w:p w14:paraId="3BF37E31" w14:textId="0B48E70F" w:rsidR="00A84778" w:rsidRPr="002511D8" w:rsidRDefault="00A84778" w:rsidP="00DB78EA">
          <w:pPr>
            <w:pStyle w:val="FooterText"/>
            <w:jc w:val="center"/>
          </w:pPr>
        </w:p>
      </w:tc>
      <w:tc>
        <w:tcPr>
          <w:tcW w:w="589" w:type="pct"/>
          <w:shd w:val="clear" w:color="auto" w:fill="auto"/>
          <w:tcMar>
            <w:top w:w="0" w:type="dxa"/>
          </w:tcMar>
        </w:tcPr>
        <w:p w14:paraId="073CEE34" w14:textId="77777777" w:rsidR="005B6253" w:rsidRDefault="00413ACE" w:rsidP="00DB78EA">
          <w:pPr>
            <w:pStyle w:val="FooterText"/>
            <w:jc w:val="right"/>
          </w:pPr>
          <w:r>
            <w:fldChar w:fldCharType="begin"/>
          </w:r>
          <w:r>
            <w:instrText xml:space="preserve"> PAGE  \* MERGEFORMAT </w:instrText>
          </w:r>
          <w:r>
            <w:fldChar w:fldCharType="separate"/>
          </w:r>
          <w:r w:rsidR="006E0EA2">
            <w:t>271</w:t>
          </w:r>
          <w:r>
            <w:fldChar w:fldCharType="end"/>
          </w:r>
        </w:p>
        <w:p w14:paraId="478AF08B" w14:textId="77777777" w:rsidR="00A84778" w:rsidRPr="00B310DC" w:rsidRDefault="00A84778" w:rsidP="00DB78EA">
          <w:pPr>
            <w:pStyle w:val="FooterText"/>
            <w:jc w:val="right"/>
          </w:pPr>
        </w:p>
      </w:tc>
    </w:tr>
    <w:tr w:rsidR="00A84778" w:rsidRPr="00D94637" w14:paraId="66A4FD8C" w14:textId="77777777" w:rsidTr="00F46D42">
      <w:trPr>
        <w:jc w:val="center"/>
      </w:trPr>
      <w:tc>
        <w:tcPr>
          <w:tcW w:w="1774" w:type="pct"/>
          <w:shd w:val="clear" w:color="auto" w:fill="auto"/>
        </w:tcPr>
        <w:p w14:paraId="4872B841" w14:textId="77777777" w:rsidR="00A84778" w:rsidRPr="00AD7BF2" w:rsidRDefault="00A84778" w:rsidP="00DB78EA">
          <w:pPr>
            <w:pStyle w:val="FooterText"/>
            <w:spacing w:before="40"/>
          </w:pPr>
        </w:p>
      </w:tc>
      <w:tc>
        <w:tcPr>
          <w:tcW w:w="1455" w:type="pct"/>
          <w:gridSpan w:val="3"/>
          <w:shd w:val="clear" w:color="auto" w:fill="auto"/>
        </w:tcPr>
        <w:p w14:paraId="74137718" w14:textId="72964E5B" w:rsidR="00A84778" w:rsidRPr="00AD7BF2" w:rsidRDefault="00A84778" w:rsidP="00DB78EA">
          <w:pPr>
            <w:pStyle w:val="FooterText"/>
            <w:spacing w:before="40"/>
            <w:jc w:val="center"/>
          </w:pPr>
        </w:p>
      </w:tc>
      <w:tc>
        <w:tcPr>
          <w:tcW w:w="742" w:type="pct"/>
          <w:shd w:val="clear" w:color="auto" w:fill="auto"/>
        </w:tcPr>
        <w:p w14:paraId="29CCB99F" w14:textId="77777777" w:rsidR="00A84778" w:rsidRPr="00D94637" w:rsidRDefault="00A84778" w:rsidP="00DB78EA">
          <w:pPr>
            <w:pStyle w:val="FooterText"/>
            <w:jc w:val="center"/>
            <w:rPr>
              <w:b/>
              <w:position w:val="-4"/>
              <w:sz w:val="36"/>
            </w:rPr>
          </w:pPr>
        </w:p>
      </w:tc>
      <w:tc>
        <w:tcPr>
          <w:tcW w:w="1029" w:type="pct"/>
          <w:gridSpan w:val="2"/>
          <w:shd w:val="clear" w:color="auto" w:fill="auto"/>
        </w:tcPr>
        <w:p w14:paraId="2DF9E3CD" w14:textId="10143733" w:rsidR="00A84778" w:rsidRPr="00695BAF" w:rsidRDefault="00A84778" w:rsidP="00DB78EA">
          <w:pPr>
            <w:pStyle w:val="FooterText"/>
            <w:jc w:val="right"/>
            <w:rPr>
              <w:caps/>
              <w:spacing w:val="-20"/>
              <w:sz w:val="16"/>
            </w:rPr>
          </w:pPr>
        </w:p>
      </w:tc>
    </w:tr>
  </w:tbl>
  <w:p w14:paraId="629FC809" w14:textId="77777777" w:rsidR="00A84778" w:rsidRPr="00271D33" w:rsidRDefault="00A84778" w:rsidP="00271D33">
    <w:pPr>
      <w:pStyle w:val="Footer"/>
    </w:pP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4BC1" w14:textId="77777777" w:rsidR="00A84778" w:rsidRPr="00271D33" w:rsidRDefault="00A84778" w:rsidP="00271D33">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3506" w14:textId="77777777" w:rsidR="00A84778" w:rsidRPr="00271D33" w:rsidRDefault="00A84778" w:rsidP="00271D33">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28F3D529" w14:textId="77777777" w:rsidTr="00F46D42">
      <w:trPr>
        <w:jc w:val="center"/>
      </w:trPr>
      <w:tc>
        <w:tcPr>
          <w:tcW w:w="2500" w:type="pct"/>
          <w:gridSpan w:val="2"/>
          <w:shd w:val="clear" w:color="auto" w:fill="auto"/>
          <w:tcMar>
            <w:top w:w="0" w:type="dxa"/>
          </w:tcMar>
        </w:tcPr>
        <w:p w14:paraId="47FAFA99" w14:textId="1C7069C5" w:rsidR="00A84778" w:rsidRPr="00AD7BF2" w:rsidRDefault="00A84778" w:rsidP="00DB78EA">
          <w:pPr>
            <w:pStyle w:val="FooterText"/>
          </w:pPr>
        </w:p>
      </w:tc>
      <w:tc>
        <w:tcPr>
          <w:tcW w:w="625" w:type="pct"/>
          <w:shd w:val="clear" w:color="auto" w:fill="auto"/>
          <w:tcMar>
            <w:top w:w="0" w:type="dxa"/>
          </w:tcMar>
        </w:tcPr>
        <w:p w14:paraId="026C91B5" w14:textId="77777777" w:rsidR="00A84778" w:rsidRPr="00AD7BF2" w:rsidRDefault="00A84778" w:rsidP="00DB78EA">
          <w:pPr>
            <w:pStyle w:val="FooterText"/>
            <w:jc w:val="center"/>
          </w:pPr>
        </w:p>
      </w:tc>
      <w:tc>
        <w:tcPr>
          <w:tcW w:w="1286" w:type="pct"/>
          <w:gridSpan w:val="3"/>
          <w:shd w:val="clear" w:color="auto" w:fill="auto"/>
          <w:tcMar>
            <w:top w:w="0" w:type="dxa"/>
          </w:tcMar>
        </w:tcPr>
        <w:p w14:paraId="1A1E833B" w14:textId="7A6554BA" w:rsidR="00A84778" w:rsidRPr="002511D8" w:rsidRDefault="00A84778" w:rsidP="00DB78EA">
          <w:pPr>
            <w:pStyle w:val="FooterText"/>
            <w:jc w:val="center"/>
          </w:pPr>
        </w:p>
      </w:tc>
      <w:tc>
        <w:tcPr>
          <w:tcW w:w="589" w:type="pct"/>
          <w:shd w:val="clear" w:color="auto" w:fill="auto"/>
          <w:tcMar>
            <w:top w:w="0" w:type="dxa"/>
          </w:tcMar>
        </w:tcPr>
        <w:p w14:paraId="1F9D23F0" w14:textId="77777777" w:rsidR="005B6253" w:rsidRDefault="00413ACE" w:rsidP="00DB78EA">
          <w:pPr>
            <w:pStyle w:val="FooterText"/>
            <w:jc w:val="right"/>
          </w:pPr>
          <w:r>
            <w:fldChar w:fldCharType="begin"/>
          </w:r>
          <w:r>
            <w:instrText xml:space="preserve"> PAGE  \* MERGEFORMAT </w:instrText>
          </w:r>
          <w:r>
            <w:fldChar w:fldCharType="separate"/>
          </w:r>
          <w:r w:rsidR="006E0EA2">
            <w:t>273</w:t>
          </w:r>
          <w:r>
            <w:fldChar w:fldCharType="end"/>
          </w:r>
        </w:p>
        <w:p w14:paraId="6A786CD3" w14:textId="77777777" w:rsidR="00A84778" w:rsidRPr="00B310DC" w:rsidRDefault="00A84778" w:rsidP="00DB78EA">
          <w:pPr>
            <w:pStyle w:val="FooterText"/>
            <w:jc w:val="right"/>
          </w:pPr>
        </w:p>
      </w:tc>
    </w:tr>
    <w:tr w:rsidR="00A84778" w:rsidRPr="00D94637" w14:paraId="395488DD" w14:textId="77777777" w:rsidTr="00F46D42">
      <w:trPr>
        <w:jc w:val="center"/>
      </w:trPr>
      <w:tc>
        <w:tcPr>
          <w:tcW w:w="1774" w:type="pct"/>
          <w:shd w:val="clear" w:color="auto" w:fill="auto"/>
        </w:tcPr>
        <w:p w14:paraId="2D455F10" w14:textId="77777777" w:rsidR="00A84778" w:rsidRPr="00AD7BF2" w:rsidRDefault="00A84778" w:rsidP="00DB78EA">
          <w:pPr>
            <w:pStyle w:val="FooterText"/>
            <w:spacing w:before="40"/>
          </w:pPr>
        </w:p>
      </w:tc>
      <w:tc>
        <w:tcPr>
          <w:tcW w:w="1455" w:type="pct"/>
          <w:gridSpan w:val="3"/>
          <w:shd w:val="clear" w:color="auto" w:fill="auto"/>
        </w:tcPr>
        <w:p w14:paraId="595CA222" w14:textId="061F50A4" w:rsidR="00A84778" w:rsidRPr="00AD7BF2" w:rsidRDefault="00A84778" w:rsidP="00DB78EA">
          <w:pPr>
            <w:pStyle w:val="FooterText"/>
            <w:spacing w:before="40"/>
            <w:jc w:val="center"/>
          </w:pPr>
        </w:p>
      </w:tc>
      <w:tc>
        <w:tcPr>
          <w:tcW w:w="742" w:type="pct"/>
          <w:shd w:val="clear" w:color="auto" w:fill="auto"/>
        </w:tcPr>
        <w:p w14:paraId="51C4CA77" w14:textId="77777777" w:rsidR="00A84778" w:rsidRPr="00D94637" w:rsidRDefault="00A84778" w:rsidP="00DB78EA">
          <w:pPr>
            <w:pStyle w:val="FooterText"/>
            <w:jc w:val="center"/>
            <w:rPr>
              <w:b/>
              <w:position w:val="-4"/>
              <w:sz w:val="36"/>
            </w:rPr>
          </w:pPr>
        </w:p>
      </w:tc>
      <w:tc>
        <w:tcPr>
          <w:tcW w:w="1029" w:type="pct"/>
          <w:gridSpan w:val="2"/>
          <w:shd w:val="clear" w:color="auto" w:fill="auto"/>
        </w:tcPr>
        <w:p w14:paraId="05982873" w14:textId="2D4D360D" w:rsidR="00A84778" w:rsidRPr="00695BAF" w:rsidRDefault="00A84778" w:rsidP="00DB78EA">
          <w:pPr>
            <w:pStyle w:val="FooterText"/>
            <w:jc w:val="right"/>
            <w:rPr>
              <w:caps/>
              <w:spacing w:val="-20"/>
              <w:sz w:val="16"/>
            </w:rPr>
          </w:pPr>
        </w:p>
      </w:tc>
    </w:tr>
  </w:tbl>
  <w:p w14:paraId="7B134BE4" w14:textId="77777777" w:rsidR="00A84778" w:rsidRPr="00271D33" w:rsidRDefault="00A84778" w:rsidP="00271D33">
    <w:pPr>
      <w:pStyle w:val="Footer"/>
    </w:pPr>
  </w:p>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8331" w14:textId="77777777" w:rsidR="00A84778" w:rsidRPr="00271D33" w:rsidRDefault="00A84778" w:rsidP="00271D3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196F" w14:textId="77777777" w:rsidR="00F72C9B" w:rsidRPr="00C70741" w:rsidRDefault="00F72C9B">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69325" w14:textId="77777777" w:rsidR="00A84778" w:rsidRPr="00271D33" w:rsidRDefault="00A84778" w:rsidP="00271D33">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6A6B9B1C" w14:textId="77777777" w:rsidTr="00F46D42">
      <w:trPr>
        <w:jc w:val="center"/>
      </w:trPr>
      <w:tc>
        <w:tcPr>
          <w:tcW w:w="2500" w:type="pct"/>
          <w:gridSpan w:val="2"/>
          <w:shd w:val="clear" w:color="auto" w:fill="auto"/>
          <w:tcMar>
            <w:top w:w="0" w:type="dxa"/>
          </w:tcMar>
        </w:tcPr>
        <w:p w14:paraId="4D1CE50B" w14:textId="118A0B12" w:rsidR="00A84778" w:rsidRPr="00AD7BF2" w:rsidRDefault="00A84778" w:rsidP="00DB78EA">
          <w:pPr>
            <w:pStyle w:val="FooterText"/>
          </w:pPr>
        </w:p>
      </w:tc>
      <w:tc>
        <w:tcPr>
          <w:tcW w:w="625" w:type="pct"/>
          <w:shd w:val="clear" w:color="auto" w:fill="auto"/>
          <w:tcMar>
            <w:top w:w="0" w:type="dxa"/>
          </w:tcMar>
        </w:tcPr>
        <w:p w14:paraId="688BB70D" w14:textId="77777777" w:rsidR="00A84778" w:rsidRPr="00AD7BF2" w:rsidRDefault="00A84778" w:rsidP="00DB78EA">
          <w:pPr>
            <w:pStyle w:val="FooterText"/>
            <w:jc w:val="center"/>
          </w:pPr>
        </w:p>
      </w:tc>
      <w:tc>
        <w:tcPr>
          <w:tcW w:w="1286" w:type="pct"/>
          <w:gridSpan w:val="3"/>
          <w:shd w:val="clear" w:color="auto" w:fill="auto"/>
          <w:tcMar>
            <w:top w:w="0" w:type="dxa"/>
          </w:tcMar>
        </w:tcPr>
        <w:p w14:paraId="52FA68AE" w14:textId="2CA35895" w:rsidR="00A84778" w:rsidRPr="002511D8" w:rsidRDefault="00A84778" w:rsidP="00DB78EA">
          <w:pPr>
            <w:pStyle w:val="FooterText"/>
            <w:jc w:val="center"/>
          </w:pPr>
        </w:p>
      </w:tc>
      <w:tc>
        <w:tcPr>
          <w:tcW w:w="589" w:type="pct"/>
          <w:shd w:val="clear" w:color="auto" w:fill="auto"/>
          <w:tcMar>
            <w:top w:w="0" w:type="dxa"/>
          </w:tcMar>
        </w:tcPr>
        <w:p w14:paraId="6B8EB7D2" w14:textId="77777777" w:rsidR="005B6253" w:rsidRDefault="00413ACE" w:rsidP="00DB78EA">
          <w:pPr>
            <w:pStyle w:val="FooterText"/>
            <w:jc w:val="right"/>
          </w:pPr>
          <w:r>
            <w:fldChar w:fldCharType="begin"/>
          </w:r>
          <w:r>
            <w:instrText xml:space="preserve"> PAGE  \* MERGEFORMAT </w:instrText>
          </w:r>
          <w:r>
            <w:fldChar w:fldCharType="separate"/>
          </w:r>
          <w:r w:rsidR="006E0EA2">
            <w:t>280</w:t>
          </w:r>
          <w:r>
            <w:fldChar w:fldCharType="end"/>
          </w:r>
        </w:p>
        <w:p w14:paraId="5D2EE09C" w14:textId="77777777" w:rsidR="00A84778" w:rsidRPr="00B310DC" w:rsidRDefault="00A84778" w:rsidP="00DB78EA">
          <w:pPr>
            <w:pStyle w:val="FooterText"/>
            <w:jc w:val="right"/>
          </w:pPr>
        </w:p>
      </w:tc>
    </w:tr>
    <w:tr w:rsidR="00A84778" w:rsidRPr="00D94637" w14:paraId="73AE4B88" w14:textId="77777777" w:rsidTr="00F46D42">
      <w:trPr>
        <w:jc w:val="center"/>
      </w:trPr>
      <w:tc>
        <w:tcPr>
          <w:tcW w:w="1774" w:type="pct"/>
          <w:shd w:val="clear" w:color="auto" w:fill="auto"/>
        </w:tcPr>
        <w:p w14:paraId="3D2A643A" w14:textId="77777777" w:rsidR="00A84778" w:rsidRPr="00AD7BF2" w:rsidRDefault="00A84778" w:rsidP="00DB78EA">
          <w:pPr>
            <w:pStyle w:val="FooterText"/>
            <w:spacing w:before="40"/>
          </w:pPr>
        </w:p>
      </w:tc>
      <w:tc>
        <w:tcPr>
          <w:tcW w:w="1455" w:type="pct"/>
          <w:gridSpan w:val="3"/>
          <w:shd w:val="clear" w:color="auto" w:fill="auto"/>
        </w:tcPr>
        <w:p w14:paraId="1E53E3DB" w14:textId="687A0875" w:rsidR="00A84778" w:rsidRPr="00AD7BF2" w:rsidRDefault="00A84778" w:rsidP="00DB78EA">
          <w:pPr>
            <w:pStyle w:val="FooterText"/>
            <w:spacing w:before="40"/>
            <w:jc w:val="center"/>
          </w:pPr>
        </w:p>
      </w:tc>
      <w:tc>
        <w:tcPr>
          <w:tcW w:w="742" w:type="pct"/>
          <w:shd w:val="clear" w:color="auto" w:fill="auto"/>
        </w:tcPr>
        <w:p w14:paraId="135919C9" w14:textId="77777777" w:rsidR="00A84778" w:rsidRPr="00D94637" w:rsidRDefault="00A84778" w:rsidP="00DB78EA">
          <w:pPr>
            <w:pStyle w:val="FooterText"/>
            <w:jc w:val="center"/>
            <w:rPr>
              <w:b/>
              <w:position w:val="-4"/>
              <w:sz w:val="36"/>
            </w:rPr>
          </w:pPr>
        </w:p>
      </w:tc>
      <w:tc>
        <w:tcPr>
          <w:tcW w:w="1029" w:type="pct"/>
          <w:gridSpan w:val="2"/>
          <w:shd w:val="clear" w:color="auto" w:fill="auto"/>
        </w:tcPr>
        <w:p w14:paraId="5C3EE399" w14:textId="1F966A55" w:rsidR="00A84778" w:rsidRPr="00695BAF" w:rsidRDefault="00A84778" w:rsidP="00DB78EA">
          <w:pPr>
            <w:pStyle w:val="FooterText"/>
            <w:jc w:val="right"/>
            <w:rPr>
              <w:caps/>
              <w:spacing w:val="-20"/>
              <w:sz w:val="16"/>
            </w:rPr>
          </w:pPr>
        </w:p>
      </w:tc>
    </w:tr>
  </w:tbl>
  <w:p w14:paraId="00949047" w14:textId="77777777" w:rsidR="00A84778" w:rsidRPr="00271D33" w:rsidRDefault="00A84778" w:rsidP="00271D33">
    <w:pPr>
      <w:pStyle w:val="Footer"/>
    </w:pPr>
  </w:p>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E808" w14:textId="77777777" w:rsidR="00A84778" w:rsidRPr="00271D33" w:rsidRDefault="00A84778" w:rsidP="00271D33">
    <w:pPr>
      <w:pStyle w:val="Footer"/>
    </w:pPr>
  </w:p>
</w:ftr>
</file>

<file path=word/footer1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217A" w14:textId="77777777" w:rsidR="00A84778" w:rsidRPr="00271D33" w:rsidRDefault="00A84778" w:rsidP="00271D33">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714"/>
      <w:gridCol w:w="1520"/>
      <w:gridCol w:w="1308"/>
      <w:gridCol w:w="218"/>
      <w:gridCol w:w="1553"/>
      <w:gridCol w:w="921"/>
      <w:gridCol w:w="1233"/>
    </w:tblGrid>
    <w:tr w:rsidR="00A84778" w:rsidRPr="00B310DC" w14:paraId="140CA3D8" w14:textId="77777777" w:rsidTr="00F46D42">
      <w:trPr>
        <w:jc w:val="center"/>
      </w:trPr>
      <w:tc>
        <w:tcPr>
          <w:tcW w:w="2500" w:type="pct"/>
          <w:gridSpan w:val="2"/>
          <w:shd w:val="clear" w:color="auto" w:fill="auto"/>
          <w:tcMar>
            <w:top w:w="0" w:type="dxa"/>
          </w:tcMar>
        </w:tcPr>
        <w:p w14:paraId="1319049A" w14:textId="6E980C19" w:rsidR="00A84778" w:rsidRPr="00AD7BF2" w:rsidRDefault="00A84778" w:rsidP="000C66B3">
          <w:pPr>
            <w:pStyle w:val="FooterText"/>
          </w:pPr>
        </w:p>
      </w:tc>
      <w:tc>
        <w:tcPr>
          <w:tcW w:w="625" w:type="pct"/>
          <w:shd w:val="clear" w:color="auto" w:fill="auto"/>
          <w:tcMar>
            <w:top w:w="0" w:type="dxa"/>
          </w:tcMar>
        </w:tcPr>
        <w:p w14:paraId="41D24529" w14:textId="77777777" w:rsidR="00A84778" w:rsidRPr="00AD7BF2" w:rsidRDefault="00A84778" w:rsidP="000C66B3">
          <w:pPr>
            <w:pStyle w:val="FooterText"/>
            <w:jc w:val="center"/>
          </w:pPr>
        </w:p>
      </w:tc>
      <w:tc>
        <w:tcPr>
          <w:tcW w:w="1286" w:type="pct"/>
          <w:gridSpan w:val="3"/>
          <w:shd w:val="clear" w:color="auto" w:fill="auto"/>
          <w:tcMar>
            <w:top w:w="0" w:type="dxa"/>
          </w:tcMar>
        </w:tcPr>
        <w:p w14:paraId="3AB41F18" w14:textId="20E0E403" w:rsidR="00A84778" w:rsidRPr="002511D8" w:rsidRDefault="00A84778" w:rsidP="000C66B3">
          <w:pPr>
            <w:pStyle w:val="FooterText"/>
            <w:jc w:val="center"/>
          </w:pPr>
        </w:p>
      </w:tc>
      <w:tc>
        <w:tcPr>
          <w:tcW w:w="589" w:type="pct"/>
          <w:shd w:val="clear" w:color="auto" w:fill="auto"/>
          <w:tcMar>
            <w:top w:w="0" w:type="dxa"/>
          </w:tcMar>
        </w:tcPr>
        <w:p w14:paraId="2B19B675" w14:textId="77777777" w:rsidR="005B6253" w:rsidRDefault="00413ACE" w:rsidP="000C66B3">
          <w:pPr>
            <w:pStyle w:val="FooterText"/>
            <w:jc w:val="right"/>
          </w:pPr>
          <w:r>
            <w:fldChar w:fldCharType="begin"/>
          </w:r>
          <w:r>
            <w:instrText xml:space="preserve"> PAGE  \* MERGEFORMAT </w:instrText>
          </w:r>
          <w:r>
            <w:fldChar w:fldCharType="separate"/>
          </w:r>
          <w:r w:rsidR="006E0EA2">
            <w:t>282</w:t>
          </w:r>
          <w:r>
            <w:fldChar w:fldCharType="end"/>
          </w:r>
        </w:p>
        <w:p w14:paraId="14797F12" w14:textId="77777777" w:rsidR="00A84778" w:rsidRPr="00B310DC" w:rsidRDefault="00A84778" w:rsidP="000C66B3">
          <w:pPr>
            <w:pStyle w:val="FooterText"/>
            <w:jc w:val="right"/>
          </w:pPr>
        </w:p>
      </w:tc>
    </w:tr>
    <w:tr w:rsidR="00A84778" w:rsidRPr="00D94637" w14:paraId="054F4E38" w14:textId="77777777" w:rsidTr="00F46D42">
      <w:trPr>
        <w:jc w:val="center"/>
      </w:trPr>
      <w:tc>
        <w:tcPr>
          <w:tcW w:w="1774" w:type="pct"/>
          <w:shd w:val="clear" w:color="auto" w:fill="auto"/>
        </w:tcPr>
        <w:p w14:paraId="43F641D4" w14:textId="77777777" w:rsidR="00A84778" w:rsidRPr="00AD7BF2" w:rsidRDefault="00A84778" w:rsidP="000C66B3">
          <w:pPr>
            <w:pStyle w:val="FooterText"/>
            <w:spacing w:before="40"/>
          </w:pPr>
        </w:p>
      </w:tc>
      <w:tc>
        <w:tcPr>
          <w:tcW w:w="1455" w:type="pct"/>
          <w:gridSpan w:val="3"/>
          <w:shd w:val="clear" w:color="auto" w:fill="auto"/>
        </w:tcPr>
        <w:p w14:paraId="594829DF" w14:textId="1EB1AA59" w:rsidR="00A84778" w:rsidRPr="00AD7BF2" w:rsidRDefault="00A84778" w:rsidP="000C66B3">
          <w:pPr>
            <w:pStyle w:val="FooterText"/>
            <w:spacing w:before="40"/>
            <w:jc w:val="center"/>
          </w:pPr>
        </w:p>
      </w:tc>
      <w:tc>
        <w:tcPr>
          <w:tcW w:w="742" w:type="pct"/>
          <w:shd w:val="clear" w:color="auto" w:fill="auto"/>
        </w:tcPr>
        <w:p w14:paraId="407B3145" w14:textId="77777777" w:rsidR="00A84778" w:rsidRPr="00D94637" w:rsidRDefault="00A84778" w:rsidP="000C66B3">
          <w:pPr>
            <w:pStyle w:val="FooterText"/>
            <w:jc w:val="center"/>
            <w:rPr>
              <w:b/>
              <w:position w:val="-4"/>
              <w:sz w:val="36"/>
            </w:rPr>
          </w:pPr>
        </w:p>
      </w:tc>
      <w:tc>
        <w:tcPr>
          <w:tcW w:w="1029" w:type="pct"/>
          <w:gridSpan w:val="2"/>
          <w:shd w:val="clear" w:color="auto" w:fill="auto"/>
        </w:tcPr>
        <w:p w14:paraId="511DF510" w14:textId="2FE27BBC" w:rsidR="00A84778" w:rsidRPr="00695BAF" w:rsidRDefault="00A84778" w:rsidP="000C66B3">
          <w:pPr>
            <w:pStyle w:val="FooterText"/>
            <w:jc w:val="right"/>
            <w:rPr>
              <w:caps/>
              <w:spacing w:val="-20"/>
              <w:sz w:val="16"/>
            </w:rPr>
          </w:pPr>
        </w:p>
      </w:tc>
    </w:tr>
  </w:tbl>
  <w:p w14:paraId="4E7860EE" w14:textId="77777777" w:rsidR="00A84778" w:rsidRPr="00271D33" w:rsidRDefault="00A84778" w:rsidP="00271D33">
    <w:pPr>
      <w:pStyle w:val="Footer"/>
    </w:pPr>
  </w:p>
</w:ftr>
</file>

<file path=word/footer1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A18D" w14:textId="77777777" w:rsidR="00A84778" w:rsidRPr="00271D33" w:rsidRDefault="00A84778" w:rsidP="00271D33">
    <w:pPr>
      <w:pStyle w:val="Footer"/>
    </w:pPr>
  </w:p>
</w:ftr>
</file>

<file path=word/footer1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1946" w14:textId="77777777" w:rsidR="00AD4052" w:rsidRPr="00271D33" w:rsidRDefault="00AD4052" w:rsidP="00271D33">
    <w:pPr>
      <w:pStyle w:val="Footer"/>
    </w:pPr>
  </w:p>
</w:ftr>
</file>

<file path=word/footer1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D4052" w:rsidRPr="00B310DC" w14:paraId="1551154E" w14:textId="77777777" w:rsidTr="00F46D42">
      <w:trPr>
        <w:jc w:val="center"/>
      </w:trPr>
      <w:tc>
        <w:tcPr>
          <w:tcW w:w="2500" w:type="pct"/>
          <w:gridSpan w:val="2"/>
          <w:shd w:val="clear" w:color="auto" w:fill="auto"/>
          <w:tcMar>
            <w:top w:w="0" w:type="dxa"/>
          </w:tcMar>
        </w:tcPr>
        <w:p w14:paraId="4F722D1D" w14:textId="77777777" w:rsidR="00AD4052" w:rsidRPr="00AD7BF2" w:rsidRDefault="00AD4052" w:rsidP="000C66B3">
          <w:pPr>
            <w:pStyle w:val="FooterText"/>
          </w:pPr>
        </w:p>
      </w:tc>
      <w:tc>
        <w:tcPr>
          <w:tcW w:w="625" w:type="pct"/>
          <w:shd w:val="clear" w:color="auto" w:fill="auto"/>
          <w:tcMar>
            <w:top w:w="0" w:type="dxa"/>
          </w:tcMar>
        </w:tcPr>
        <w:p w14:paraId="6A3986F3" w14:textId="77777777" w:rsidR="00AD4052" w:rsidRPr="00AD7BF2" w:rsidRDefault="00AD4052" w:rsidP="000C66B3">
          <w:pPr>
            <w:pStyle w:val="FooterText"/>
            <w:jc w:val="center"/>
          </w:pPr>
        </w:p>
      </w:tc>
      <w:tc>
        <w:tcPr>
          <w:tcW w:w="1286" w:type="pct"/>
          <w:gridSpan w:val="3"/>
          <w:shd w:val="clear" w:color="auto" w:fill="auto"/>
          <w:tcMar>
            <w:top w:w="0" w:type="dxa"/>
          </w:tcMar>
        </w:tcPr>
        <w:p w14:paraId="3BFB1B2D" w14:textId="77777777" w:rsidR="00AD4052" w:rsidRPr="002511D8" w:rsidRDefault="00AD4052" w:rsidP="000C66B3">
          <w:pPr>
            <w:pStyle w:val="FooterText"/>
            <w:jc w:val="center"/>
          </w:pPr>
        </w:p>
      </w:tc>
      <w:tc>
        <w:tcPr>
          <w:tcW w:w="589" w:type="pct"/>
          <w:shd w:val="clear" w:color="auto" w:fill="auto"/>
          <w:tcMar>
            <w:top w:w="0" w:type="dxa"/>
          </w:tcMar>
        </w:tcPr>
        <w:p w14:paraId="2B4E73B4" w14:textId="77777777" w:rsidR="00AD4052" w:rsidRDefault="00AD4052" w:rsidP="000C66B3">
          <w:pPr>
            <w:pStyle w:val="FooterText"/>
            <w:jc w:val="right"/>
          </w:pPr>
          <w:r>
            <w:fldChar w:fldCharType="begin"/>
          </w:r>
          <w:r>
            <w:instrText xml:space="preserve"> PAGE  \* MERGEFORMAT </w:instrText>
          </w:r>
          <w:r>
            <w:fldChar w:fldCharType="separate"/>
          </w:r>
          <w:r>
            <w:t>282</w:t>
          </w:r>
          <w:r>
            <w:fldChar w:fldCharType="end"/>
          </w:r>
        </w:p>
        <w:p w14:paraId="7BB97882" w14:textId="77777777" w:rsidR="00AD4052" w:rsidRPr="00B310DC" w:rsidRDefault="00AD4052" w:rsidP="000C66B3">
          <w:pPr>
            <w:pStyle w:val="FooterText"/>
            <w:jc w:val="right"/>
          </w:pPr>
        </w:p>
      </w:tc>
    </w:tr>
    <w:tr w:rsidR="00AD4052" w:rsidRPr="00D94637" w14:paraId="58704280" w14:textId="77777777" w:rsidTr="00F46D42">
      <w:trPr>
        <w:jc w:val="center"/>
      </w:trPr>
      <w:tc>
        <w:tcPr>
          <w:tcW w:w="1774" w:type="pct"/>
          <w:shd w:val="clear" w:color="auto" w:fill="auto"/>
        </w:tcPr>
        <w:p w14:paraId="62AB1166" w14:textId="77777777" w:rsidR="00AD4052" w:rsidRPr="00AD7BF2" w:rsidRDefault="00AD4052" w:rsidP="000C66B3">
          <w:pPr>
            <w:pStyle w:val="FooterText"/>
            <w:spacing w:before="40"/>
          </w:pPr>
        </w:p>
      </w:tc>
      <w:tc>
        <w:tcPr>
          <w:tcW w:w="1455" w:type="pct"/>
          <w:gridSpan w:val="3"/>
          <w:shd w:val="clear" w:color="auto" w:fill="auto"/>
        </w:tcPr>
        <w:p w14:paraId="57C75B82" w14:textId="77777777" w:rsidR="00AD4052" w:rsidRPr="00AD7BF2" w:rsidRDefault="00AD4052" w:rsidP="000C66B3">
          <w:pPr>
            <w:pStyle w:val="FooterText"/>
            <w:spacing w:before="40"/>
            <w:jc w:val="center"/>
          </w:pPr>
        </w:p>
      </w:tc>
      <w:tc>
        <w:tcPr>
          <w:tcW w:w="742" w:type="pct"/>
          <w:shd w:val="clear" w:color="auto" w:fill="auto"/>
        </w:tcPr>
        <w:p w14:paraId="160E61D2" w14:textId="77777777" w:rsidR="00AD4052" w:rsidRPr="00D94637" w:rsidRDefault="00AD4052" w:rsidP="000C66B3">
          <w:pPr>
            <w:pStyle w:val="FooterText"/>
            <w:jc w:val="center"/>
            <w:rPr>
              <w:b/>
              <w:position w:val="-4"/>
              <w:sz w:val="36"/>
            </w:rPr>
          </w:pPr>
        </w:p>
      </w:tc>
      <w:tc>
        <w:tcPr>
          <w:tcW w:w="1029" w:type="pct"/>
          <w:gridSpan w:val="2"/>
          <w:shd w:val="clear" w:color="auto" w:fill="auto"/>
        </w:tcPr>
        <w:p w14:paraId="40CB75BA" w14:textId="77777777" w:rsidR="00AD4052" w:rsidRPr="00695BAF" w:rsidRDefault="00AD4052" w:rsidP="000C66B3">
          <w:pPr>
            <w:pStyle w:val="FooterText"/>
            <w:jc w:val="right"/>
            <w:rPr>
              <w:caps/>
              <w:spacing w:val="-20"/>
              <w:sz w:val="16"/>
            </w:rPr>
          </w:pPr>
        </w:p>
      </w:tc>
    </w:tr>
  </w:tbl>
  <w:p w14:paraId="65B411D9" w14:textId="77777777" w:rsidR="00AD4052" w:rsidRPr="00271D33" w:rsidRDefault="00AD4052" w:rsidP="00271D33">
    <w:pPr>
      <w:pStyle w:val="Footer"/>
    </w:pPr>
  </w:p>
</w:ftr>
</file>

<file path=word/footer1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69AD" w14:textId="77777777" w:rsidR="00AD4052" w:rsidRPr="00271D33" w:rsidRDefault="00AD4052" w:rsidP="00271D33">
    <w:pPr>
      <w:pStyle w:val="Footer"/>
    </w:pPr>
  </w:p>
</w:ftr>
</file>

<file path=word/footer1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31AB" w14:textId="77777777" w:rsidR="00A84778" w:rsidRPr="00271D33" w:rsidRDefault="00A84778" w:rsidP="00271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E48F" w14:textId="434008E6" w:rsidR="00247639" w:rsidRPr="00247639" w:rsidRDefault="00247639" w:rsidP="00247639">
    <w:pPr>
      <w:pStyle w:val="FooterCoverPage"/>
      <w:rPr>
        <w:rFonts w:ascii="Arial" w:hAnsi="Arial" w:cs="Arial"/>
        <w:b/>
        <w:sz w:val="48"/>
      </w:rPr>
    </w:pPr>
    <w:r w:rsidRPr="00247639">
      <w:rPr>
        <w:rFonts w:ascii="Arial" w:hAnsi="Arial" w:cs="Arial"/>
        <w:b/>
        <w:sz w:val="48"/>
      </w:rPr>
      <w:t>ET</w:t>
    </w:r>
    <w:r w:rsidRPr="00247639">
      <w:rPr>
        <w:rFonts w:ascii="Arial" w:hAnsi="Arial" w:cs="Arial"/>
        <w:b/>
        <w:sz w:val="48"/>
      </w:rPr>
      <w:tab/>
    </w:r>
    <w:r w:rsidRPr="00247639">
      <w:rPr>
        <w:rFonts w:ascii="Arial" w:hAnsi="Arial" w:cs="Arial"/>
        <w:b/>
        <w:sz w:val="48"/>
      </w:rPr>
      <w:tab/>
    </w:r>
    <w:r w:rsidRPr="00247639">
      <w:tab/>
    </w:r>
    <w:r w:rsidRPr="00247639">
      <w:rPr>
        <w:rFonts w:ascii="Arial" w:hAnsi="Arial" w:cs="Arial"/>
        <w:b/>
        <w:sz w:val="48"/>
      </w:rPr>
      <w:t>ET</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75E07003" w14:textId="77777777" w:rsidTr="00F46D42">
      <w:trPr>
        <w:jc w:val="center"/>
      </w:trPr>
      <w:tc>
        <w:tcPr>
          <w:tcW w:w="2500" w:type="pct"/>
          <w:gridSpan w:val="2"/>
          <w:shd w:val="clear" w:color="auto" w:fill="auto"/>
          <w:tcMar>
            <w:top w:w="0" w:type="dxa"/>
          </w:tcMar>
        </w:tcPr>
        <w:p w14:paraId="045E5391" w14:textId="4FC20B44" w:rsidR="00A84778" w:rsidRPr="00AD7BF2" w:rsidRDefault="00A84778" w:rsidP="00AF58D0">
          <w:pPr>
            <w:pStyle w:val="FooterText"/>
          </w:pPr>
        </w:p>
      </w:tc>
      <w:tc>
        <w:tcPr>
          <w:tcW w:w="625" w:type="pct"/>
          <w:shd w:val="clear" w:color="auto" w:fill="auto"/>
          <w:tcMar>
            <w:top w:w="0" w:type="dxa"/>
          </w:tcMar>
        </w:tcPr>
        <w:p w14:paraId="31B89C0C" w14:textId="77777777" w:rsidR="00A84778" w:rsidRPr="00AD7BF2" w:rsidRDefault="00A84778" w:rsidP="00AF58D0">
          <w:pPr>
            <w:pStyle w:val="FooterText"/>
            <w:jc w:val="center"/>
          </w:pPr>
        </w:p>
      </w:tc>
      <w:tc>
        <w:tcPr>
          <w:tcW w:w="1286" w:type="pct"/>
          <w:gridSpan w:val="3"/>
          <w:shd w:val="clear" w:color="auto" w:fill="auto"/>
          <w:tcMar>
            <w:top w:w="0" w:type="dxa"/>
          </w:tcMar>
        </w:tcPr>
        <w:p w14:paraId="12473EF2" w14:textId="2767AF6F" w:rsidR="00A84778" w:rsidRPr="002511D8" w:rsidRDefault="00A84778" w:rsidP="00AF58D0">
          <w:pPr>
            <w:pStyle w:val="FooterText"/>
            <w:jc w:val="center"/>
          </w:pPr>
        </w:p>
      </w:tc>
      <w:tc>
        <w:tcPr>
          <w:tcW w:w="589" w:type="pct"/>
          <w:shd w:val="clear" w:color="auto" w:fill="auto"/>
          <w:tcMar>
            <w:top w:w="0" w:type="dxa"/>
          </w:tcMar>
        </w:tcPr>
        <w:p w14:paraId="5246816F" w14:textId="67C129EC" w:rsidR="00A84778" w:rsidRPr="00B310DC" w:rsidRDefault="00413ACE" w:rsidP="00AF58D0">
          <w:pPr>
            <w:pStyle w:val="FooterText"/>
            <w:jc w:val="right"/>
          </w:pPr>
          <w:r>
            <w:fldChar w:fldCharType="begin"/>
          </w:r>
          <w:r>
            <w:instrText xml:space="preserve"> PAGE  \* MERGEFORMAT </w:instrText>
          </w:r>
          <w:r>
            <w:fldChar w:fldCharType="separate"/>
          </w:r>
          <w:r w:rsidR="006E0EA2">
            <w:t>27</w:t>
          </w:r>
          <w:r>
            <w:fldChar w:fldCharType="end"/>
          </w:r>
        </w:p>
      </w:tc>
    </w:tr>
    <w:tr w:rsidR="00A84778" w:rsidRPr="00D94637" w14:paraId="49375F8E" w14:textId="77777777" w:rsidTr="00F46D42">
      <w:trPr>
        <w:jc w:val="center"/>
      </w:trPr>
      <w:tc>
        <w:tcPr>
          <w:tcW w:w="1774" w:type="pct"/>
          <w:shd w:val="clear" w:color="auto" w:fill="auto"/>
        </w:tcPr>
        <w:p w14:paraId="3E362A7C" w14:textId="77777777" w:rsidR="00A84778" w:rsidRPr="00AD7BF2" w:rsidRDefault="00A84778" w:rsidP="00AF58D0">
          <w:pPr>
            <w:pStyle w:val="FooterText"/>
            <w:spacing w:before="40"/>
          </w:pPr>
        </w:p>
      </w:tc>
      <w:tc>
        <w:tcPr>
          <w:tcW w:w="1455" w:type="pct"/>
          <w:gridSpan w:val="3"/>
          <w:shd w:val="clear" w:color="auto" w:fill="auto"/>
        </w:tcPr>
        <w:p w14:paraId="3F08B994" w14:textId="711756BE" w:rsidR="00A84778" w:rsidRPr="00AD7BF2" w:rsidRDefault="00A84778" w:rsidP="00AF58D0">
          <w:pPr>
            <w:pStyle w:val="FooterText"/>
            <w:spacing w:before="40"/>
            <w:jc w:val="center"/>
          </w:pPr>
        </w:p>
      </w:tc>
      <w:tc>
        <w:tcPr>
          <w:tcW w:w="742" w:type="pct"/>
          <w:shd w:val="clear" w:color="auto" w:fill="auto"/>
        </w:tcPr>
        <w:p w14:paraId="4CC43722" w14:textId="77777777" w:rsidR="00A84778" w:rsidRPr="00D94637" w:rsidRDefault="00A84778" w:rsidP="00AF58D0">
          <w:pPr>
            <w:pStyle w:val="FooterText"/>
            <w:jc w:val="center"/>
            <w:rPr>
              <w:b/>
              <w:position w:val="-4"/>
              <w:sz w:val="36"/>
            </w:rPr>
          </w:pPr>
        </w:p>
      </w:tc>
      <w:tc>
        <w:tcPr>
          <w:tcW w:w="1029" w:type="pct"/>
          <w:gridSpan w:val="2"/>
          <w:shd w:val="clear" w:color="auto" w:fill="auto"/>
        </w:tcPr>
        <w:p w14:paraId="1E84016C" w14:textId="726D95C3" w:rsidR="00A84778" w:rsidRPr="00695BAF" w:rsidRDefault="00A84778" w:rsidP="00AF58D0">
          <w:pPr>
            <w:pStyle w:val="FooterText"/>
            <w:jc w:val="right"/>
            <w:rPr>
              <w:caps/>
              <w:spacing w:val="-20"/>
              <w:sz w:val="16"/>
            </w:rPr>
          </w:pPr>
        </w:p>
      </w:tc>
    </w:tr>
  </w:tbl>
  <w:p w14:paraId="6C59A3D3" w14:textId="77777777" w:rsidR="00A84778" w:rsidRPr="00271D33" w:rsidRDefault="00A84778" w:rsidP="00271D33">
    <w:pPr>
      <w:pStyle w:val="Footer"/>
    </w:pPr>
  </w:p>
</w:ftr>
</file>

<file path=word/footer2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73BA0B11" w14:textId="77777777" w:rsidTr="00F46D42">
      <w:trPr>
        <w:jc w:val="center"/>
      </w:trPr>
      <w:tc>
        <w:tcPr>
          <w:tcW w:w="2500" w:type="pct"/>
          <w:gridSpan w:val="2"/>
          <w:shd w:val="clear" w:color="auto" w:fill="auto"/>
          <w:tcMar>
            <w:top w:w="0" w:type="dxa"/>
          </w:tcMar>
        </w:tcPr>
        <w:p w14:paraId="74B2525E" w14:textId="51DD1292" w:rsidR="00A84778" w:rsidRPr="00AD7BF2" w:rsidRDefault="00A84778" w:rsidP="000C66B3">
          <w:pPr>
            <w:pStyle w:val="FooterText"/>
          </w:pPr>
        </w:p>
      </w:tc>
      <w:tc>
        <w:tcPr>
          <w:tcW w:w="625" w:type="pct"/>
          <w:shd w:val="clear" w:color="auto" w:fill="auto"/>
          <w:tcMar>
            <w:top w:w="0" w:type="dxa"/>
          </w:tcMar>
        </w:tcPr>
        <w:p w14:paraId="780EDE1A" w14:textId="77777777" w:rsidR="00A84778" w:rsidRPr="00AD7BF2" w:rsidRDefault="00A84778" w:rsidP="000C66B3">
          <w:pPr>
            <w:pStyle w:val="FooterText"/>
            <w:jc w:val="center"/>
          </w:pPr>
        </w:p>
      </w:tc>
      <w:tc>
        <w:tcPr>
          <w:tcW w:w="1286" w:type="pct"/>
          <w:gridSpan w:val="3"/>
          <w:shd w:val="clear" w:color="auto" w:fill="auto"/>
          <w:tcMar>
            <w:top w:w="0" w:type="dxa"/>
          </w:tcMar>
        </w:tcPr>
        <w:p w14:paraId="6D6B7252" w14:textId="102AB7E2" w:rsidR="00A84778" w:rsidRPr="002511D8" w:rsidRDefault="00A84778" w:rsidP="000C66B3">
          <w:pPr>
            <w:pStyle w:val="FooterText"/>
            <w:jc w:val="center"/>
          </w:pPr>
        </w:p>
      </w:tc>
      <w:tc>
        <w:tcPr>
          <w:tcW w:w="589" w:type="pct"/>
          <w:shd w:val="clear" w:color="auto" w:fill="auto"/>
          <w:tcMar>
            <w:top w:w="0" w:type="dxa"/>
          </w:tcMar>
        </w:tcPr>
        <w:p w14:paraId="4E0D9CC3" w14:textId="77777777" w:rsidR="005B6253" w:rsidRDefault="00413ACE" w:rsidP="000C66B3">
          <w:pPr>
            <w:pStyle w:val="FooterText"/>
            <w:jc w:val="right"/>
          </w:pPr>
          <w:r>
            <w:fldChar w:fldCharType="begin"/>
          </w:r>
          <w:r>
            <w:instrText xml:space="preserve"> PAGE  \* MERGEFORMAT </w:instrText>
          </w:r>
          <w:r>
            <w:fldChar w:fldCharType="separate"/>
          </w:r>
          <w:r w:rsidR="006E0EA2">
            <w:t>287</w:t>
          </w:r>
          <w:r>
            <w:fldChar w:fldCharType="end"/>
          </w:r>
        </w:p>
        <w:p w14:paraId="7B43D11C" w14:textId="77777777" w:rsidR="00A84778" w:rsidRPr="00B310DC" w:rsidRDefault="00A84778" w:rsidP="000C66B3">
          <w:pPr>
            <w:pStyle w:val="FooterText"/>
            <w:jc w:val="right"/>
          </w:pPr>
        </w:p>
      </w:tc>
    </w:tr>
    <w:tr w:rsidR="00A84778" w:rsidRPr="00D94637" w14:paraId="4200FD70" w14:textId="77777777" w:rsidTr="00F46D42">
      <w:trPr>
        <w:jc w:val="center"/>
      </w:trPr>
      <w:tc>
        <w:tcPr>
          <w:tcW w:w="1774" w:type="pct"/>
          <w:shd w:val="clear" w:color="auto" w:fill="auto"/>
        </w:tcPr>
        <w:p w14:paraId="43477A98" w14:textId="77777777" w:rsidR="00A84778" w:rsidRPr="00AD7BF2" w:rsidRDefault="00A84778" w:rsidP="000C66B3">
          <w:pPr>
            <w:pStyle w:val="FooterText"/>
            <w:spacing w:before="40"/>
          </w:pPr>
        </w:p>
      </w:tc>
      <w:tc>
        <w:tcPr>
          <w:tcW w:w="1455" w:type="pct"/>
          <w:gridSpan w:val="3"/>
          <w:shd w:val="clear" w:color="auto" w:fill="auto"/>
        </w:tcPr>
        <w:p w14:paraId="2836F6F5" w14:textId="72B12022" w:rsidR="00A84778" w:rsidRPr="00AD7BF2" w:rsidRDefault="00A84778" w:rsidP="000C66B3">
          <w:pPr>
            <w:pStyle w:val="FooterText"/>
            <w:spacing w:before="40"/>
            <w:jc w:val="center"/>
          </w:pPr>
        </w:p>
      </w:tc>
      <w:tc>
        <w:tcPr>
          <w:tcW w:w="742" w:type="pct"/>
          <w:shd w:val="clear" w:color="auto" w:fill="auto"/>
        </w:tcPr>
        <w:p w14:paraId="5FACD165" w14:textId="77777777" w:rsidR="00A84778" w:rsidRPr="00D94637" w:rsidRDefault="00A84778" w:rsidP="000C66B3">
          <w:pPr>
            <w:pStyle w:val="FooterText"/>
            <w:jc w:val="center"/>
            <w:rPr>
              <w:b/>
              <w:position w:val="-4"/>
              <w:sz w:val="36"/>
            </w:rPr>
          </w:pPr>
        </w:p>
      </w:tc>
      <w:tc>
        <w:tcPr>
          <w:tcW w:w="1029" w:type="pct"/>
          <w:gridSpan w:val="2"/>
          <w:shd w:val="clear" w:color="auto" w:fill="auto"/>
        </w:tcPr>
        <w:p w14:paraId="03E9F8F8" w14:textId="5A150016" w:rsidR="00A84778" w:rsidRPr="00695BAF" w:rsidRDefault="00A84778" w:rsidP="000C66B3">
          <w:pPr>
            <w:pStyle w:val="FooterText"/>
            <w:jc w:val="right"/>
            <w:rPr>
              <w:caps/>
              <w:spacing w:val="-20"/>
              <w:sz w:val="16"/>
            </w:rPr>
          </w:pPr>
        </w:p>
      </w:tc>
    </w:tr>
  </w:tbl>
  <w:p w14:paraId="3B078622" w14:textId="77777777" w:rsidR="00A84778" w:rsidRPr="00271D33" w:rsidRDefault="00A84778" w:rsidP="00271D33">
    <w:pPr>
      <w:pStyle w:val="Footer"/>
    </w:pPr>
  </w:p>
</w:ftr>
</file>

<file path=word/footer2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F658" w14:textId="77777777" w:rsidR="00A84778" w:rsidRPr="00271D33" w:rsidRDefault="00A84778" w:rsidP="00271D33">
    <w:pPr>
      <w:pStyle w:val="Footer"/>
    </w:pPr>
  </w:p>
</w:ftr>
</file>

<file path=word/footer2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2171" w14:textId="77777777" w:rsidR="00F72C9B" w:rsidRPr="00271D33" w:rsidRDefault="00F72C9B" w:rsidP="00271D33">
    <w:pPr>
      <w:pStyle w:val="Footer"/>
    </w:pPr>
  </w:p>
</w:ftr>
</file>

<file path=word/footer2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F72C9B" w:rsidRPr="00B310DC" w14:paraId="30335031" w14:textId="77777777" w:rsidTr="00F46D42">
      <w:trPr>
        <w:jc w:val="center"/>
      </w:trPr>
      <w:tc>
        <w:tcPr>
          <w:tcW w:w="2500" w:type="pct"/>
          <w:gridSpan w:val="2"/>
          <w:shd w:val="clear" w:color="auto" w:fill="auto"/>
          <w:tcMar>
            <w:top w:w="0" w:type="dxa"/>
          </w:tcMar>
        </w:tcPr>
        <w:p w14:paraId="0CF9C559" w14:textId="349E6D0C" w:rsidR="00F72C9B" w:rsidRPr="00AD7BF2" w:rsidRDefault="00F72C9B" w:rsidP="000C66B3">
          <w:pPr>
            <w:pStyle w:val="FooterText"/>
          </w:pPr>
        </w:p>
      </w:tc>
      <w:tc>
        <w:tcPr>
          <w:tcW w:w="625" w:type="pct"/>
          <w:shd w:val="clear" w:color="auto" w:fill="auto"/>
          <w:tcMar>
            <w:top w:w="0" w:type="dxa"/>
          </w:tcMar>
        </w:tcPr>
        <w:p w14:paraId="65149DF4" w14:textId="77777777" w:rsidR="00F72C9B" w:rsidRPr="00AD7BF2" w:rsidRDefault="00F72C9B" w:rsidP="000C66B3">
          <w:pPr>
            <w:pStyle w:val="FooterText"/>
            <w:jc w:val="center"/>
          </w:pPr>
        </w:p>
      </w:tc>
      <w:tc>
        <w:tcPr>
          <w:tcW w:w="1286" w:type="pct"/>
          <w:gridSpan w:val="3"/>
          <w:shd w:val="clear" w:color="auto" w:fill="auto"/>
          <w:tcMar>
            <w:top w:w="0" w:type="dxa"/>
          </w:tcMar>
        </w:tcPr>
        <w:p w14:paraId="62FC8370" w14:textId="77272AB6" w:rsidR="00F72C9B" w:rsidRPr="002511D8" w:rsidRDefault="00F72C9B" w:rsidP="000C66B3">
          <w:pPr>
            <w:pStyle w:val="FooterText"/>
            <w:jc w:val="center"/>
          </w:pPr>
        </w:p>
      </w:tc>
      <w:tc>
        <w:tcPr>
          <w:tcW w:w="589" w:type="pct"/>
          <w:shd w:val="clear" w:color="auto" w:fill="auto"/>
          <w:tcMar>
            <w:top w:w="0" w:type="dxa"/>
          </w:tcMar>
        </w:tcPr>
        <w:p w14:paraId="0C4B4BD0" w14:textId="77777777" w:rsidR="00F72C9B" w:rsidRDefault="00F72C9B" w:rsidP="000C66B3">
          <w:pPr>
            <w:pStyle w:val="FooterText"/>
            <w:jc w:val="right"/>
          </w:pPr>
          <w:r>
            <w:fldChar w:fldCharType="begin"/>
          </w:r>
          <w:r>
            <w:instrText xml:space="preserve"> PAGE  \* MERGEFORMAT </w:instrText>
          </w:r>
          <w:r>
            <w:fldChar w:fldCharType="separate"/>
          </w:r>
          <w:r>
            <w:t>287</w:t>
          </w:r>
          <w:r>
            <w:fldChar w:fldCharType="end"/>
          </w:r>
        </w:p>
        <w:p w14:paraId="3FA82229" w14:textId="77777777" w:rsidR="00F72C9B" w:rsidRPr="00B310DC" w:rsidRDefault="00F72C9B" w:rsidP="000C66B3">
          <w:pPr>
            <w:pStyle w:val="FooterText"/>
            <w:jc w:val="right"/>
          </w:pPr>
        </w:p>
      </w:tc>
    </w:tr>
    <w:tr w:rsidR="00F72C9B" w:rsidRPr="00D94637" w14:paraId="004D5FB9" w14:textId="77777777" w:rsidTr="00F46D42">
      <w:trPr>
        <w:jc w:val="center"/>
      </w:trPr>
      <w:tc>
        <w:tcPr>
          <w:tcW w:w="1774" w:type="pct"/>
          <w:shd w:val="clear" w:color="auto" w:fill="auto"/>
        </w:tcPr>
        <w:p w14:paraId="3B9844B6" w14:textId="77777777" w:rsidR="00F72C9B" w:rsidRPr="00AD7BF2" w:rsidRDefault="00F72C9B" w:rsidP="000C66B3">
          <w:pPr>
            <w:pStyle w:val="FooterText"/>
            <w:spacing w:before="40"/>
          </w:pPr>
        </w:p>
      </w:tc>
      <w:tc>
        <w:tcPr>
          <w:tcW w:w="1455" w:type="pct"/>
          <w:gridSpan w:val="3"/>
          <w:shd w:val="clear" w:color="auto" w:fill="auto"/>
        </w:tcPr>
        <w:p w14:paraId="5B90DCF2" w14:textId="0B19C855" w:rsidR="00F72C9B" w:rsidRPr="00AD7BF2" w:rsidRDefault="00F72C9B" w:rsidP="000C66B3">
          <w:pPr>
            <w:pStyle w:val="FooterText"/>
            <w:spacing w:before="40"/>
            <w:jc w:val="center"/>
          </w:pPr>
        </w:p>
      </w:tc>
      <w:tc>
        <w:tcPr>
          <w:tcW w:w="742" w:type="pct"/>
          <w:shd w:val="clear" w:color="auto" w:fill="auto"/>
        </w:tcPr>
        <w:p w14:paraId="5F792028" w14:textId="77777777" w:rsidR="00F72C9B" w:rsidRPr="00D94637" w:rsidRDefault="00F72C9B" w:rsidP="000C66B3">
          <w:pPr>
            <w:pStyle w:val="FooterText"/>
            <w:jc w:val="center"/>
            <w:rPr>
              <w:b/>
              <w:position w:val="-4"/>
              <w:sz w:val="36"/>
            </w:rPr>
          </w:pPr>
        </w:p>
      </w:tc>
      <w:tc>
        <w:tcPr>
          <w:tcW w:w="1029" w:type="pct"/>
          <w:gridSpan w:val="2"/>
          <w:shd w:val="clear" w:color="auto" w:fill="auto"/>
        </w:tcPr>
        <w:p w14:paraId="44D37C1E" w14:textId="291E5118" w:rsidR="00F72C9B" w:rsidRPr="00695BAF" w:rsidRDefault="00F72C9B" w:rsidP="000C66B3">
          <w:pPr>
            <w:pStyle w:val="FooterText"/>
            <w:jc w:val="right"/>
            <w:rPr>
              <w:caps/>
              <w:spacing w:val="-20"/>
              <w:sz w:val="16"/>
            </w:rPr>
          </w:pPr>
        </w:p>
      </w:tc>
    </w:tr>
  </w:tbl>
  <w:p w14:paraId="335DE0FF" w14:textId="77777777" w:rsidR="00F72C9B" w:rsidRPr="00271D33" w:rsidRDefault="00F72C9B" w:rsidP="00271D33">
    <w:pPr>
      <w:pStyle w:val="Footer"/>
    </w:pPr>
  </w:p>
</w:ftr>
</file>

<file path=word/footer2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06A0" w14:textId="77777777" w:rsidR="00F72C9B" w:rsidRPr="00271D33" w:rsidRDefault="00F72C9B" w:rsidP="00271D33">
    <w:pPr>
      <w:pStyle w:val="Footer"/>
    </w:pPr>
  </w:p>
</w:ftr>
</file>

<file path=word/footer2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A701" w14:textId="77777777" w:rsidR="00A84778" w:rsidRPr="00271D33" w:rsidRDefault="00A84778" w:rsidP="00271D33">
    <w:pPr>
      <w:pStyle w:val="Footer"/>
    </w:pPr>
  </w:p>
</w:ftr>
</file>

<file path=word/footer2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9"/>
      <w:gridCol w:w="1134"/>
      <w:gridCol w:w="187"/>
      <w:gridCol w:w="1346"/>
      <w:gridCol w:w="800"/>
      <w:gridCol w:w="1067"/>
    </w:tblGrid>
    <w:tr w:rsidR="00A84778" w:rsidRPr="00B310DC" w14:paraId="31E70EBB" w14:textId="77777777" w:rsidTr="00037494">
      <w:trPr>
        <w:jc w:val="center"/>
      </w:trPr>
      <w:tc>
        <w:tcPr>
          <w:tcW w:w="2501" w:type="pct"/>
          <w:gridSpan w:val="2"/>
          <w:shd w:val="clear" w:color="auto" w:fill="auto"/>
          <w:tcMar>
            <w:top w:w="0" w:type="dxa"/>
          </w:tcMar>
        </w:tcPr>
        <w:p w14:paraId="4A83858D" w14:textId="5874AD88" w:rsidR="00A84778" w:rsidRPr="00AD7BF2" w:rsidRDefault="00A84778" w:rsidP="000C66B3">
          <w:pPr>
            <w:pStyle w:val="FooterText"/>
          </w:pPr>
        </w:p>
      </w:tc>
      <w:tc>
        <w:tcPr>
          <w:tcW w:w="625" w:type="pct"/>
          <w:shd w:val="clear" w:color="auto" w:fill="auto"/>
          <w:tcMar>
            <w:top w:w="0" w:type="dxa"/>
          </w:tcMar>
        </w:tcPr>
        <w:p w14:paraId="32A75761" w14:textId="77777777" w:rsidR="00A84778" w:rsidRPr="00AD7BF2" w:rsidRDefault="00A84778" w:rsidP="000C66B3">
          <w:pPr>
            <w:pStyle w:val="FooterText"/>
            <w:jc w:val="center"/>
          </w:pPr>
        </w:p>
      </w:tc>
      <w:tc>
        <w:tcPr>
          <w:tcW w:w="1286" w:type="pct"/>
          <w:gridSpan w:val="3"/>
          <w:shd w:val="clear" w:color="auto" w:fill="auto"/>
          <w:tcMar>
            <w:top w:w="0" w:type="dxa"/>
          </w:tcMar>
        </w:tcPr>
        <w:p w14:paraId="58CFF6F5" w14:textId="29205549" w:rsidR="00A84778" w:rsidRPr="002511D8" w:rsidRDefault="00A84778" w:rsidP="000C66B3">
          <w:pPr>
            <w:pStyle w:val="FooterText"/>
            <w:jc w:val="center"/>
          </w:pPr>
        </w:p>
      </w:tc>
      <w:tc>
        <w:tcPr>
          <w:tcW w:w="589" w:type="pct"/>
          <w:shd w:val="clear" w:color="auto" w:fill="auto"/>
          <w:tcMar>
            <w:top w:w="0" w:type="dxa"/>
          </w:tcMar>
        </w:tcPr>
        <w:p w14:paraId="3D420339" w14:textId="77777777" w:rsidR="005B6253" w:rsidRDefault="00413ACE" w:rsidP="000C66B3">
          <w:pPr>
            <w:pStyle w:val="FooterText"/>
            <w:jc w:val="right"/>
          </w:pPr>
          <w:r>
            <w:fldChar w:fldCharType="begin"/>
          </w:r>
          <w:r>
            <w:instrText xml:space="preserve"> PAGE  \* MERGEFORMAT </w:instrText>
          </w:r>
          <w:r>
            <w:fldChar w:fldCharType="separate"/>
          </w:r>
          <w:r w:rsidR="006E0EA2">
            <w:t>297</w:t>
          </w:r>
          <w:r>
            <w:fldChar w:fldCharType="end"/>
          </w:r>
        </w:p>
        <w:p w14:paraId="288282F7" w14:textId="77777777" w:rsidR="00A84778" w:rsidRPr="00B310DC" w:rsidRDefault="00A84778" w:rsidP="000C66B3">
          <w:pPr>
            <w:pStyle w:val="FooterText"/>
            <w:jc w:val="right"/>
          </w:pPr>
        </w:p>
      </w:tc>
    </w:tr>
    <w:tr w:rsidR="00A84778" w:rsidRPr="00D94637" w14:paraId="7DB52835" w14:textId="77777777" w:rsidTr="00F46D42">
      <w:trPr>
        <w:jc w:val="center"/>
      </w:trPr>
      <w:tc>
        <w:tcPr>
          <w:tcW w:w="1774" w:type="pct"/>
          <w:shd w:val="clear" w:color="auto" w:fill="auto"/>
        </w:tcPr>
        <w:p w14:paraId="082CDCFA" w14:textId="77777777" w:rsidR="00A84778" w:rsidRPr="00AD7BF2" w:rsidRDefault="00A84778" w:rsidP="000C66B3">
          <w:pPr>
            <w:pStyle w:val="FooterText"/>
            <w:spacing w:before="40"/>
          </w:pPr>
        </w:p>
      </w:tc>
      <w:tc>
        <w:tcPr>
          <w:tcW w:w="1455" w:type="pct"/>
          <w:gridSpan w:val="3"/>
          <w:shd w:val="clear" w:color="auto" w:fill="auto"/>
        </w:tcPr>
        <w:p w14:paraId="3C260969" w14:textId="34046EED" w:rsidR="00A84778" w:rsidRPr="00AD7BF2" w:rsidRDefault="00A84778" w:rsidP="000C66B3">
          <w:pPr>
            <w:pStyle w:val="FooterText"/>
            <w:spacing w:before="40"/>
            <w:jc w:val="center"/>
          </w:pPr>
        </w:p>
      </w:tc>
      <w:tc>
        <w:tcPr>
          <w:tcW w:w="742" w:type="pct"/>
          <w:shd w:val="clear" w:color="auto" w:fill="auto"/>
        </w:tcPr>
        <w:p w14:paraId="1A43C987" w14:textId="77777777" w:rsidR="00A84778" w:rsidRPr="00D94637" w:rsidRDefault="00A84778" w:rsidP="000C66B3">
          <w:pPr>
            <w:pStyle w:val="FooterText"/>
            <w:jc w:val="center"/>
            <w:rPr>
              <w:b/>
              <w:position w:val="-4"/>
              <w:sz w:val="36"/>
            </w:rPr>
          </w:pPr>
        </w:p>
      </w:tc>
      <w:tc>
        <w:tcPr>
          <w:tcW w:w="1029" w:type="pct"/>
          <w:gridSpan w:val="2"/>
          <w:shd w:val="clear" w:color="auto" w:fill="auto"/>
        </w:tcPr>
        <w:p w14:paraId="3597055A" w14:textId="3CCA329C" w:rsidR="00A84778" w:rsidRPr="00695BAF" w:rsidRDefault="00A84778" w:rsidP="000C66B3">
          <w:pPr>
            <w:pStyle w:val="FooterText"/>
            <w:jc w:val="right"/>
            <w:rPr>
              <w:caps/>
              <w:spacing w:val="-20"/>
              <w:sz w:val="16"/>
            </w:rPr>
          </w:pPr>
        </w:p>
      </w:tc>
    </w:tr>
  </w:tbl>
  <w:p w14:paraId="29D46347" w14:textId="77777777" w:rsidR="00A84778" w:rsidRPr="00271D33" w:rsidRDefault="00A84778" w:rsidP="00271D33">
    <w:pPr>
      <w:pStyle w:val="Footer"/>
    </w:pPr>
  </w:p>
</w:ftr>
</file>

<file path=word/footer2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D545" w14:textId="77777777" w:rsidR="00A84778" w:rsidRPr="00271D33" w:rsidRDefault="00A84778" w:rsidP="00271D33">
    <w:pPr>
      <w:pStyle w:val="Footer"/>
    </w:pPr>
  </w:p>
</w:ftr>
</file>

<file path=word/footer2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AA656" w14:textId="77777777" w:rsidR="00A84778" w:rsidRPr="00271D33" w:rsidRDefault="00A84778" w:rsidP="00271D33">
    <w:pPr>
      <w:pStyle w:val="Footer"/>
    </w:pPr>
  </w:p>
</w:ftr>
</file>

<file path=word/footer2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3"/>
      <w:gridCol w:w="1400"/>
      <w:gridCol w:w="1205"/>
      <w:gridCol w:w="200"/>
      <w:gridCol w:w="1430"/>
      <w:gridCol w:w="846"/>
      <w:gridCol w:w="1135"/>
    </w:tblGrid>
    <w:tr w:rsidR="00A84778" w:rsidRPr="00B310DC" w14:paraId="483B2DD6" w14:textId="77777777" w:rsidTr="00037494">
      <w:trPr>
        <w:jc w:val="center"/>
      </w:trPr>
      <w:tc>
        <w:tcPr>
          <w:tcW w:w="2501" w:type="pct"/>
          <w:gridSpan w:val="2"/>
          <w:shd w:val="clear" w:color="auto" w:fill="auto"/>
          <w:tcMar>
            <w:top w:w="0" w:type="dxa"/>
          </w:tcMar>
        </w:tcPr>
        <w:p w14:paraId="4E3F17BF" w14:textId="423E9E82" w:rsidR="00A84778" w:rsidRPr="00AD7BF2" w:rsidRDefault="00A84778" w:rsidP="000C66B3">
          <w:pPr>
            <w:pStyle w:val="FooterText"/>
          </w:pPr>
        </w:p>
      </w:tc>
      <w:tc>
        <w:tcPr>
          <w:tcW w:w="625" w:type="pct"/>
          <w:shd w:val="clear" w:color="auto" w:fill="auto"/>
          <w:tcMar>
            <w:top w:w="0" w:type="dxa"/>
          </w:tcMar>
        </w:tcPr>
        <w:p w14:paraId="657EE1C9" w14:textId="77777777" w:rsidR="00A84778" w:rsidRPr="00AD7BF2" w:rsidRDefault="00A84778" w:rsidP="000C66B3">
          <w:pPr>
            <w:pStyle w:val="FooterText"/>
            <w:jc w:val="center"/>
          </w:pPr>
        </w:p>
      </w:tc>
      <w:tc>
        <w:tcPr>
          <w:tcW w:w="1285" w:type="pct"/>
          <w:gridSpan w:val="3"/>
          <w:shd w:val="clear" w:color="auto" w:fill="auto"/>
          <w:tcMar>
            <w:top w:w="0" w:type="dxa"/>
          </w:tcMar>
        </w:tcPr>
        <w:p w14:paraId="4FA8CF55" w14:textId="22CD8A48" w:rsidR="00A84778" w:rsidRPr="002511D8" w:rsidRDefault="00A84778" w:rsidP="000C66B3">
          <w:pPr>
            <w:pStyle w:val="FooterText"/>
            <w:jc w:val="center"/>
          </w:pPr>
        </w:p>
      </w:tc>
      <w:tc>
        <w:tcPr>
          <w:tcW w:w="589" w:type="pct"/>
          <w:shd w:val="clear" w:color="auto" w:fill="auto"/>
          <w:tcMar>
            <w:top w:w="0" w:type="dxa"/>
          </w:tcMar>
        </w:tcPr>
        <w:p w14:paraId="1A26DEA0" w14:textId="77777777" w:rsidR="005B6253" w:rsidRDefault="00413ACE" w:rsidP="000C66B3">
          <w:pPr>
            <w:pStyle w:val="FooterText"/>
            <w:jc w:val="right"/>
          </w:pPr>
          <w:r>
            <w:fldChar w:fldCharType="begin"/>
          </w:r>
          <w:r>
            <w:instrText xml:space="preserve"> PAGE  \* MERGEFORMAT </w:instrText>
          </w:r>
          <w:r>
            <w:fldChar w:fldCharType="separate"/>
          </w:r>
          <w:r w:rsidR="006E0EA2">
            <w:t>301</w:t>
          </w:r>
          <w:r>
            <w:fldChar w:fldCharType="end"/>
          </w:r>
        </w:p>
        <w:p w14:paraId="6037656F" w14:textId="77777777" w:rsidR="00A84778" w:rsidRPr="00B310DC" w:rsidRDefault="00A84778" w:rsidP="000C66B3">
          <w:pPr>
            <w:pStyle w:val="FooterText"/>
            <w:jc w:val="right"/>
          </w:pPr>
        </w:p>
      </w:tc>
    </w:tr>
    <w:tr w:rsidR="00A84778" w:rsidRPr="00D94637" w14:paraId="1973F70C" w14:textId="77777777" w:rsidTr="00037494">
      <w:trPr>
        <w:jc w:val="center"/>
      </w:trPr>
      <w:tc>
        <w:tcPr>
          <w:tcW w:w="1775" w:type="pct"/>
          <w:shd w:val="clear" w:color="auto" w:fill="auto"/>
        </w:tcPr>
        <w:p w14:paraId="215A54C5" w14:textId="77777777" w:rsidR="00A84778" w:rsidRPr="00AD7BF2" w:rsidRDefault="00A84778" w:rsidP="000C66B3">
          <w:pPr>
            <w:pStyle w:val="FooterText"/>
            <w:spacing w:before="40"/>
          </w:pPr>
        </w:p>
      </w:tc>
      <w:tc>
        <w:tcPr>
          <w:tcW w:w="1455" w:type="pct"/>
          <w:gridSpan w:val="3"/>
          <w:shd w:val="clear" w:color="auto" w:fill="auto"/>
        </w:tcPr>
        <w:p w14:paraId="2172BDDE" w14:textId="0F9002F1" w:rsidR="00A84778" w:rsidRPr="00AD7BF2" w:rsidRDefault="00A84778" w:rsidP="000C66B3">
          <w:pPr>
            <w:pStyle w:val="FooterText"/>
            <w:spacing w:before="40"/>
            <w:jc w:val="center"/>
          </w:pPr>
        </w:p>
      </w:tc>
      <w:tc>
        <w:tcPr>
          <w:tcW w:w="742" w:type="pct"/>
          <w:shd w:val="clear" w:color="auto" w:fill="auto"/>
        </w:tcPr>
        <w:p w14:paraId="49EABF3F" w14:textId="77777777" w:rsidR="00A84778" w:rsidRPr="00D94637" w:rsidRDefault="00A84778" w:rsidP="000C66B3">
          <w:pPr>
            <w:pStyle w:val="FooterText"/>
            <w:jc w:val="center"/>
            <w:rPr>
              <w:b/>
              <w:position w:val="-4"/>
              <w:sz w:val="36"/>
            </w:rPr>
          </w:pPr>
        </w:p>
      </w:tc>
      <w:tc>
        <w:tcPr>
          <w:tcW w:w="1029" w:type="pct"/>
          <w:gridSpan w:val="2"/>
          <w:shd w:val="clear" w:color="auto" w:fill="auto"/>
        </w:tcPr>
        <w:p w14:paraId="4DB7A64F" w14:textId="0F321659" w:rsidR="00A84778" w:rsidRPr="00695BAF" w:rsidRDefault="00A84778" w:rsidP="000C66B3">
          <w:pPr>
            <w:pStyle w:val="FooterText"/>
            <w:jc w:val="right"/>
            <w:rPr>
              <w:caps/>
              <w:spacing w:val="-20"/>
              <w:sz w:val="16"/>
            </w:rPr>
          </w:pPr>
        </w:p>
      </w:tc>
    </w:tr>
  </w:tbl>
  <w:p w14:paraId="10D952BE" w14:textId="77777777" w:rsidR="00A84778" w:rsidRPr="00271D33" w:rsidRDefault="00A84778" w:rsidP="00271D3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0B46" w14:textId="77777777" w:rsidR="00F72C9B" w:rsidRPr="00C70741" w:rsidRDefault="00F72C9B">
    <w:pPr>
      <w:pStyle w:val="Footer"/>
    </w:pPr>
  </w:p>
</w:ftr>
</file>

<file path=word/footer2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D031" w14:textId="77777777" w:rsidR="00A84778" w:rsidRPr="00271D33" w:rsidRDefault="00A84778" w:rsidP="00271D33">
    <w:pPr>
      <w:pStyle w:val="Footer"/>
    </w:pPr>
  </w:p>
</w:ftr>
</file>

<file path=word/footer2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59D4" w14:textId="77777777" w:rsidR="00A84778" w:rsidRPr="00271D33" w:rsidRDefault="00A84778" w:rsidP="00271D33">
    <w:pPr>
      <w:pStyle w:val="Footer"/>
    </w:pPr>
  </w:p>
</w:ftr>
</file>

<file path=word/footer2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4536"/>
      <w:gridCol w:w="1134"/>
      <w:gridCol w:w="2334"/>
      <w:gridCol w:w="1069"/>
    </w:tblGrid>
    <w:tr w:rsidR="00A84778" w:rsidRPr="00B310DC" w14:paraId="5504AB5F" w14:textId="77777777" w:rsidTr="00F46D42">
      <w:trPr>
        <w:jc w:val="center"/>
      </w:trPr>
      <w:tc>
        <w:tcPr>
          <w:tcW w:w="2500" w:type="pct"/>
          <w:shd w:val="clear" w:color="auto" w:fill="auto"/>
          <w:tcMar>
            <w:top w:w="0" w:type="dxa"/>
          </w:tcMar>
        </w:tcPr>
        <w:p w14:paraId="2ECB740F" w14:textId="629848B5" w:rsidR="00A84778" w:rsidRPr="00AD7BF2" w:rsidRDefault="00A84778" w:rsidP="000C66B3">
          <w:pPr>
            <w:pStyle w:val="FooterText"/>
          </w:pPr>
        </w:p>
      </w:tc>
      <w:tc>
        <w:tcPr>
          <w:tcW w:w="625" w:type="pct"/>
          <w:shd w:val="clear" w:color="auto" w:fill="auto"/>
          <w:tcMar>
            <w:top w:w="0" w:type="dxa"/>
          </w:tcMar>
        </w:tcPr>
        <w:p w14:paraId="4E30307A" w14:textId="77777777" w:rsidR="00A84778" w:rsidRPr="00AD7BF2" w:rsidRDefault="00A84778" w:rsidP="000C66B3">
          <w:pPr>
            <w:pStyle w:val="FooterText"/>
            <w:jc w:val="center"/>
          </w:pPr>
        </w:p>
      </w:tc>
      <w:tc>
        <w:tcPr>
          <w:tcW w:w="1286" w:type="pct"/>
          <w:shd w:val="clear" w:color="auto" w:fill="auto"/>
          <w:tcMar>
            <w:top w:w="0" w:type="dxa"/>
          </w:tcMar>
        </w:tcPr>
        <w:p w14:paraId="29C087AC" w14:textId="7753BD76" w:rsidR="00A84778" w:rsidRPr="002511D8" w:rsidRDefault="00A84778" w:rsidP="000C66B3">
          <w:pPr>
            <w:pStyle w:val="FooterText"/>
            <w:jc w:val="center"/>
          </w:pPr>
        </w:p>
      </w:tc>
      <w:tc>
        <w:tcPr>
          <w:tcW w:w="589" w:type="pct"/>
          <w:shd w:val="clear" w:color="auto" w:fill="auto"/>
          <w:tcMar>
            <w:top w:w="0" w:type="dxa"/>
          </w:tcMar>
        </w:tcPr>
        <w:p w14:paraId="5A2192AC" w14:textId="77777777" w:rsidR="00A84778" w:rsidRPr="00B310DC" w:rsidRDefault="006E5D84" w:rsidP="000C66B3">
          <w:pPr>
            <w:pStyle w:val="FooterText"/>
            <w:jc w:val="right"/>
          </w:pPr>
          <w:r>
            <w:fldChar w:fldCharType="begin"/>
          </w:r>
          <w:r>
            <w:instrText xml:space="preserve"> PAGE  \* MERGEFORMAT </w:instrText>
          </w:r>
          <w:r>
            <w:fldChar w:fldCharType="separate"/>
          </w:r>
          <w:r w:rsidR="006E0EA2">
            <w:t>305</w:t>
          </w:r>
          <w:r>
            <w:fldChar w:fldCharType="end"/>
          </w:r>
        </w:p>
      </w:tc>
    </w:tr>
  </w:tbl>
  <w:p w14:paraId="1FEC9C85" w14:textId="77777777" w:rsidR="00A84778" w:rsidRPr="00271D33" w:rsidRDefault="00A84778" w:rsidP="00271D33">
    <w:pPr>
      <w:pStyle w:val="Footer"/>
    </w:pPr>
  </w:p>
</w:ftr>
</file>

<file path=word/footer2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FC4A" w14:textId="77777777" w:rsidR="00A84778" w:rsidRPr="00271D33" w:rsidRDefault="00A84778" w:rsidP="00271D33">
    <w:pPr>
      <w:pStyle w:val="Footer"/>
    </w:pPr>
  </w:p>
</w:ftr>
</file>

<file path=word/footer2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ED89F" w14:textId="77777777" w:rsidR="00A84778" w:rsidRPr="00271D33" w:rsidRDefault="00A84778" w:rsidP="00271D33">
    <w:pPr>
      <w:pStyle w:val="Footer"/>
    </w:pPr>
  </w:p>
</w:ftr>
</file>

<file path=word/footer2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362EFEE1" w14:textId="77777777" w:rsidTr="00F46D42">
      <w:trPr>
        <w:jc w:val="center"/>
      </w:trPr>
      <w:tc>
        <w:tcPr>
          <w:tcW w:w="2500" w:type="pct"/>
          <w:gridSpan w:val="2"/>
          <w:shd w:val="clear" w:color="auto" w:fill="auto"/>
          <w:tcMar>
            <w:top w:w="0" w:type="dxa"/>
          </w:tcMar>
        </w:tcPr>
        <w:p w14:paraId="3A75F21E" w14:textId="5D2F9D3A" w:rsidR="00A84778" w:rsidRPr="00AD7BF2" w:rsidRDefault="00A84778" w:rsidP="000C66B3">
          <w:pPr>
            <w:pStyle w:val="FooterText"/>
          </w:pPr>
        </w:p>
      </w:tc>
      <w:tc>
        <w:tcPr>
          <w:tcW w:w="625" w:type="pct"/>
          <w:shd w:val="clear" w:color="auto" w:fill="auto"/>
          <w:tcMar>
            <w:top w:w="0" w:type="dxa"/>
          </w:tcMar>
        </w:tcPr>
        <w:p w14:paraId="59D64762" w14:textId="77777777" w:rsidR="00A84778" w:rsidRPr="00AD7BF2" w:rsidRDefault="00A84778" w:rsidP="000C66B3">
          <w:pPr>
            <w:pStyle w:val="FooterText"/>
            <w:jc w:val="center"/>
          </w:pPr>
        </w:p>
      </w:tc>
      <w:tc>
        <w:tcPr>
          <w:tcW w:w="1286" w:type="pct"/>
          <w:gridSpan w:val="3"/>
          <w:shd w:val="clear" w:color="auto" w:fill="auto"/>
          <w:tcMar>
            <w:top w:w="0" w:type="dxa"/>
          </w:tcMar>
        </w:tcPr>
        <w:p w14:paraId="0C7D5651" w14:textId="6F3B9E2A" w:rsidR="00A84778" w:rsidRPr="002511D8" w:rsidRDefault="00A84778" w:rsidP="000C66B3">
          <w:pPr>
            <w:pStyle w:val="FooterText"/>
            <w:jc w:val="center"/>
          </w:pPr>
        </w:p>
      </w:tc>
      <w:tc>
        <w:tcPr>
          <w:tcW w:w="589" w:type="pct"/>
          <w:shd w:val="clear" w:color="auto" w:fill="auto"/>
          <w:tcMar>
            <w:top w:w="0" w:type="dxa"/>
          </w:tcMar>
        </w:tcPr>
        <w:p w14:paraId="3F65217D" w14:textId="77777777" w:rsidR="005B6253" w:rsidRDefault="00413ACE" w:rsidP="000C66B3">
          <w:pPr>
            <w:pStyle w:val="FooterText"/>
            <w:jc w:val="right"/>
          </w:pPr>
          <w:r>
            <w:fldChar w:fldCharType="begin"/>
          </w:r>
          <w:r>
            <w:instrText xml:space="preserve"> PAGE  \* MERGEFORMAT </w:instrText>
          </w:r>
          <w:r>
            <w:fldChar w:fldCharType="separate"/>
          </w:r>
          <w:r w:rsidR="006E0EA2">
            <w:t>316</w:t>
          </w:r>
          <w:r>
            <w:fldChar w:fldCharType="end"/>
          </w:r>
        </w:p>
        <w:p w14:paraId="25C29DDD" w14:textId="77777777" w:rsidR="00A84778" w:rsidRPr="00B310DC" w:rsidRDefault="00A84778" w:rsidP="000C66B3">
          <w:pPr>
            <w:pStyle w:val="FooterText"/>
            <w:jc w:val="right"/>
          </w:pPr>
        </w:p>
      </w:tc>
    </w:tr>
    <w:tr w:rsidR="00A84778" w:rsidRPr="00D94637" w14:paraId="7377A86F" w14:textId="77777777" w:rsidTr="00F46D42">
      <w:trPr>
        <w:jc w:val="center"/>
      </w:trPr>
      <w:tc>
        <w:tcPr>
          <w:tcW w:w="1774" w:type="pct"/>
          <w:shd w:val="clear" w:color="auto" w:fill="auto"/>
        </w:tcPr>
        <w:p w14:paraId="43F4BE2D" w14:textId="77777777" w:rsidR="00A84778" w:rsidRPr="00AD7BF2" w:rsidRDefault="00A84778" w:rsidP="000C66B3">
          <w:pPr>
            <w:pStyle w:val="FooterText"/>
            <w:spacing w:before="40"/>
          </w:pPr>
        </w:p>
      </w:tc>
      <w:tc>
        <w:tcPr>
          <w:tcW w:w="1455" w:type="pct"/>
          <w:gridSpan w:val="3"/>
          <w:shd w:val="clear" w:color="auto" w:fill="auto"/>
        </w:tcPr>
        <w:p w14:paraId="1F30A648" w14:textId="7987F129" w:rsidR="00A84778" w:rsidRPr="00AD7BF2" w:rsidRDefault="00A84778" w:rsidP="000C66B3">
          <w:pPr>
            <w:pStyle w:val="FooterText"/>
            <w:spacing w:before="40"/>
            <w:jc w:val="center"/>
          </w:pPr>
        </w:p>
      </w:tc>
      <w:tc>
        <w:tcPr>
          <w:tcW w:w="742" w:type="pct"/>
          <w:shd w:val="clear" w:color="auto" w:fill="auto"/>
        </w:tcPr>
        <w:p w14:paraId="2867DB25" w14:textId="77777777" w:rsidR="00A84778" w:rsidRPr="00D94637" w:rsidRDefault="00A84778" w:rsidP="000C66B3">
          <w:pPr>
            <w:pStyle w:val="FooterText"/>
            <w:jc w:val="center"/>
            <w:rPr>
              <w:b/>
              <w:position w:val="-4"/>
              <w:sz w:val="36"/>
            </w:rPr>
          </w:pPr>
        </w:p>
      </w:tc>
      <w:tc>
        <w:tcPr>
          <w:tcW w:w="1029" w:type="pct"/>
          <w:gridSpan w:val="2"/>
          <w:shd w:val="clear" w:color="auto" w:fill="auto"/>
        </w:tcPr>
        <w:p w14:paraId="334EDCC1" w14:textId="072A36E0" w:rsidR="00A84778" w:rsidRPr="00695BAF" w:rsidRDefault="00A84778" w:rsidP="000C66B3">
          <w:pPr>
            <w:pStyle w:val="FooterText"/>
            <w:jc w:val="right"/>
            <w:rPr>
              <w:caps/>
              <w:spacing w:val="-20"/>
              <w:sz w:val="16"/>
            </w:rPr>
          </w:pPr>
        </w:p>
      </w:tc>
    </w:tr>
  </w:tbl>
  <w:p w14:paraId="50859FBC" w14:textId="77777777" w:rsidR="00A84778" w:rsidRPr="00271D33" w:rsidRDefault="00A84778" w:rsidP="00271D33">
    <w:pPr>
      <w:pStyle w:val="Footer"/>
    </w:pPr>
  </w:p>
</w:ftr>
</file>

<file path=word/footer2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02FB" w14:textId="77777777" w:rsidR="00A84778" w:rsidRPr="00271D33" w:rsidRDefault="00A84778" w:rsidP="00271D33">
    <w:pPr>
      <w:pStyle w:val="Footer"/>
    </w:pPr>
  </w:p>
</w:ftr>
</file>

<file path=word/footer2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1B7F" w14:textId="77777777" w:rsidR="00A84778" w:rsidRPr="00271D33" w:rsidRDefault="00A84778" w:rsidP="00271D33">
    <w:pPr>
      <w:pStyle w:val="Footer"/>
    </w:pPr>
  </w:p>
</w:ftr>
</file>

<file path=word/footer2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7C6B3C66" w14:textId="77777777" w:rsidTr="00F46D42">
      <w:trPr>
        <w:jc w:val="center"/>
      </w:trPr>
      <w:tc>
        <w:tcPr>
          <w:tcW w:w="2500" w:type="pct"/>
          <w:gridSpan w:val="2"/>
          <w:shd w:val="clear" w:color="auto" w:fill="auto"/>
          <w:tcMar>
            <w:top w:w="0" w:type="dxa"/>
          </w:tcMar>
        </w:tcPr>
        <w:p w14:paraId="4D8707CD" w14:textId="6413D49B" w:rsidR="00A84778" w:rsidRPr="00AD7BF2" w:rsidRDefault="00A84778" w:rsidP="000C66B3">
          <w:pPr>
            <w:pStyle w:val="FooterText"/>
          </w:pPr>
        </w:p>
      </w:tc>
      <w:tc>
        <w:tcPr>
          <w:tcW w:w="625" w:type="pct"/>
          <w:shd w:val="clear" w:color="auto" w:fill="auto"/>
          <w:tcMar>
            <w:top w:w="0" w:type="dxa"/>
          </w:tcMar>
        </w:tcPr>
        <w:p w14:paraId="5043203C" w14:textId="77777777" w:rsidR="00A84778" w:rsidRPr="00AD7BF2" w:rsidRDefault="00A84778" w:rsidP="000C66B3">
          <w:pPr>
            <w:pStyle w:val="FooterText"/>
            <w:jc w:val="center"/>
          </w:pPr>
        </w:p>
      </w:tc>
      <w:tc>
        <w:tcPr>
          <w:tcW w:w="1286" w:type="pct"/>
          <w:gridSpan w:val="3"/>
          <w:shd w:val="clear" w:color="auto" w:fill="auto"/>
          <w:tcMar>
            <w:top w:w="0" w:type="dxa"/>
          </w:tcMar>
        </w:tcPr>
        <w:p w14:paraId="3A3872B1" w14:textId="2ACBB60D" w:rsidR="00A84778" w:rsidRPr="002511D8" w:rsidRDefault="00A84778" w:rsidP="000C66B3">
          <w:pPr>
            <w:pStyle w:val="FooterText"/>
            <w:jc w:val="center"/>
          </w:pPr>
        </w:p>
      </w:tc>
      <w:tc>
        <w:tcPr>
          <w:tcW w:w="589" w:type="pct"/>
          <w:shd w:val="clear" w:color="auto" w:fill="auto"/>
          <w:tcMar>
            <w:top w:w="0" w:type="dxa"/>
          </w:tcMar>
        </w:tcPr>
        <w:p w14:paraId="2294C26D" w14:textId="77777777" w:rsidR="005B6253" w:rsidRDefault="00203D62" w:rsidP="000C66B3">
          <w:pPr>
            <w:pStyle w:val="FooterText"/>
            <w:jc w:val="right"/>
          </w:pPr>
          <w:r>
            <w:fldChar w:fldCharType="begin"/>
          </w:r>
          <w:r>
            <w:instrText xml:space="preserve"> PAGE  \* MERGEFORMAT </w:instrText>
          </w:r>
          <w:r>
            <w:fldChar w:fldCharType="separate"/>
          </w:r>
          <w:r w:rsidR="006E0EA2">
            <w:t>318</w:t>
          </w:r>
          <w:r>
            <w:fldChar w:fldCharType="end"/>
          </w:r>
        </w:p>
        <w:p w14:paraId="3FF38612" w14:textId="77777777" w:rsidR="00A84778" w:rsidRPr="00B310DC" w:rsidRDefault="00A84778" w:rsidP="000C66B3">
          <w:pPr>
            <w:pStyle w:val="FooterText"/>
            <w:jc w:val="right"/>
          </w:pPr>
        </w:p>
      </w:tc>
    </w:tr>
    <w:tr w:rsidR="00A84778" w:rsidRPr="00D94637" w14:paraId="40839B7B" w14:textId="77777777" w:rsidTr="00F46D42">
      <w:trPr>
        <w:jc w:val="center"/>
      </w:trPr>
      <w:tc>
        <w:tcPr>
          <w:tcW w:w="1774" w:type="pct"/>
          <w:shd w:val="clear" w:color="auto" w:fill="auto"/>
        </w:tcPr>
        <w:p w14:paraId="38F9096B" w14:textId="77777777" w:rsidR="00A84778" w:rsidRPr="00AD7BF2" w:rsidRDefault="00A84778" w:rsidP="000C66B3">
          <w:pPr>
            <w:pStyle w:val="FooterText"/>
            <w:spacing w:before="40"/>
          </w:pPr>
        </w:p>
      </w:tc>
      <w:tc>
        <w:tcPr>
          <w:tcW w:w="1455" w:type="pct"/>
          <w:gridSpan w:val="3"/>
          <w:shd w:val="clear" w:color="auto" w:fill="auto"/>
        </w:tcPr>
        <w:p w14:paraId="44EB2B28" w14:textId="1D1431EB" w:rsidR="00A84778" w:rsidRPr="00AD7BF2" w:rsidRDefault="00A84778" w:rsidP="000C66B3">
          <w:pPr>
            <w:pStyle w:val="FooterText"/>
            <w:spacing w:before="40"/>
            <w:jc w:val="center"/>
          </w:pPr>
        </w:p>
      </w:tc>
      <w:tc>
        <w:tcPr>
          <w:tcW w:w="742" w:type="pct"/>
          <w:shd w:val="clear" w:color="auto" w:fill="auto"/>
        </w:tcPr>
        <w:p w14:paraId="0CE37CD8" w14:textId="77777777" w:rsidR="00A84778" w:rsidRPr="00D94637" w:rsidRDefault="00A84778" w:rsidP="000C66B3">
          <w:pPr>
            <w:pStyle w:val="FooterText"/>
            <w:jc w:val="center"/>
            <w:rPr>
              <w:b/>
              <w:position w:val="-4"/>
              <w:sz w:val="36"/>
            </w:rPr>
          </w:pPr>
        </w:p>
      </w:tc>
      <w:tc>
        <w:tcPr>
          <w:tcW w:w="1029" w:type="pct"/>
          <w:gridSpan w:val="2"/>
          <w:shd w:val="clear" w:color="auto" w:fill="auto"/>
        </w:tcPr>
        <w:p w14:paraId="0E391FBF" w14:textId="06AFB089" w:rsidR="00A84778" w:rsidRPr="00695BAF" w:rsidRDefault="00A84778" w:rsidP="000C66B3">
          <w:pPr>
            <w:pStyle w:val="FooterText"/>
            <w:jc w:val="right"/>
            <w:rPr>
              <w:caps/>
              <w:spacing w:val="-20"/>
              <w:sz w:val="16"/>
            </w:rPr>
          </w:pPr>
        </w:p>
      </w:tc>
    </w:tr>
  </w:tbl>
  <w:p w14:paraId="13F0A743" w14:textId="77777777" w:rsidR="00A84778" w:rsidRPr="00271D33" w:rsidRDefault="00A84778" w:rsidP="00271D33">
    <w:pPr>
      <w:pStyle w:val="Footer"/>
    </w:pPr>
  </w:p>
</w:ftr>
</file>

<file path=word/footer2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9895" w14:textId="77777777" w:rsidR="00A84778" w:rsidRPr="00271D33" w:rsidRDefault="00A84778" w:rsidP="00271D3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7B62" w14:textId="77777777" w:rsidR="00A84778" w:rsidRPr="00271D33" w:rsidRDefault="00A84778" w:rsidP="00271D33">
    <w:pPr>
      <w:pStyle w:val="Footer"/>
    </w:pPr>
  </w:p>
</w:ftr>
</file>

<file path=word/footer2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1145D" w14:textId="77777777" w:rsidR="00A84778" w:rsidRPr="00271D33" w:rsidRDefault="00A84778" w:rsidP="00271D33">
    <w:pPr>
      <w:pStyle w:val="Footer"/>
    </w:pPr>
  </w:p>
</w:ftr>
</file>

<file path=word/footer2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76AEA019" w14:textId="77777777" w:rsidTr="00F46D42">
      <w:trPr>
        <w:jc w:val="center"/>
      </w:trPr>
      <w:tc>
        <w:tcPr>
          <w:tcW w:w="2500" w:type="pct"/>
          <w:gridSpan w:val="2"/>
          <w:shd w:val="clear" w:color="auto" w:fill="auto"/>
          <w:tcMar>
            <w:top w:w="0" w:type="dxa"/>
          </w:tcMar>
        </w:tcPr>
        <w:p w14:paraId="41A4558D" w14:textId="5BE03F25" w:rsidR="00A84778" w:rsidRPr="00AD7BF2" w:rsidRDefault="00A84778" w:rsidP="000C66B3">
          <w:pPr>
            <w:pStyle w:val="FooterText"/>
          </w:pPr>
        </w:p>
      </w:tc>
      <w:tc>
        <w:tcPr>
          <w:tcW w:w="625" w:type="pct"/>
          <w:shd w:val="clear" w:color="auto" w:fill="auto"/>
          <w:tcMar>
            <w:top w:w="0" w:type="dxa"/>
          </w:tcMar>
        </w:tcPr>
        <w:p w14:paraId="5872D192" w14:textId="77777777" w:rsidR="00A84778" w:rsidRPr="00AD7BF2" w:rsidRDefault="00A84778" w:rsidP="000C66B3">
          <w:pPr>
            <w:pStyle w:val="FooterText"/>
            <w:jc w:val="center"/>
          </w:pPr>
        </w:p>
      </w:tc>
      <w:tc>
        <w:tcPr>
          <w:tcW w:w="1286" w:type="pct"/>
          <w:gridSpan w:val="3"/>
          <w:shd w:val="clear" w:color="auto" w:fill="auto"/>
          <w:tcMar>
            <w:top w:w="0" w:type="dxa"/>
          </w:tcMar>
        </w:tcPr>
        <w:p w14:paraId="47DEB597" w14:textId="28298501" w:rsidR="00A84778" w:rsidRPr="002511D8" w:rsidRDefault="00A84778" w:rsidP="000C66B3">
          <w:pPr>
            <w:pStyle w:val="FooterText"/>
            <w:jc w:val="center"/>
          </w:pPr>
        </w:p>
      </w:tc>
      <w:tc>
        <w:tcPr>
          <w:tcW w:w="589" w:type="pct"/>
          <w:shd w:val="clear" w:color="auto" w:fill="auto"/>
          <w:tcMar>
            <w:top w:w="0" w:type="dxa"/>
          </w:tcMar>
        </w:tcPr>
        <w:p w14:paraId="45E93CBE" w14:textId="77777777" w:rsidR="005B6253" w:rsidRDefault="006E5D84" w:rsidP="000C66B3">
          <w:pPr>
            <w:pStyle w:val="FooterText"/>
            <w:jc w:val="right"/>
          </w:pPr>
          <w:r>
            <w:fldChar w:fldCharType="begin"/>
          </w:r>
          <w:r>
            <w:instrText xml:space="preserve"> PAGE  \* MERGEFORMAT </w:instrText>
          </w:r>
          <w:r>
            <w:fldChar w:fldCharType="separate"/>
          </w:r>
          <w:r w:rsidR="006E0EA2">
            <w:t>352</w:t>
          </w:r>
          <w:r>
            <w:fldChar w:fldCharType="end"/>
          </w:r>
        </w:p>
        <w:p w14:paraId="1FCC2B87" w14:textId="77777777" w:rsidR="00A84778" w:rsidRPr="00B310DC" w:rsidRDefault="00A84778" w:rsidP="000C66B3">
          <w:pPr>
            <w:pStyle w:val="FooterText"/>
            <w:jc w:val="right"/>
          </w:pPr>
        </w:p>
      </w:tc>
    </w:tr>
    <w:tr w:rsidR="00A84778" w:rsidRPr="00D94637" w14:paraId="0BF21657" w14:textId="77777777" w:rsidTr="00F46D42">
      <w:trPr>
        <w:jc w:val="center"/>
      </w:trPr>
      <w:tc>
        <w:tcPr>
          <w:tcW w:w="1774" w:type="pct"/>
          <w:shd w:val="clear" w:color="auto" w:fill="auto"/>
        </w:tcPr>
        <w:p w14:paraId="2440D8EB" w14:textId="77777777" w:rsidR="00A84778" w:rsidRPr="00AD7BF2" w:rsidRDefault="00A84778" w:rsidP="000C66B3">
          <w:pPr>
            <w:pStyle w:val="FooterText"/>
            <w:spacing w:before="40"/>
          </w:pPr>
        </w:p>
      </w:tc>
      <w:tc>
        <w:tcPr>
          <w:tcW w:w="1455" w:type="pct"/>
          <w:gridSpan w:val="3"/>
          <w:shd w:val="clear" w:color="auto" w:fill="auto"/>
        </w:tcPr>
        <w:p w14:paraId="66CE7055" w14:textId="387CD5F9" w:rsidR="00A84778" w:rsidRPr="00AD7BF2" w:rsidRDefault="00A84778" w:rsidP="000C66B3">
          <w:pPr>
            <w:pStyle w:val="FooterText"/>
            <w:spacing w:before="40"/>
            <w:jc w:val="center"/>
          </w:pPr>
        </w:p>
      </w:tc>
      <w:tc>
        <w:tcPr>
          <w:tcW w:w="742" w:type="pct"/>
          <w:shd w:val="clear" w:color="auto" w:fill="auto"/>
        </w:tcPr>
        <w:p w14:paraId="18B8593A" w14:textId="77777777" w:rsidR="00A84778" w:rsidRPr="00D94637" w:rsidRDefault="00A84778" w:rsidP="000C66B3">
          <w:pPr>
            <w:pStyle w:val="FooterText"/>
            <w:jc w:val="center"/>
            <w:rPr>
              <w:b/>
              <w:position w:val="-4"/>
              <w:sz w:val="36"/>
            </w:rPr>
          </w:pPr>
        </w:p>
      </w:tc>
      <w:tc>
        <w:tcPr>
          <w:tcW w:w="1029" w:type="pct"/>
          <w:gridSpan w:val="2"/>
          <w:shd w:val="clear" w:color="auto" w:fill="auto"/>
        </w:tcPr>
        <w:p w14:paraId="7343D292" w14:textId="67D02DE0" w:rsidR="00A84778" w:rsidRPr="00695BAF" w:rsidRDefault="00A84778" w:rsidP="000C66B3">
          <w:pPr>
            <w:pStyle w:val="FooterText"/>
            <w:jc w:val="right"/>
            <w:rPr>
              <w:caps/>
              <w:spacing w:val="-20"/>
              <w:sz w:val="16"/>
            </w:rPr>
          </w:pPr>
        </w:p>
      </w:tc>
    </w:tr>
  </w:tbl>
  <w:p w14:paraId="614FBF47" w14:textId="77777777" w:rsidR="00A84778" w:rsidRPr="00271D33" w:rsidRDefault="00A84778" w:rsidP="00271D33">
    <w:pPr>
      <w:pStyle w:val="Footer"/>
    </w:pPr>
  </w:p>
</w:ftr>
</file>

<file path=word/footer2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9A81" w14:textId="77777777" w:rsidR="00A84778" w:rsidRPr="00271D33" w:rsidRDefault="00A84778" w:rsidP="00271D33">
    <w:pPr>
      <w:pStyle w:val="Footer"/>
    </w:pPr>
  </w:p>
</w:ftr>
</file>

<file path=word/footer2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067C" w14:textId="77777777" w:rsidR="00F72C9B" w:rsidRPr="00271D33" w:rsidRDefault="00F72C9B" w:rsidP="00271D33">
    <w:pPr>
      <w:pStyle w:val="Footer"/>
    </w:pPr>
  </w:p>
</w:ftr>
</file>

<file path=word/footer2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609" w:type="pct"/>
      <w:jc w:val="center"/>
      <w:tblLayout w:type="fixed"/>
      <w:tblCellMar>
        <w:left w:w="0" w:type="dxa"/>
        <w:right w:w="0" w:type="dxa"/>
      </w:tblCellMar>
      <w:tblLook w:val="01E0" w:firstRow="1" w:lastRow="1" w:firstColumn="1" w:lastColumn="1" w:noHBand="0" w:noVBand="0"/>
    </w:tblPr>
    <w:tblGrid>
      <w:gridCol w:w="4536"/>
      <w:gridCol w:w="1134"/>
      <w:gridCol w:w="2333"/>
      <w:gridCol w:w="360"/>
    </w:tblGrid>
    <w:tr w:rsidR="00F72C9B" w:rsidRPr="00B310DC" w14:paraId="2080C34D" w14:textId="77777777" w:rsidTr="00BC387A">
      <w:trPr>
        <w:jc w:val="center"/>
      </w:trPr>
      <w:tc>
        <w:tcPr>
          <w:tcW w:w="2712" w:type="pct"/>
          <w:shd w:val="clear" w:color="auto" w:fill="auto"/>
          <w:tcMar>
            <w:top w:w="0" w:type="dxa"/>
          </w:tcMar>
        </w:tcPr>
        <w:p w14:paraId="09DB5577" w14:textId="21EC0835" w:rsidR="00F72C9B" w:rsidRPr="00AD7BF2" w:rsidRDefault="00F72C9B" w:rsidP="000C66B3">
          <w:pPr>
            <w:pStyle w:val="FooterText"/>
          </w:pPr>
        </w:p>
      </w:tc>
      <w:tc>
        <w:tcPr>
          <w:tcW w:w="678" w:type="pct"/>
          <w:shd w:val="clear" w:color="auto" w:fill="auto"/>
          <w:tcMar>
            <w:top w:w="0" w:type="dxa"/>
          </w:tcMar>
        </w:tcPr>
        <w:p w14:paraId="3E6A5EB1" w14:textId="77777777" w:rsidR="00F72C9B" w:rsidRPr="00AD7BF2" w:rsidRDefault="00F72C9B" w:rsidP="000C66B3">
          <w:pPr>
            <w:pStyle w:val="FooterText"/>
            <w:jc w:val="center"/>
          </w:pPr>
        </w:p>
      </w:tc>
      <w:tc>
        <w:tcPr>
          <w:tcW w:w="1395" w:type="pct"/>
          <w:shd w:val="clear" w:color="auto" w:fill="auto"/>
          <w:tcMar>
            <w:top w:w="0" w:type="dxa"/>
          </w:tcMar>
        </w:tcPr>
        <w:p w14:paraId="11BF8971" w14:textId="0011D106" w:rsidR="00F72C9B" w:rsidRPr="002511D8" w:rsidRDefault="00F72C9B" w:rsidP="000C66B3">
          <w:pPr>
            <w:pStyle w:val="FooterText"/>
            <w:jc w:val="center"/>
          </w:pPr>
        </w:p>
      </w:tc>
      <w:tc>
        <w:tcPr>
          <w:tcW w:w="215" w:type="pct"/>
          <w:shd w:val="clear" w:color="auto" w:fill="auto"/>
          <w:tcMar>
            <w:top w:w="0" w:type="dxa"/>
          </w:tcMar>
        </w:tcPr>
        <w:p w14:paraId="7C085F0E" w14:textId="77777777" w:rsidR="00F72C9B" w:rsidRDefault="00F72C9B" w:rsidP="000C66B3">
          <w:pPr>
            <w:pStyle w:val="FooterText"/>
            <w:jc w:val="right"/>
          </w:pPr>
          <w:r>
            <w:fldChar w:fldCharType="begin"/>
          </w:r>
          <w:r>
            <w:instrText xml:space="preserve"> PAGE  \* MERGEFORMAT </w:instrText>
          </w:r>
          <w:r>
            <w:fldChar w:fldCharType="separate"/>
          </w:r>
          <w:r>
            <w:t>352</w:t>
          </w:r>
          <w:r>
            <w:fldChar w:fldCharType="end"/>
          </w:r>
        </w:p>
        <w:p w14:paraId="6833A654" w14:textId="77777777" w:rsidR="00F72C9B" w:rsidRPr="00B310DC" w:rsidRDefault="00F72C9B" w:rsidP="000C66B3">
          <w:pPr>
            <w:pStyle w:val="FooterText"/>
            <w:jc w:val="right"/>
          </w:pPr>
        </w:p>
      </w:tc>
    </w:tr>
  </w:tbl>
  <w:p w14:paraId="17B01954" w14:textId="77777777" w:rsidR="00F72C9B" w:rsidRPr="00BC387A" w:rsidRDefault="00F72C9B" w:rsidP="00271D33">
    <w:pPr>
      <w:pStyle w:val="Footer"/>
      <w:rPr>
        <w:lang w:val="en-IE"/>
      </w:rPr>
    </w:pPr>
  </w:p>
</w:ftr>
</file>

<file path=word/footer2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EC37E" w14:textId="77777777" w:rsidR="00F72C9B" w:rsidRPr="00271D33" w:rsidRDefault="00F72C9B" w:rsidP="00271D33">
    <w:pPr>
      <w:pStyle w:val="Footer"/>
    </w:pPr>
  </w:p>
</w:ftr>
</file>

<file path=word/footer2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B6AD" w14:textId="77777777" w:rsidR="00F72C9B" w:rsidRPr="00271D33" w:rsidRDefault="00F72C9B" w:rsidP="00271D33">
    <w:pPr>
      <w:pStyle w:val="Footer"/>
    </w:pPr>
  </w:p>
</w:ftr>
</file>

<file path=word/footer2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F72C9B" w:rsidRPr="00B310DC" w14:paraId="340EA170" w14:textId="77777777" w:rsidTr="00F46D42">
      <w:trPr>
        <w:jc w:val="center"/>
      </w:trPr>
      <w:tc>
        <w:tcPr>
          <w:tcW w:w="2500" w:type="pct"/>
          <w:gridSpan w:val="2"/>
          <w:shd w:val="clear" w:color="auto" w:fill="auto"/>
          <w:tcMar>
            <w:top w:w="0" w:type="dxa"/>
          </w:tcMar>
        </w:tcPr>
        <w:p w14:paraId="5760B2F8" w14:textId="2830511A" w:rsidR="00F72C9B" w:rsidRPr="00AD7BF2" w:rsidRDefault="00F72C9B" w:rsidP="000C66B3">
          <w:pPr>
            <w:pStyle w:val="FooterText"/>
          </w:pPr>
        </w:p>
      </w:tc>
      <w:tc>
        <w:tcPr>
          <w:tcW w:w="625" w:type="pct"/>
          <w:shd w:val="clear" w:color="auto" w:fill="auto"/>
          <w:tcMar>
            <w:top w:w="0" w:type="dxa"/>
          </w:tcMar>
        </w:tcPr>
        <w:p w14:paraId="33BEC0BE" w14:textId="77777777" w:rsidR="00F72C9B" w:rsidRPr="00AD7BF2" w:rsidRDefault="00F72C9B" w:rsidP="000C66B3">
          <w:pPr>
            <w:pStyle w:val="FooterText"/>
            <w:jc w:val="center"/>
          </w:pPr>
        </w:p>
      </w:tc>
      <w:tc>
        <w:tcPr>
          <w:tcW w:w="1286" w:type="pct"/>
          <w:gridSpan w:val="3"/>
          <w:shd w:val="clear" w:color="auto" w:fill="auto"/>
          <w:tcMar>
            <w:top w:w="0" w:type="dxa"/>
          </w:tcMar>
        </w:tcPr>
        <w:p w14:paraId="37F4FB09" w14:textId="64BC55B1" w:rsidR="00F72C9B" w:rsidRPr="002511D8" w:rsidRDefault="00F72C9B" w:rsidP="000C66B3">
          <w:pPr>
            <w:pStyle w:val="FooterText"/>
            <w:jc w:val="center"/>
          </w:pPr>
        </w:p>
      </w:tc>
      <w:tc>
        <w:tcPr>
          <w:tcW w:w="589" w:type="pct"/>
          <w:shd w:val="clear" w:color="auto" w:fill="auto"/>
          <w:tcMar>
            <w:top w:w="0" w:type="dxa"/>
          </w:tcMar>
        </w:tcPr>
        <w:p w14:paraId="4C4F6315" w14:textId="77777777" w:rsidR="00F72C9B" w:rsidRDefault="00F72C9B" w:rsidP="000C66B3">
          <w:pPr>
            <w:pStyle w:val="FooterText"/>
            <w:jc w:val="right"/>
          </w:pPr>
          <w:r>
            <w:fldChar w:fldCharType="begin"/>
          </w:r>
          <w:r>
            <w:instrText xml:space="preserve"> PAGE  \* MERGEFORMAT </w:instrText>
          </w:r>
          <w:r>
            <w:fldChar w:fldCharType="separate"/>
          </w:r>
          <w:r>
            <w:t>352</w:t>
          </w:r>
          <w:r>
            <w:fldChar w:fldCharType="end"/>
          </w:r>
        </w:p>
        <w:p w14:paraId="1C98FC2A" w14:textId="77777777" w:rsidR="00F72C9B" w:rsidRPr="00B310DC" w:rsidRDefault="00F72C9B" w:rsidP="000C66B3">
          <w:pPr>
            <w:pStyle w:val="FooterText"/>
            <w:jc w:val="right"/>
          </w:pPr>
        </w:p>
      </w:tc>
    </w:tr>
    <w:tr w:rsidR="00F72C9B" w:rsidRPr="00D94637" w14:paraId="7585A5B3" w14:textId="77777777" w:rsidTr="00F46D42">
      <w:trPr>
        <w:jc w:val="center"/>
      </w:trPr>
      <w:tc>
        <w:tcPr>
          <w:tcW w:w="1774" w:type="pct"/>
          <w:shd w:val="clear" w:color="auto" w:fill="auto"/>
        </w:tcPr>
        <w:p w14:paraId="305418C9" w14:textId="77777777" w:rsidR="00F72C9B" w:rsidRPr="00AD7BF2" w:rsidRDefault="00F72C9B" w:rsidP="000C66B3">
          <w:pPr>
            <w:pStyle w:val="FooterText"/>
            <w:spacing w:before="40"/>
          </w:pPr>
        </w:p>
      </w:tc>
      <w:tc>
        <w:tcPr>
          <w:tcW w:w="1455" w:type="pct"/>
          <w:gridSpan w:val="3"/>
          <w:shd w:val="clear" w:color="auto" w:fill="auto"/>
        </w:tcPr>
        <w:p w14:paraId="25479B5B" w14:textId="5E6A030D" w:rsidR="00F72C9B" w:rsidRPr="00AD7BF2" w:rsidRDefault="00F72C9B" w:rsidP="000C66B3">
          <w:pPr>
            <w:pStyle w:val="FooterText"/>
            <w:spacing w:before="40"/>
            <w:jc w:val="center"/>
          </w:pPr>
        </w:p>
      </w:tc>
      <w:tc>
        <w:tcPr>
          <w:tcW w:w="742" w:type="pct"/>
          <w:shd w:val="clear" w:color="auto" w:fill="auto"/>
        </w:tcPr>
        <w:p w14:paraId="471FBEB6" w14:textId="77777777" w:rsidR="00F72C9B" w:rsidRPr="00D94637" w:rsidRDefault="00F72C9B" w:rsidP="000C66B3">
          <w:pPr>
            <w:pStyle w:val="FooterText"/>
            <w:jc w:val="center"/>
            <w:rPr>
              <w:b/>
              <w:position w:val="-4"/>
              <w:sz w:val="36"/>
            </w:rPr>
          </w:pPr>
        </w:p>
      </w:tc>
      <w:tc>
        <w:tcPr>
          <w:tcW w:w="1029" w:type="pct"/>
          <w:gridSpan w:val="2"/>
          <w:shd w:val="clear" w:color="auto" w:fill="auto"/>
        </w:tcPr>
        <w:p w14:paraId="27E41EFD" w14:textId="44E348BB" w:rsidR="00F72C9B" w:rsidRPr="00695BAF" w:rsidRDefault="00F72C9B" w:rsidP="000C66B3">
          <w:pPr>
            <w:pStyle w:val="FooterText"/>
            <w:jc w:val="right"/>
            <w:rPr>
              <w:caps/>
              <w:spacing w:val="-20"/>
              <w:sz w:val="16"/>
            </w:rPr>
          </w:pPr>
        </w:p>
      </w:tc>
    </w:tr>
  </w:tbl>
  <w:p w14:paraId="2332C368" w14:textId="77777777" w:rsidR="00F72C9B" w:rsidRPr="00271D33" w:rsidRDefault="00F72C9B" w:rsidP="00271D33">
    <w:pPr>
      <w:pStyle w:val="Footer"/>
    </w:pPr>
  </w:p>
</w:ftr>
</file>

<file path=word/footer2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91F8" w14:textId="77777777" w:rsidR="00F72C9B" w:rsidRPr="00271D33" w:rsidRDefault="00F72C9B" w:rsidP="00271D3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283229F5" w14:textId="77777777" w:rsidTr="00F46D42">
      <w:trPr>
        <w:jc w:val="center"/>
      </w:trPr>
      <w:tc>
        <w:tcPr>
          <w:tcW w:w="2500" w:type="pct"/>
          <w:gridSpan w:val="2"/>
          <w:shd w:val="clear" w:color="auto" w:fill="auto"/>
          <w:tcMar>
            <w:top w:w="0" w:type="dxa"/>
          </w:tcMar>
        </w:tcPr>
        <w:p w14:paraId="6C07F202" w14:textId="6370D6CC" w:rsidR="00A84778" w:rsidRPr="00AD7BF2" w:rsidRDefault="00A84778" w:rsidP="00DB78EA">
          <w:pPr>
            <w:pStyle w:val="FooterText"/>
          </w:pPr>
        </w:p>
      </w:tc>
      <w:tc>
        <w:tcPr>
          <w:tcW w:w="625" w:type="pct"/>
          <w:shd w:val="clear" w:color="auto" w:fill="auto"/>
          <w:tcMar>
            <w:top w:w="0" w:type="dxa"/>
          </w:tcMar>
        </w:tcPr>
        <w:p w14:paraId="07DC2985" w14:textId="77777777" w:rsidR="00A84778" w:rsidRPr="00AD7BF2" w:rsidRDefault="00A84778" w:rsidP="00DB78EA">
          <w:pPr>
            <w:pStyle w:val="FooterText"/>
            <w:jc w:val="center"/>
          </w:pPr>
        </w:p>
      </w:tc>
      <w:tc>
        <w:tcPr>
          <w:tcW w:w="1286" w:type="pct"/>
          <w:gridSpan w:val="3"/>
          <w:shd w:val="clear" w:color="auto" w:fill="auto"/>
          <w:tcMar>
            <w:top w:w="0" w:type="dxa"/>
          </w:tcMar>
        </w:tcPr>
        <w:p w14:paraId="24319149" w14:textId="4CEE0CE0" w:rsidR="00A84778" w:rsidRPr="002511D8" w:rsidRDefault="00A84778" w:rsidP="00DB78EA">
          <w:pPr>
            <w:pStyle w:val="FooterText"/>
            <w:jc w:val="center"/>
          </w:pPr>
        </w:p>
      </w:tc>
      <w:tc>
        <w:tcPr>
          <w:tcW w:w="589" w:type="pct"/>
          <w:shd w:val="clear" w:color="auto" w:fill="auto"/>
          <w:tcMar>
            <w:top w:w="0" w:type="dxa"/>
          </w:tcMar>
        </w:tcPr>
        <w:p w14:paraId="1C9F5951" w14:textId="56FF2C00" w:rsidR="00A84778" w:rsidRPr="00B310DC" w:rsidRDefault="007B2921" w:rsidP="00DB78EA">
          <w:pPr>
            <w:pStyle w:val="FooterText"/>
            <w:jc w:val="right"/>
          </w:pPr>
          <w:r>
            <w:fldChar w:fldCharType="begin"/>
          </w:r>
          <w:r>
            <w:instrText xml:space="preserve"> PAGE  \* MERGEFORMAT </w:instrText>
          </w:r>
          <w:r>
            <w:fldChar w:fldCharType="separate"/>
          </w:r>
          <w:r w:rsidR="006E0EA2">
            <w:t>30</w:t>
          </w:r>
          <w:r>
            <w:fldChar w:fldCharType="end"/>
          </w:r>
        </w:p>
      </w:tc>
    </w:tr>
    <w:tr w:rsidR="00A84778" w:rsidRPr="00D94637" w14:paraId="0FAB7DE9" w14:textId="77777777" w:rsidTr="00F46D42">
      <w:trPr>
        <w:jc w:val="center"/>
      </w:trPr>
      <w:tc>
        <w:tcPr>
          <w:tcW w:w="1774" w:type="pct"/>
          <w:shd w:val="clear" w:color="auto" w:fill="auto"/>
        </w:tcPr>
        <w:p w14:paraId="278051F4" w14:textId="77777777" w:rsidR="00A84778" w:rsidRPr="00AD7BF2" w:rsidRDefault="00A84778" w:rsidP="00DB78EA">
          <w:pPr>
            <w:pStyle w:val="FooterText"/>
            <w:spacing w:before="40"/>
          </w:pPr>
        </w:p>
      </w:tc>
      <w:tc>
        <w:tcPr>
          <w:tcW w:w="1455" w:type="pct"/>
          <w:gridSpan w:val="3"/>
          <w:shd w:val="clear" w:color="auto" w:fill="auto"/>
        </w:tcPr>
        <w:p w14:paraId="00D4CF18" w14:textId="766CF488" w:rsidR="00A84778" w:rsidRPr="00AD7BF2" w:rsidRDefault="00A84778" w:rsidP="00DB78EA">
          <w:pPr>
            <w:pStyle w:val="FooterText"/>
            <w:spacing w:before="40"/>
            <w:jc w:val="center"/>
          </w:pPr>
        </w:p>
      </w:tc>
      <w:tc>
        <w:tcPr>
          <w:tcW w:w="742" w:type="pct"/>
          <w:shd w:val="clear" w:color="auto" w:fill="auto"/>
        </w:tcPr>
        <w:p w14:paraId="7F1969D6" w14:textId="77777777" w:rsidR="00A84778" w:rsidRPr="00D94637" w:rsidRDefault="00A84778" w:rsidP="00DB78EA">
          <w:pPr>
            <w:pStyle w:val="FooterText"/>
            <w:jc w:val="center"/>
            <w:rPr>
              <w:b/>
              <w:position w:val="-4"/>
              <w:sz w:val="36"/>
            </w:rPr>
          </w:pPr>
        </w:p>
      </w:tc>
      <w:tc>
        <w:tcPr>
          <w:tcW w:w="1029" w:type="pct"/>
          <w:gridSpan w:val="2"/>
          <w:shd w:val="clear" w:color="auto" w:fill="auto"/>
        </w:tcPr>
        <w:p w14:paraId="0CFE37B3" w14:textId="623716A7" w:rsidR="00A84778" w:rsidRPr="00695BAF" w:rsidRDefault="00A84778" w:rsidP="00DB78EA">
          <w:pPr>
            <w:pStyle w:val="FooterText"/>
            <w:jc w:val="right"/>
            <w:rPr>
              <w:caps/>
              <w:spacing w:val="-20"/>
              <w:sz w:val="16"/>
            </w:rPr>
          </w:pPr>
        </w:p>
      </w:tc>
    </w:tr>
  </w:tbl>
  <w:p w14:paraId="410A09BE" w14:textId="77777777" w:rsidR="00A84778" w:rsidRPr="00271D33" w:rsidRDefault="00A84778" w:rsidP="00271D3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09ED" w14:textId="77777777" w:rsidR="00A84778" w:rsidRPr="00271D33" w:rsidRDefault="00A84778" w:rsidP="00271D3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D03F" w14:textId="77777777" w:rsidR="00A84778" w:rsidRPr="00271D33" w:rsidRDefault="00A84778" w:rsidP="00271D3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4536"/>
      <w:gridCol w:w="1134"/>
      <w:gridCol w:w="2334"/>
      <w:gridCol w:w="1069"/>
    </w:tblGrid>
    <w:tr w:rsidR="00A84778" w:rsidRPr="00B310DC" w14:paraId="550E2234" w14:textId="77777777" w:rsidTr="00F46D42">
      <w:trPr>
        <w:jc w:val="center"/>
      </w:trPr>
      <w:tc>
        <w:tcPr>
          <w:tcW w:w="2500" w:type="pct"/>
          <w:shd w:val="clear" w:color="auto" w:fill="auto"/>
          <w:tcMar>
            <w:top w:w="0" w:type="dxa"/>
          </w:tcMar>
        </w:tcPr>
        <w:p w14:paraId="1BD1D7B9" w14:textId="7AB39B50" w:rsidR="00A84778" w:rsidRPr="00AD7BF2" w:rsidRDefault="00A84778" w:rsidP="00DB78EA">
          <w:pPr>
            <w:pStyle w:val="FooterText"/>
          </w:pPr>
        </w:p>
      </w:tc>
      <w:tc>
        <w:tcPr>
          <w:tcW w:w="625" w:type="pct"/>
          <w:shd w:val="clear" w:color="auto" w:fill="auto"/>
          <w:tcMar>
            <w:top w:w="0" w:type="dxa"/>
          </w:tcMar>
        </w:tcPr>
        <w:p w14:paraId="5C4DA25B" w14:textId="77777777" w:rsidR="00A84778" w:rsidRPr="00AD7BF2" w:rsidRDefault="00A84778" w:rsidP="00DB78EA">
          <w:pPr>
            <w:pStyle w:val="FooterText"/>
            <w:jc w:val="center"/>
          </w:pPr>
        </w:p>
      </w:tc>
      <w:tc>
        <w:tcPr>
          <w:tcW w:w="1286" w:type="pct"/>
          <w:shd w:val="clear" w:color="auto" w:fill="auto"/>
          <w:tcMar>
            <w:top w:w="0" w:type="dxa"/>
          </w:tcMar>
        </w:tcPr>
        <w:p w14:paraId="295A6835" w14:textId="7AED3FC0" w:rsidR="00A84778" w:rsidRPr="002511D8" w:rsidRDefault="00A84778" w:rsidP="00DB78EA">
          <w:pPr>
            <w:pStyle w:val="FooterText"/>
            <w:jc w:val="center"/>
          </w:pPr>
        </w:p>
      </w:tc>
      <w:tc>
        <w:tcPr>
          <w:tcW w:w="589" w:type="pct"/>
          <w:shd w:val="clear" w:color="auto" w:fill="auto"/>
          <w:tcMar>
            <w:top w:w="0" w:type="dxa"/>
          </w:tcMar>
        </w:tcPr>
        <w:p w14:paraId="0C5C895B" w14:textId="5FF1D82F" w:rsidR="00A84778" w:rsidRPr="00B310DC" w:rsidRDefault="007B2921" w:rsidP="00DB78EA">
          <w:pPr>
            <w:pStyle w:val="FooterText"/>
            <w:jc w:val="right"/>
          </w:pPr>
          <w:r>
            <w:fldChar w:fldCharType="begin"/>
          </w:r>
          <w:r>
            <w:instrText xml:space="preserve"> PAGE  \* MERGEFORMAT </w:instrText>
          </w:r>
          <w:r>
            <w:fldChar w:fldCharType="separate"/>
          </w:r>
          <w:r w:rsidR="006E0EA2">
            <w:t>33</w:t>
          </w:r>
          <w:r>
            <w:fldChar w:fldCharType="end"/>
          </w:r>
        </w:p>
      </w:tc>
    </w:tr>
  </w:tbl>
  <w:p w14:paraId="34F6D65F" w14:textId="77777777" w:rsidR="00A84778" w:rsidRPr="00271D33" w:rsidRDefault="00A84778" w:rsidP="00271D3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92A7" w14:textId="77777777" w:rsidR="00A84778" w:rsidRPr="00271D33" w:rsidRDefault="00A84778" w:rsidP="00271D3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A4449" w14:textId="77777777" w:rsidR="00A84778" w:rsidRPr="00271D33" w:rsidRDefault="00A84778" w:rsidP="00271D3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18"/>
      <w:gridCol w:w="1317"/>
      <w:gridCol w:w="1134"/>
      <w:gridCol w:w="189"/>
      <w:gridCol w:w="1346"/>
      <w:gridCol w:w="798"/>
      <w:gridCol w:w="1069"/>
    </w:tblGrid>
    <w:tr w:rsidR="00A84778" w:rsidRPr="00B310DC" w14:paraId="1DA56585" w14:textId="77777777" w:rsidTr="00F46D42">
      <w:trPr>
        <w:jc w:val="center"/>
      </w:trPr>
      <w:tc>
        <w:tcPr>
          <w:tcW w:w="2500" w:type="pct"/>
          <w:gridSpan w:val="2"/>
          <w:shd w:val="clear" w:color="auto" w:fill="auto"/>
          <w:tcMar>
            <w:top w:w="0" w:type="dxa"/>
          </w:tcMar>
        </w:tcPr>
        <w:p w14:paraId="22ED0250" w14:textId="49B506D6" w:rsidR="00A84778" w:rsidRPr="00AD7BF2" w:rsidRDefault="00A84778" w:rsidP="00AF58D0">
          <w:pPr>
            <w:pStyle w:val="FooterText"/>
          </w:pPr>
        </w:p>
      </w:tc>
      <w:tc>
        <w:tcPr>
          <w:tcW w:w="625" w:type="pct"/>
          <w:shd w:val="clear" w:color="auto" w:fill="auto"/>
          <w:tcMar>
            <w:top w:w="0" w:type="dxa"/>
          </w:tcMar>
        </w:tcPr>
        <w:p w14:paraId="797E6E5C" w14:textId="77777777" w:rsidR="00A84778" w:rsidRPr="00AD7BF2" w:rsidRDefault="00A84778" w:rsidP="00AF58D0">
          <w:pPr>
            <w:pStyle w:val="FooterText"/>
            <w:jc w:val="center"/>
          </w:pPr>
        </w:p>
      </w:tc>
      <w:tc>
        <w:tcPr>
          <w:tcW w:w="1286" w:type="pct"/>
          <w:gridSpan w:val="3"/>
          <w:shd w:val="clear" w:color="auto" w:fill="auto"/>
          <w:tcMar>
            <w:top w:w="0" w:type="dxa"/>
          </w:tcMar>
        </w:tcPr>
        <w:p w14:paraId="025CA999" w14:textId="5ED26D39" w:rsidR="00A84778" w:rsidRPr="002511D8" w:rsidRDefault="00A84778" w:rsidP="00AF58D0">
          <w:pPr>
            <w:pStyle w:val="FooterText"/>
            <w:jc w:val="center"/>
          </w:pPr>
        </w:p>
      </w:tc>
      <w:tc>
        <w:tcPr>
          <w:tcW w:w="589" w:type="pct"/>
          <w:shd w:val="clear" w:color="auto" w:fill="auto"/>
          <w:tcMar>
            <w:top w:w="0" w:type="dxa"/>
          </w:tcMar>
        </w:tcPr>
        <w:p w14:paraId="37E314E5" w14:textId="5BFF5B90" w:rsidR="00A84778" w:rsidRPr="00B310DC" w:rsidRDefault="007B2921" w:rsidP="00AF58D0">
          <w:pPr>
            <w:pStyle w:val="FooterText"/>
            <w:jc w:val="right"/>
          </w:pPr>
          <w:r>
            <w:fldChar w:fldCharType="begin"/>
          </w:r>
          <w:r>
            <w:instrText xml:space="preserve"> PAGE  \* MERGEFORMAT </w:instrText>
          </w:r>
          <w:r>
            <w:fldChar w:fldCharType="separate"/>
          </w:r>
          <w:r w:rsidR="006E0EA2">
            <w:t>36</w:t>
          </w:r>
          <w:r>
            <w:fldChar w:fldCharType="end"/>
          </w:r>
        </w:p>
      </w:tc>
    </w:tr>
    <w:tr w:rsidR="00A84778" w:rsidRPr="00D94637" w14:paraId="42EB1E77" w14:textId="77777777" w:rsidTr="00F46D42">
      <w:trPr>
        <w:jc w:val="center"/>
      </w:trPr>
      <w:tc>
        <w:tcPr>
          <w:tcW w:w="1774" w:type="pct"/>
          <w:shd w:val="clear" w:color="auto" w:fill="auto"/>
        </w:tcPr>
        <w:p w14:paraId="6D345F01" w14:textId="77777777" w:rsidR="00A84778" w:rsidRPr="00AD7BF2" w:rsidRDefault="00A84778" w:rsidP="00AF58D0">
          <w:pPr>
            <w:pStyle w:val="FooterText"/>
            <w:spacing w:before="40"/>
          </w:pPr>
        </w:p>
      </w:tc>
      <w:tc>
        <w:tcPr>
          <w:tcW w:w="1455" w:type="pct"/>
          <w:gridSpan w:val="3"/>
          <w:shd w:val="clear" w:color="auto" w:fill="auto"/>
        </w:tcPr>
        <w:p w14:paraId="0D2D9257" w14:textId="3C9FF04C" w:rsidR="00A84778" w:rsidRPr="00AD7BF2" w:rsidRDefault="00A84778" w:rsidP="00AF58D0">
          <w:pPr>
            <w:pStyle w:val="FooterText"/>
            <w:spacing w:before="40"/>
            <w:jc w:val="center"/>
          </w:pPr>
        </w:p>
      </w:tc>
      <w:tc>
        <w:tcPr>
          <w:tcW w:w="742" w:type="pct"/>
          <w:shd w:val="clear" w:color="auto" w:fill="auto"/>
        </w:tcPr>
        <w:p w14:paraId="2853D984" w14:textId="77777777" w:rsidR="00A84778" w:rsidRPr="00D94637" w:rsidRDefault="00A84778" w:rsidP="00AF58D0">
          <w:pPr>
            <w:pStyle w:val="FooterText"/>
            <w:jc w:val="center"/>
            <w:rPr>
              <w:b/>
              <w:position w:val="-4"/>
              <w:sz w:val="36"/>
            </w:rPr>
          </w:pPr>
        </w:p>
      </w:tc>
      <w:tc>
        <w:tcPr>
          <w:tcW w:w="1029" w:type="pct"/>
          <w:gridSpan w:val="2"/>
          <w:shd w:val="clear" w:color="auto" w:fill="auto"/>
        </w:tcPr>
        <w:p w14:paraId="33CC627D" w14:textId="575A41EC" w:rsidR="00A84778" w:rsidRPr="00695BAF" w:rsidRDefault="00A84778" w:rsidP="00AF58D0">
          <w:pPr>
            <w:pStyle w:val="FooterText"/>
            <w:jc w:val="right"/>
            <w:rPr>
              <w:caps/>
              <w:spacing w:val="-20"/>
              <w:sz w:val="16"/>
            </w:rPr>
          </w:pPr>
        </w:p>
      </w:tc>
    </w:tr>
  </w:tbl>
  <w:p w14:paraId="50FC98E4" w14:textId="77777777" w:rsidR="00A84778" w:rsidRPr="00271D33" w:rsidRDefault="00A84778" w:rsidP="00271D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7FD6" w14:textId="77777777" w:rsidR="00247639" w:rsidRPr="00247639" w:rsidRDefault="00247639" w:rsidP="00247639">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284A" w14:textId="77777777" w:rsidR="00A84778" w:rsidRPr="00271D33" w:rsidRDefault="00A84778" w:rsidP="00271D3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8C82D" w14:textId="77777777" w:rsidR="00A84778" w:rsidRPr="00271D33" w:rsidRDefault="00A84778" w:rsidP="00271D3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023C4463" w14:textId="77777777" w:rsidTr="00F46D42">
      <w:trPr>
        <w:jc w:val="center"/>
      </w:trPr>
      <w:tc>
        <w:tcPr>
          <w:tcW w:w="2500" w:type="pct"/>
          <w:gridSpan w:val="2"/>
          <w:shd w:val="clear" w:color="auto" w:fill="auto"/>
          <w:tcMar>
            <w:top w:w="0" w:type="dxa"/>
          </w:tcMar>
        </w:tcPr>
        <w:p w14:paraId="28150F40" w14:textId="6C82F3BF" w:rsidR="00A84778" w:rsidRPr="00AD7BF2" w:rsidRDefault="00A84778" w:rsidP="00AF58D0">
          <w:pPr>
            <w:pStyle w:val="FooterText"/>
          </w:pPr>
        </w:p>
      </w:tc>
      <w:tc>
        <w:tcPr>
          <w:tcW w:w="625" w:type="pct"/>
          <w:shd w:val="clear" w:color="auto" w:fill="auto"/>
          <w:tcMar>
            <w:top w:w="0" w:type="dxa"/>
          </w:tcMar>
        </w:tcPr>
        <w:p w14:paraId="4AF6DCD2" w14:textId="77777777" w:rsidR="00A84778" w:rsidRPr="00AD7BF2" w:rsidRDefault="00A84778" w:rsidP="00AF58D0">
          <w:pPr>
            <w:pStyle w:val="FooterText"/>
            <w:jc w:val="center"/>
          </w:pPr>
        </w:p>
      </w:tc>
      <w:tc>
        <w:tcPr>
          <w:tcW w:w="1286" w:type="pct"/>
          <w:gridSpan w:val="3"/>
          <w:shd w:val="clear" w:color="auto" w:fill="auto"/>
          <w:tcMar>
            <w:top w:w="0" w:type="dxa"/>
          </w:tcMar>
        </w:tcPr>
        <w:p w14:paraId="7B824492" w14:textId="5026687A" w:rsidR="00A84778" w:rsidRPr="002511D8" w:rsidRDefault="00A84778" w:rsidP="00AF58D0">
          <w:pPr>
            <w:pStyle w:val="FooterText"/>
            <w:jc w:val="center"/>
          </w:pPr>
        </w:p>
      </w:tc>
      <w:tc>
        <w:tcPr>
          <w:tcW w:w="589" w:type="pct"/>
          <w:shd w:val="clear" w:color="auto" w:fill="auto"/>
          <w:tcMar>
            <w:top w:w="0" w:type="dxa"/>
          </w:tcMar>
        </w:tcPr>
        <w:p w14:paraId="4F8D7E8A" w14:textId="19F6F0A3" w:rsidR="00A84778" w:rsidRPr="00B310DC" w:rsidRDefault="00413ACE" w:rsidP="00AF58D0">
          <w:pPr>
            <w:pStyle w:val="FooterText"/>
            <w:jc w:val="right"/>
          </w:pPr>
          <w:r>
            <w:fldChar w:fldCharType="begin"/>
          </w:r>
          <w:r>
            <w:instrText xml:space="preserve"> PAGE  \* MERGEFORMAT </w:instrText>
          </w:r>
          <w:r>
            <w:fldChar w:fldCharType="separate"/>
          </w:r>
          <w:r w:rsidR="006E0EA2">
            <w:t>37</w:t>
          </w:r>
          <w:r>
            <w:fldChar w:fldCharType="end"/>
          </w:r>
        </w:p>
      </w:tc>
    </w:tr>
    <w:tr w:rsidR="00A84778" w:rsidRPr="00D94637" w14:paraId="7C009FEF" w14:textId="77777777" w:rsidTr="00F46D42">
      <w:trPr>
        <w:jc w:val="center"/>
      </w:trPr>
      <w:tc>
        <w:tcPr>
          <w:tcW w:w="1774" w:type="pct"/>
          <w:shd w:val="clear" w:color="auto" w:fill="auto"/>
        </w:tcPr>
        <w:p w14:paraId="5D182BAE" w14:textId="77777777" w:rsidR="00A84778" w:rsidRPr="00AD7BF2" w:rsidRDefault="00A84778" w:rsidP="00AF58D0">
          <w:pPr>
            <w:pStyle w:val="FooterText"/>
            <w:spacing w:before="40"/>
          </w:pPr>
        </w:p>
      </w:tc>
      <w:tc>
        <w:tcPr>
          <w:tcW w:w="1455" w:type="pct"/>
          <w:gridSpan w:val="3"/>
          <w:shd w:val="clear" w:color="auto" w:fill="auto"/>
        </w:tcPr>
        <w:p w14:paraId="0350A861" w14:textId="25AF463D" w:rsidR="00A84778" w:rsidRPr="00AD7BF2" w:rsidRDefault="00A84778" w:rsidP="00AF58D0">
          <w:pPr>
            <w:pStyle w:val="FooterText"/>
            <w:spacing w:before="40"/>
            <w:jc w:val="center"/>
          </w:pPr>
        </w:p>
      </w:tc>
      <w:tc>
        <w:tcPr>
          <w:tcW w:w="742" w:type="pct"/>
          <w:shd w:val="clear" w:color="auto" w:fill="auto"/>
        </w:tcPr>
        <w:p w14:paraId="48584683" w14:textId="77777777" w:rsidR="00A84778" w:rsidRPr="00D94637" w:rsidRDefault="00A84778" w:rsidP="00AF58D0">
          <w:pPr>
            <w:pStyle w:val="FooterText"/>
            <w:jc w:val="center"/>
            <w:rPr>
              <w:b/>
              <w:position w:val="-4"/>
              <w:sz w:val="36"/>
            </w:rPr>
          </w:pPr>
        </w:p>
      </w:tc>
      <w:tc>
        <w:tcPr>
          <w:tcW w:w="1029" w:type="pct"/>
          <w:gridSpan w:val="2"/>
          <w:shd w:val="clear" w:color="auto" w:fill="auto"/>
        </w:tcPr>
        <w:p w14:paraId="7D95EF0C" w14:textId="40D4257F" w:rsidR="00A84778" w:rsidRPr="00695BAF" w:rsidRDefault="00A84778" w:rsidP="00AF58D0">
          <w:pPr>
            <w:pStyle w:val="FooterText"/>
            <w:jc w:val="right"/>
            <w:rPr>
              <w:caps/>
              <w:spacing w:val="-20"/>
              <w:sz w:val="16"/>
            </w:rPr>
          </w:pPr>
        </w:p>
      </w:tc>
    </w:tr>
  </w:tbl>
  <w:p w14:paraId="3F048857" w14:textId="77777777" w:rsidR="00A84778" w:rsidRPr="00271D33" w:rsidRDefault="00A84778" w:rsidP="00271D3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0C0E" w14:textId="77777777" w:rsidR="00A84778" w:rsidRPr="00271D33" w:rsidRDefault="00A84778" w:rsidP="00271D3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0B3D" w14:textId="77777777" w:rsidR="00A84778" w:rsidRPr="00271D33" w:rsidRDefault="00A84778" w:rsidP="00271D3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1460A6C2" w14:textId="77777777" w:rsidTr="00F46D42">
      <w:trPr>
        <w:jc w:val="center"/>
      </w:trPr>
      <w:tc>
        <w:tcPr>
          <w:tcW w:w="2500" w:type="pct"/>
          <w:gridSpan w:val="2"/>
          <w:shd w:val="clear" w:color="auto" w:fill="auto"/>
          <w:tcMar>
            <w:top w:w="0" w:type="dxa"/>
          </w:tcMar>
        </w:tcPr>
        <w:p w14:paraId="3BE23642" w14:textId="42075C0E" w:rsidR="00A84778" w:rsidRPr="00AD7BF2" w:rsidRDefault="00A84778" w:rsidP="00AF58D0">
          <w:pPr>
            <w:pStyle w:val="FooterText"/>
          </w:pPr>
        </w:p>
      </w:tc>
      <w:tc>
        <w:tcPr>
          <w:tcW w:w="625" w:type="pct"/>
          <w:shd w:val="clear" w:color="auto" w:fill="auto"/>
          <w:tcMar>
            <w:top w:w="0" w:type="dxa"/>
          </w:tcMar>
        </w:tcPr>
        <w:p w14:paraId="704864CE" w14:textId="77777777" w:rsidR="00A84778" w:rsidRPr="00AD7BF2" w:rsidRDefault="00A84778" w:rsidP="00AF58D0">
          <w:pPr>
            <w:pStyle w:val="FooterText"/>
            <w:jc w:val="center"/>
          </w:pPr>
        </w:p>
      </w:tc>
      <w:tc>
        <w:tcPr>
          <w:tcW w:w="1286" w:type="pct"/>
          <w:gridSpan w:val="3"/>
          <w:shd w:val="clear" w:color="auto" w:fill="auto"/>
          <w:tcMar>
            <w:top w:w="0" w:type="dxa"/>
          </w:tcMar>
        </w:tcPr>
        <w:p w14:paraId="24502315" w14:textId="4DA4B02C" w:rsidR="00A84778" w:rsidRPr="002511D8" w:rsidRDefault="00A84778" w:rsidP="00AF58D0">
          <w:pPr>
            <w:pStyle w:val="FooterText"/>
            <w:jc w:val="center"/>
          </w:pPr>
        </w:p>
      </w:tc>
      <w:tc>
        <w:tcPr>
          <w:tcW w:w="589" w:type="pct"/>
          <w:shd w:val="clear" w:color="auto" w:fill="auto"/>
          <w:tcMar>
            <w:top w:w="0" w:type="dxa"/>
          </w:tcMar>
        </w:tcPr>
        <w:p w14:paraId="315E9401" w14:textId="3DC445D9" w:rsidR="00A84778" w:rsidRPr="00B310DC" w:rsidRDefault="00917985" w:rsidP="00AF58D0">
          <w:pPr>
            <w:pStyle w:val="FooterText"/>
            <w:jc w:val="right"/>
          </w:pPr>
          <w:r>
            <w:fldChar w:fldCharType="begin"/>
          </w:r>
          <w:r>
            <w:instrText xml:space="preserve"> PAGE  \* MERGEFORMAT </w:instrText>
          </w:r>
          <w:r>
            <w:fldChar w:fldCharType="separate"/>
          </w:r>
          <w:r w:rsidR="006E0EA2">
            <w:t>41</w:t>
          </w:r>
          <w:r>
            <w:fldChar w:fldCharType="end"/>
          </w:r>
        </w:p>
      </w:tc>
    </w:tr>
    <w:tr w:rsidR="00A84778" w:rsidRPr="00D94637" w14:paraId="35631311" w14:textId="77777777" w:rsidTr="00F46D42">
      <w:trPr>
        <w:jc w:val="center"/>
      </w:trPr>
      <w:tc>
        <w:tcPr>
          <w:tcW w:w="1774" w:type="pct"/>
          <w:shd w:val="clear" w:color="auto" w:fill="auto"/>
        </w:tcPr>
        <w:p w14:paraId="5AEA2363" w14:textId="77777777" w:rsidR="00A84778" w:rsidRPr="00AD7BF2" w:rsidRDefault="00A84778" w:rsidP="00AF58D0">
          <w:pPr>
            <w:pStyle w:val="FooterText"/>
            <w:spacing w:before="40"/>
          </w:pPr>
        </w:p>
      </w:tc>
      <w:tc>
        <w:tcPr>
          <w:tcW w:w="1455" w:type="pct"/>
          <w:gridSpan w:val="3"/>
          <w:shd w:val="clear" w:color="auto" w:fill="auto"/>
        </w:tcPr>
        <w:p w14:paraId="635C6EAB" w14:textId="544A9E38" w:rsidR="00A84778" w:rsidRPr="00AD7BF2" w:rsidRDefault="00A84778" w:rsidP="00AF58D0">
          <w:pPr>
            <w:pStyle w:val="FooterText"/>
            <w:spacing w:before="40"/>
            <w:jc w:val="center"/>
          </w:pPr>
        </w:p>
      </w:tc>
      <w:tc>
        <w:tcPr>
          <w:tcW w:w="742" w:type="pct"/>
          <w:shd w:val="clear" w:color="auto" w:fill="auto"/>
        </w:tcPr>
        <w:p w14:paraId="6C0E90ED" w14:textId="77777777" w:rsidR="00A84778" w:rsidRPr="00D94637" w:rsidRDefault="00A84778" w:rsidP="00AF58D0">
          <w:pPr>
            <w:pStyle w:val="FooterText"/>
            <w:jc w:val="center"/>
            <w:rPr>
              <w:b/>
              <w:position w:val="-4"/>
              <w:sz w:val="36"/>
            </w:rPr>
          </w:pPr>
        </w:p>
      </w:tc>
      <w:tc>
        <w:tcPr>
          <w:tcW w:w="1029" w:type="pct"/>
          <w:gridSpan w:val="2"/>
          <w:shd w:val="clear" w:color="auto" w:fill="auto"/>
        </w:tcPr>
        <w:p w14:paraId="05DAC924" w14:textId="76CDE802" w:rsidR="00A84778" w:rsidRPr="00695BAF" w:rsidRDefault="00A84778" w:rsidP="00AF58D0">
          <w:pPr>
            <w:pStyle w:val="FooterText"/>
            <w:jc w:val="right"/>
            <w:rPr>
              <w:caps/>
              <w:spacing w:val="-20"/>
              <w:sz w:val="16"/>
            </w:rPr>
          </w:pPr>
        </w:p>
      </w:tc>
    </w:tr>
  </w:tbl>
  <w:p w14:paraId="34DF345D" w14:textId="77777777" w:rsidR="00A84778" w:rsidRPr="00271D33" w:rsidRDefault="00A84778" w:rsidP="00271D33">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0291" w14:textId="77777777" w:rsidR="00A84778" w:rsidRPr="00271D33" w:rsidRDefault="00A84778" w:rsidP="00271D3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5D493" w14:textId="77777777" w:rsidR="00A84778" w:rsidRPr="00271D33" w:rsidRDefault="00A84778" w:rsidP="00271D3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18"/>
      <w:gridCol w:w="1317"/>
      <w:gridCol w:w="1134"/>
      <w:gridCol w:w="189"/>
      <w:gridCol w:w="1346"/>
      <w:gridCol w:w="798"/>
      <w:gridCol w:w="1069"/>
    </w:tblGrid>
    <w:tr w:rsidR="00A84778" w:rsidRPr="00B310DC" w14:paraId="14B88D8F" w14:textId="77777777" w:rsidTr="00F46D42">
      <w:trPr>
        <w:jc w:val="center"/>
      </w:trPr>
      <w:tc>
        <w:tcPr>
          <w:tcW w:w="2500" w:type="pct"/>
          <w:gridSpan w:val="2"/>
          <w:shd w:val="clear" w:color="auto" w:fill="auto"/>
          <w:tcMar>
            <w:top w:w="0" w:type="dxa"/>
          </w:tcMar>
        </w:tcPr>
        <w:p w14:paraId="3B29AC30" w14:textId="6E36498B" w:rsidR="00A84778" w:rsidRPr="00AD7BF2" w:rsidRDefault="00A84778" w:rsidP="00AF58D0">
          <w:pPr>
            <w:pStyle w:val="FooterText"/>
          </w:pPr>
        </w:p>
      </w:tc>
      <w:tc>
        <w:tcPr>
          <w:tcW w:w="625" w:type="pct"/>
          <w:shd w:val="clear" w:color="auto" w:fill="auto"/>
          <w:tcMar>
            <w:top w:w="0" w:type="dxa"/>
          </w:tcMar>
        </w:tcPr>
        <w:p w14:paraId="48BF8F38" w14:textId="77777777" w:rsidR="00A84778" w:rsidRPr="00AD7BF2" w:rsidRDefault="00A84778" w:rsidP="00AF58D0">
          <w:pPr>
            <w:pStyle w:val="FooterText"/>
            <w:jc w:val="center"/>
          </w:pPr>
        </w:p>
      </w:tc>
      <w:tc>
        <w:tcPr>
          <w:tcW w:w="1286" w:type="pct"/>
          <w:gridSpan w:val="3"/>
          <w:shd w:val="clear" w:color="auto" w:fill="auto"/>
          <w:tcMar>
            <w:top w:w="0" w:type="dxa"/>
          </w:tcMar>
        </w:tcPr>
        <w:p w14:paraId="77E632C1" w14:textId="6BB3DD1B" w:rsidR="00A84778" w:rsidRPr="002511D8" w:rsidRDefault="00A84778" w:rsidP="00AF58D0">
          <w:pPr>
            <w:pStyle w:val="FooterText"/>
            <w:jc w:val="center"/>
          </w:pPr>
        </w:p>
      </w:tc>
      <w:tc>
        <w:tcPr>
          <w:tcW w:w="589" w:type="pct"/>
          <w:shd w:val="clear" w:color="auto" w:fill="auto"/>
          <w:tcMar>
            <w:top w:w="0" w:type="dxa"/>
          </w:tcMar>
        </w:tcPr>
        <w:p w14:paraId="55360707" w14:textId="2DB879DD" w:rsidR="00A84778" w:rsidRPr="00B310DC" w:rsidRDefault="00413ACE" w:rsidP="00AF58D0">
          <w:pPr>
            <w:pStyle w:val="FooterText"/>
            <w:jc w:val="right"/>
          </w:pPr>
          <w:r>
            <w:fldChar w:fldCharType="begin"/>
          </w:r>
          <w:r>
            <w:instrText xml:space="preserve"> PAGE  \* MERGEFORMAT </w:instrText>
          </w:r>
          <w:r>
            <w:fldChar w:fldCharType="separate"/>
          </w:r>
          <w:r w:rsidR="006E0EA2">
            <w:t>47</w:t>
          </w:r>
          <w:r>
            <w:fldChar w:fldCharType="end"/>
          </w:r>
        </w:p>
      </w:tc>
    </w:tr>
    <w:tr w:rsidR="00A84778" w:rsidRPr="00D94637" w14:paraId="482F298E" w14:textId="77777777" w:rsidTr="00F46D42">
      <w:trPr>
        <w:jc w:val="center"/>
      </w:trPr>
      <w:tc>
        <w:tcPr>
          <w:tcW w:w="1774" w:type="pct"/>
          <w:shd w:val="clear" w:color="auto" w:fill="auto"/>
        </w:tcPr>
        <w:p w14:paraId="071B5DA7" w14:textId="77777777" w:rsidR="00A84778" w:rsidRPr="00AD7BF2" w:rsidRDefault="00A84778" w:rsidP="00AF58D0">
          <w:pPr>
            <w:pStyle w:val="FooterText"/>
            <w:spacing w:before="40"/>
          </w:pPr>
        </w:p>
      </w:tc>
      <w:tc>
        <w:tcPr>
          <w:tcW w:w="1455" w:type="pct"/>
          <w:gridSpan w:val="3"/>
          <w:shd w:val="clear" w:color="auto" w:fill="auto"/>
        </w:tcPr>
        <w:p w14:paraId="3FE473B5" w14:textId="111848F7" w:rsidR="00A84778" w:rsidRPr="00AD7BF2" w:rsidRDefault="00A84778" w:rsidP="00AF58D0">
          <w:pPr>
            <w:pStyle w:val="FooterText"/>
            <w:spacing w:before="40"/>
            <w:jc w:val="center"/>
          </w:pPr>
        </w:p>
      </w:tc>
      <w:tc>
        <w:tcPr>
          <w:tcW w:w="742" w:type="pct"/>
          <w:shd w:val="clear" w:color="auto" w:fill="auto"/>
        </w:tcPr>
        <w:p w14:paraId="3A37CEC1" w14:textId="77777777" w:rsidR="00A84778" w:rsidRPr="00D94637" w:rsidRDefault="00A84778" w:rsidP="00AF58D0">
          <w:pPr>
            <w:pStyle w:val="FooterText"/>
            <w:jc w:val="center"/>
            <w:rPr>
              <w:b/>
              <w:position w:val="-4"/>
              <w:sz w:val="36"/>
            </w:rPr>
          </w:pPr>
        </w:p>
      </w:tc>
      <w:tc>
        <w:tcPr>
          <w:tcW w:w="1029" w:type="pct"/>
          <w:gridSpan w:val="2"/>
          <w:shd w:val="clear" w:color="auto" w:fill="auto"/>
        </w:tcPr>
        <w:p w14:paraId="0A03A074" w14:textId="2F635749" w:rsidR="00A84778" w:rsidRPr="00695BAF" w:rsidRDefault="00A84778" w:rsidP="00AF58D0">
          <w:pPr>
            <w:pStyle w:val="FooterText"/>
            <w:jc w:val="right"/>
            <w:rPr>
              <w:caps/>
              <w:spacing w:val="-20"/>
              <w:sz w:val="16"/>
            </w:rPr>
          </w:pPr>
        </w:p>
      </w:tc>
    </w:tr>
  </w:tbl>
  <w:p w14:paraId="5459F4E4" w14:textId="77777777" w:rsidR="00A84778" w:rsidRPr="00271D33" w:rsidRDefault="00A84778" w:rsidP="00271D3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8C57" w14:textId="77777777" w:rsidR="00A84778" w:rsidRPr="00271D33" w:rsidRDefault="00A84778" w:rsidP="00271D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CB1A" w14:textId="77777777" w:rsidR="00F72C9B" w:rsidRDefault="00F72C9B">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FEFEE" w14:textId="77777777" w:rsidR="00F72C9B" w:rsidRPr="00271D33" w:rsidRDefault="00F72C9B" w:rsidP="00271D3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F72C9B" w:rsidRPr="00B310DC" w14:paraId="24A9865F" w14:textId="77777777" w:rsidTr="00F46D42">
      <w:trPr>
        <w:jc w:val="center"/>
      </w:trPr>
      <w:tc>
        <w:tcPr>
          <w:tcW w:w="2500" w:type="pct"/>
          <w:gridSpan w:val="2"/>
          <w:shd w:val="clear" w:color="auto" w:fill="auto"/>
          <w:tcMar>
            <w:top w:w="0" w:type="dxa"/>
          </w:tcMar>
        </w:tcPr>
        <w:p w14:paraId="325945F8" w14:textId="02AA863F" w:rsidR="00F72C9B" w:rsidRPr="00AD7BF2" w:rsidRDefault="00F72C9B" w:rsidP="00AF58D0">
          <w:pPr>
            <w:pStyle w:val="FooterText"/>
          </w:pPr>
        </w:p>
      </w:tc>
      <w:tc>
        <w:tcPr>
          <w:tcW w:w="625" w:type="pct"/>
          <w:shd w:val="clear" w:color="auto" w:fill="auto"/>
          <w:tcMar>
            <w:top w:w="0" w:type="dxa"/>
          </w:tcMar>
        </w:tcPr>
        <w:p w14:paraId="25DE0CD8" w14:textId="77777777" w:rsidR="00F72C9B" w:rsidRPr="00AD7BF2" w:rsidRDefault="00F72C9B" w:rsidP="00AF58D0">
          <w:pPr>
            <w:pStyle w:val="FooterText"/>
            <w:jc w:val="center"/>
          </w:pPr>
        </w:p>
      </w:tc>
      <w:tc>
        <w:tcPr>
          <w:tcW w:w="1286" w:type="pct"/>
          <w:gridSpan w:val="3"/>
          <w:shd w:val="clear" w:color="auto" w:fill="auto"/>
          <w:tcMar>
            <w:top w:w="0" w:type="dxa"/>
          </w:tcMar>
        </w:tcPr>
        <w:p w14:paraId="529F7476" w14:textId="07527DA3" w:rsidR="00F72C9B" w:rsidRPr="002511D8" w:rsidRDefault="00F72C9B" w:rsidP="00AF58D0">
          <w:pPr>
            <w:pStyle w:val="FooterText"/>
            <w:jc w:val="center"/>
          </w:pPr>
        </w:p>
      </w:tc>
      <w:tc>
        <w:tcPr>
          <w:tcW w:w="589" w:type="pct"/>
          <w:shd w:val="clear" w:color="auto" w:fill="auto"/>
          <w:tcMar>
            <w:top w:w="0" w:type="dxa"/>
          </w:tcMar>
        </w:tcPr>
        <w:p w14:paraId="4A43C356" w14:textId="77777777" w:rsidR="00F72C9B" w:rsidRPr="00B310DC" w:rsidRDefault="00F72C9B" w:rsidP="00AF58D0">
          <w:pPr>
            <w:pStyle w:val="FooterText"/>
            <w:jc w:val="right"/>
          </w:pPr>
          <w:r>
            <w:fldChar w:fldCharType="begin"/>
          </w:r>
          <w:r>
            <w:instrText xml:space="preserve"> PAGE  \* MERGEFORMAT </w:instrText>
          </w:r>
          <w:r>
            <w:fldChar w:fldCharType="separate"/>
          </w:r>
          <w:r>
            <w:t>59</w:t>
          </w:r>
          <w:r>
            <w:fldChar w:fldCharType="end"/>
          </w:r>
        </w:p>
      </w:tc>
    </w:tr>
    <w:tr w:rsidR="00F72C9B" w:rsidRPr="00D94637" w14:paraId="1145A492" w14:textId="77777777" w:rsidTr="00F46D42">
      <w:trPr>
        <w:jc w:val="center"/>
      </w:trPr>
      <w:tc>
        <w:tcPr>
          <w:tcW w:w="1774" w:type="pct"/>
          <w:shd w:val="clear" w:color="auto" w:fill="auto"/>
        </w:tcPr>
        <w:p w14:paraId="1694B2F8" w14:textId="77777777" w:rsidR="00F72C9B" w:rsidRPr="00AD7BF2" w:rsidRDefault="00F72C9B" w:rsidP="00AF58D0">
          <w:pPr>
            <w:pStyle w:val="FooterText"/>
            <w:spacing w:before="40"/>
          </w:pPr>
        </w:p>
      </w:tc>
      <w:tc>
        <w:tcPr>
          <w:tcW w:w="1455" w:type="pct"/>
          <w:gridSpan w:val="3"/>
          <w:shd w:val="clear" w:color="auto" w:fill="auto"/>
        </w:tcPr>
        <w:p w14:paraId="61A2A05E" w14:textId="2AC94B17" w:rsidR="00F72C9B" w:rsidRPr="00AD7BF2" w:rsidRDefault="00F72C9B" w:rsidP="00AF58D0">
          <w:pPr>
            <w:pStyle w:val="FooterText"/>
            <w:spacing w:before="40"/>
            <w:jc w:val="center"/>
          </w:pPr>
        </w:p>
      </w:tc>
      <w:tc>
        <w:tcPr>
          <w:tcW w:w="742" w:type="pct"/>
          <w:shd w:val="clear" w:color="auto" w:fill="auto"/>
        </w:tcPr>
        <w:p w14:paraId="36EF32E8" w14:textId="77777777" w:rsidR="00F72C9B" w:rsidRPr="00D94637" w:rsidRDefault="00F72C9B" w:rsidP="00AF58D0">
          <w:pPr>
            <w:pStyle w:val="FooterText"/>
            <w:jc w:val="center"/>
            <w:rPr>
              <w:b/>
              <w:position w:val="-4"/>
              <w:sz w:val="36"/>
            </w:rPr>
          </w:pPr>
        </w:p>
      </w:tc>
      <w:tc>
        <w:tcPr>
          <w:tcW w:w="1029" w:type="pct"/>
          <w:gridSpan w:val="2"/>
          <w:shd w:val="clear" w:color="auto" w:fill="auto"/>
        </w:tcPr>
        <w:p w14:paraId="1180B252" w14:textId="2290DF0A" w:rsidR="00F72C9B" w:rsidRPr="00695BAF" w:rsidRDefault="00F72C9B" w:rsidP="00AF58D0">
          <w:pPr>
            <w:pStyle w:val="FooterText"/>
            <w:jc w:val="right"/>
            <w:rPr>
              <w:caps/>
              <w:spacing w:val="-20"/>
              <w:sz w:val="16"/>
            </w:rPr>
          </w:pPr>
        </w:p>
      </w:tc>
    </w:tr>
  </w:tbl>
  <w:p w14:paraId="37C73208" w14:textId="77777777" w:rsidR="00F72C9B" w:rsidRPr="00271D33" w:rsidRDefault="00F72C9B" w:rsidP="00271D33">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4015" w14:textId="77777777" w:rsidR="00F72C9B" w:rsidRPr="00271D33" w:rsidRDefault="00F72C9B" w:rsidP="00271D3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0669" w14:textId="77777777" w:rsidR="00F72C9B" w:rsidRPr="00271D33" w:rsidRDefault="00F72C9B" w:rsidP="00271D3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F72C9B" w:rsidRPr="00B310DC" w14:paraId="2AE7F990" w14:textId="77777777" w:rsidTr="0033380C">
      <w:trPr>
        <w:trHeight w:val="114"/>
        <w:jc w:val="center"/>
      </w:trPr>
      <w:tc>
        <w:tcPr>
          <w:tcW w:w="2500" w:type="pct"/>
          <w:gridSpan w:val="2"/>
          <w:shd w:val="clear" w:color="auto" w:fill="auto"/>
          <w:tcMar>
            <w:top w:w="0" w:type="dxa"/>
          </w:tcMar>
        </w:tcPr>
        <w:p w14:paraId="045DF7D7" w14:textId="3EF2A651" w:rsidR="00F72C9B" w:rsidRPr="00AD7BF2" w:rsidRDefault="00F72C9B" w:rsidP="00AF58D0">
          <w:pPr>
            <w:pStyle w:val="FooterText"/>
          </w:pPr>
        </w:p>
      </w:tc>
      <w:tc>
        <w:tcPr>
          <w:tcW w:w="625" w:type="pct"/>
          <w:shd w:val="clear" w:color="auto" w:fill="auto"/>
          <w:tcMar>
            <w:top w:w="0" w:type="dxa"/>
          </w:tcMar>
        </w:tcPr>
        <w:p w14:paraId="23F9A28A" w14:textId="77777777" w:rsidR="00F72C9B" w:rsidRPr="00AD7BF2" w:rsidRDefault="00F72C9B" w:rsidP="00AF58D0">
          <w:pPr>
            <w:pStyle w:val="FooterText"/>
            <w:jc w:val="center"/>
          </w:pPr>
        </w:p>
      </w:tc>
      <w:tc>
        <w:tcPr>
          <w:tcW w:w="1286" w:type="pct"/>
          <w:gridSpan w:val="3"/>
          <w:shd w:val="clear" w:color="auto" w:fill="auto"/>
          <w:tcMar>
            <w:top w:w="0" w:type="dxa"/>
          </w:tcMar>
        </w:tcPr>
        <w:p w14:paraId="3ADD3AC9" w14:textId="59FC4BBE" w:rsidR="00F72C9B" w:rsidRPr="002511D8" w:rsidRDefault="00F72C9B" w:rsidP="00AF58D0">
          <w:pPr>
            <w:pStyle w:val="FooterText"/>
            <w:jc w:val="center"/>
          </w:pPr>
        </w:p>
      </w:tc>
      <w:tc>
        <w:tcPr>
          <w:tcW w:w="589" w:type="pct"/>
          <w:shd w:val="clear" w:color="auto" w:fill="auto"/>
          <w:tcMar>
            <w:top w:w="0" w:type="dxa"/>
          </w:tcMar>
        </w:tcPr>
        <w:p w14:paraId="542502C4" w14:textId="77777777" w:rsidR="00F72C9B" w:rsidRPr="00B310DC" w:rsidRDefault="00F72C9B" w:rsidP="00AF58D0">
          <w:pPr>
            <w:pStyle w:val="FooterText"/>
            <w:jc w:val="right"/>
          </w:pPr>
          <w:r>
            <w:fldChar w:fldCharType="begin"/>
          </w:r>
          <w:r>
            <w:instrText xml:space="preserve"> PAGE  \* MERGEFORMAT </w:instrText>
          </w:r>
          <w:r>
            <w:fldChar w:fldCharType="separate"/>
          </w:r>
          <w:r>
            <w:t>59</w:t>
          </w:r>
          <w:r>
            <w:fldChar w:fldCharType="end"/>
          </w:r>
        </w:p>
      </w:tc>
    </w:tr>
    <w:tr w:rsidR="00F72C9B" w:rsidRPr="00D94637" w14:paraId="03CEC70D" w14:textId="77777777" w:rsidTr="00F46D42">
      <w:trPr>
        <w:jc w:val="center"/>
      </w:trPr>
      <w:tc>
        <w:tcPr>
          <w:tcW w:w="1774" w:type="pct"/>
          <w:shd w:val="clear" w:color="auto" w:fill="auto"/>
        </w:tcPr>
        <w:p w14:paraId="205DD36B" w14:textId="77777777" w:rsidR="00F72C9B" w:rsidRPr="00AD7BF2" w:rsidRDefault="00F72C9B" w:rsidP="00AF58D0">
          <w:pPr>
            <w:pStyle w:val="FooterText"/>
            <w:spacing w:before="40"/>
          </w:pPr>
        </w:p>
      </w:tc>
      <w:tc>
        <w:tcPr>
          <w:tcW w:w="1455" w:type="pct"/>
          <w:gridSpan w:val="3"/>
          <w:shd w:val="clear" w:color="auto" w:fill="auto"/>
        </w:tcPr>
        <w:p w14:paraId="4A847BFF" w14:textId="34CA4EE1" w:rsidR="00F72C9B" w:rsidRPr="00AD7BF2" w:rsidRDefault="00F72C9B" w:rsidP="00AF58D0">
          <w:pPr>
            <w:pStyle w:val="FooterText"/>
            <w:spacing w:before="40"/>
            <w:jc w:val="center"/>
          </w:pPr>
        </w:p>
      </w:tc>
      <w:tc>
        <w:tcPr>
          <w:tcW w:w="742" w:type="pct"/>
          <w:shd w:val="clear" w:color="auto" w:fill="auto"/>
        </w:tcPr>
        <w:p w14:paraId="5795D474" w14:textId="77777777" w:rsidR="00F72C9B" w:rsidRPr="00D94637" w:rsidRDefault="00F72C9B" w:rsidP="00AF58D0">
          <w:pPr>
            <w:pStyle w:val="FooterText"/>
            <w:jc w:val="center"/>
            <w:rPr>
              <w:b/>
              <w:position w:val="-4"/>
              <w:sz w:val="36"/>
            </w:rPr>
          </w:pPr>
        </w:p>
      </w:tc>
      <w:tc>
        <w:tcPr>
          <w:tcW w:w="1029" w:type="pct"/>
          <w:gridSpan w:val="2"/>
          <w:shd w:val="clear" w:color="auto" w:fill="auto"/>
        </w:tcPr>
        <w:p w14:paraId="2A0458C8" w14:textId="62ECE2EB" w:rsidR="00F72C9B" w:rsidRPr="00695BAF" w:rsidRDefault="00F72C9B" w:rsidP="00AF58D0">
          <w:pPr>
            <w:pStyle w:val="FooterText"/>
            <w:jc w:val="right"/>
            <w:rPr>
              <w:caps/>
              <w:spacing w:val="-20"/>
              <w:sz w:val="16"/>
            </w:rPr>
          </w:pPr>
        </w:p>
      </w:tc>
    </w:tr>
  </w:tbl>
  <w:p w14:paraId="2EB701C2" w14:textId="77777777" w:rsidR="00F72C9B" w:rsidRPr="00271D33" w:rsidRDefault="00F72C9B" w:rsidP="00271D3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0E5D" w14:textId="77777777" w:rsidR="00F72C9B" w:rsidRPr="00271D33" w:rsidRDefault="00F72C9B" w:rsidP="00271D3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3D60" w14:textId="77777777" w:rsidR="00F72C9B" w:rsidRPr="00271D33" w:rsidRDefault="00F72C9B" w:rsidP="00271D3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F72C9B" w:rsidRPr="00B310DC" w14:paraId="3884CE7D" w14:textId="77777777" w:rsidTr="00F46D42">
      <w:trPr>
        <w:jc w:val="center"/>
      </w:trPr>
      <w:tc>
        <w:tcPr>
          <w:tcW w:w="2500" w:type="pct"/>
          <w:gridSpan w:val="2"/>
          <w:shd w:val="clear" w:color="auto" w:fill="auto"/>
          <w:tcMar>
            <w:top w:w="0" w:type="dxa"/>
          </w:tcMar>
        </w:tcPr>
        <w:p w14:paraId="1B2DAF47" w14:textId="10B8BA9B" w:rsidR="00F72C9B" w:rsidRPr="00AD7BF2" w:rsidRDefault="00F72C9B" w:rsidP="00AF58D0">
          <w:pPr>
            <w:pStyle w:val="FooterText"/>
          </w:pPr>
        </w:p>
      </w:tc>
      <w:tc>
        <w:tcPr>
          <w:tcW w:w="625" w:type="pct"/>
          <w:shd w:val="clear" w:color="auto" w:fill="auto"/>
          <w:tcMar>
            <w:top w:w="0" w:type="dxa"/>
          </w:tcMar>
        </w:tcPr>
        <w:p w14:paraId="42A9F8E1" w14:textId="77777777" w:rsidR="00F72C9B" w:rsidRPr="00AD7BF2" w:rsidRDefault="00F72C9B" w:rsidP="00AF58D0">
          <w:pPr>
            <w:pStyle w:val="FooterText"/>
            <w:jc w:val="center"/>
          </w:pPr>
        </w:p>
      </w:tc>
      <w:tc>
        <w:tcPr>
          <w:tcW w:w="1286" w:type="pct"/>
          <w:gridSpan w:val="3"/>
          <w:shd w:val="clear" w:color="auto" w:fill="auto"/>
          <w:tcMar>
            <w:top w:w="0" w:type="dxa"/>
          </w:tcMar>
        </w:tcPr>
        <w:p w14:paraId="0DBDB186" w14:textId="2C67446C" w:rsidR="00F72C9B" w:rsidRPr="002511D8" w:rsidRDefault="00F72C9B" w:rsidP="00AF58D0">
          <w:pPr>
            <w:pStyle w:val="FooterText"/>
            <w:jc w:val="center"/>
          </w:pPr>
        </w:p>
      </w:tc>
      <w:tc>
        <w:tcPr>
          <w:tcW w:w="589" w:type="pct"/>
          <w:shd w:val="clear" w:color="auto" w:fill="auto"/>
          <w:tcMar>
            <w:top w:w="0" w:type="dxa"/>
          </w:tcMar>
        </w:tcPr>
        <w:p w14:paraId="415016BB" w14:textId="77777777" w:rsidR="00F72C9B" w:rsidRPr="00B310DC" w:rsidRDefault="00F72C9B" w:rsidP="00AF58D0">
          <w:pPr>
            <w:pStyle w:val="FooterText"/>
            <w:jc w:val="right"/>
          </w:pPr>
          <w:r>
            <w:fldChar w:fldCharType="begin"/>
          </w:r>
          <w:r>
            <w:instrText xml:space="preserve"> PAGE  \* MERGEFORMAT </w:instrText>
          </w:r>
          <w:r>
            <w:fldChar w:fldCharType="separate"/>
          </w:r>
          <w:r>
            <w:t>59</w:t>
          </w:r>
          <w:r>
            <w:fldChar w:fldCharType="end"/>
          </w:r>
        </w:p>
      </w:tc>
    </w:tr>
    <w:tr w:rsidR="00F72C9B" w:rsidRPr="00D94637" w14:paraId="14515C66" w14:textId="77777777" w:rsidTr="00F46D42">
      <w:trPr>
        <w:jc w:val="center"/>
      </w:trPr>
      <w:tc>
        <w:tcPr>
          <w:tcW w:w="1774" w:type="pct"/>
          <w:shd w:val="clear" w:color="auto" w:fill="auto"/>
        </w:tcPr>
        <w:p w14:paraId="59F260FC" w14:textId="77777777" w:rsidR="00F72C9B" w:rsidRPr="00AD7BF2" w:rsidRDefault="00F72C9B" w:rsidP="00AF58D0">
          <w:pPr>
            <w:pStyle w:val="FooterText"/>
            <w:spacing w:before="40"/>
          </w:pPr>
        </w:p>
      </w:tc>
      <w:tc>
        <w:tcPr>
          <w:tcW w:w="1455" w:type="pct"/>
          <w:gridSpan w:val="3"/>
          <w:shd w:val="clear" w:color="auto" w:fill="auto"/>
        </w:tcPr>
        <w:p w14:paraId="427F79A4" w14:textId="15F3288C" w:rsidR="00F72C9B" w:rsidRPr="00AD7BF2" w:rsidRDefault="00F72C9B" w:rsidP="00AF58D0">
          <w:pPr>
            <w:pStyle w:val="FooterText"/>
            <w:spacing w:before="40"/>
            <w:jc w:val="center"/>
          </w:pPr>
        </w:p>
      </w:tc>
      <w:tc>
        <w:tcPr>
          <w:tcW w:w="742" w:type="pct"/>
          <w:shd w:val="clear" w:color="auto" w:fill="auto"/>
        </w:tcPr>
        <w:p w14:paraId="2F6A571B" w14:textId="77777777" w:rsidR="00F72C9B" w:rsidRPr="00D94637" w:rsidRDefault="00F72C9B" w:rsidP="00AF58D0">
          <w:pPr>
            <w:pStyle w:val="FooterText"/>
            <w:jc w:val="center"/>
            <w:rPr>
              <w:b/>
              <w:position w:val="-4"/>
              <w:sz w:val="36"/>
            </w:rPr>
          </w:pPr>
        </w:p>
      </w:tc>
      <w:tc>
        <w:tcPr>
          <w:tcW w:w="1029" w:type="pct"/>
          <w:gridSpan w:val="2"/>
          <w:shd w:val="clear" w:color="auto" w:fill="auto"/>
        </w:tcPr>
        <w:p w14:paraId="1D9C6813" w14:textId="7DE359A6" w:rsidR="00F72C9B" w:rsidRPr="00695BAF" w:rsidRDefault="00F72C9B" w:rsidP="00AF58D0">
          <w:pPr>
            <w:pStyle w:val="FooterText"/>
            <w:jc w:val="right"/>
            <w:rPr>
              <w:caps/>
              <w:spacing w:val="-20"/>
              <w:sz w:val="16"/>
            </w:rPr>
          </w:pPr>
        </w:p>
      </w:tc>
    </w:tr>
  </w:tbl>
  <w:p w14:paraId="10527113" w14:textId="77777777" w:rsidR="00F72C9B" w:rsidRPr="00271D33" w:rsidRDefault="00F72C9B" w:rsidP="00271D3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FD08" w14:textId="77777777" w:rsidR="00F72C9B" w:rsidRPr="00271D33" w:rsidRDefault="00F72C9B" w:rsidP="00271D3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532B8" w14:textId="77777777" w:rsidR="00F72C9B" w:rsidRPr="00271D33" w:rsidRDefault="00F72C9B" w:rsidP="00271D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199910"/>
      <w:docPartObj>
        <w:docPartGallery w:val="Page Numbers (Bottom of Page)"/>
        <w:docPartUnique/>
      </w:docPartObj>
    </w:sdtPr>
    <w:sdtEndPr>
      <w:rPr>
        <w:noProof/>
      </w:rPr>
    </w:sdtEndPr>
    <w:sdtContent>
      <w:p w14:paraId="0838CA56" w14:textId="3DE42268" w:rsidR="00E43F57" w:rsidRDefault="00E43F57">
        <w:pPr>
          <w:pStyle w:val="Footer"/>
          <w:jc w:val="right"/>
        </w:pPr>
        <w:r>
          <w:fldChar w:fldCharType="begin"/>
        </w:r>
        <w:r>
          <w:instrText xml:space="preserve"> PAGE   \* MERGEFORMAT </w:instrText>
        </w:r>
        <w:r>
          <w:fldChar w:fldCharType="separate"/>
        </w:r>
        <w:r w:rsidR="00247639">
          <w:rPr>
            <w:noProof/>
          </w:rPr>
          <w:t>4</w:t>
        </w:r>
        <w:r>
          <w:fldChar w:fldCharType="end"/>
        </w:r>
      </w:p>
    </w:sdtContent>
  </w:sdt>
  <w:p w14:paraId="3F800480" w14:textId="77777777" w:rsidR="00F72C9B" w:rsidRDefault="00F72C9B">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4536"/>
      <w:gridCol w:w="1134"/>
      <w:gridCol w:w="2334"/>
      <w:gridCol w:w="1069"/>
    </w:tblGrid>
    <w:tr w:rsidR="00F72C9B" w:rsidRPr="00B310DC" w14:paraId="404111A6" w14:textId="77777777" w:rsidTr="00F46D42">
      <w:trPr>
        <w:jc w:val="center"/>
      </w:trPr>
      <w:tc>
        <w:tcPr>
          <w:tcW w:w="2500" w:type="pct"/>
          <w:shd w:val="clear" w:color="auto" w:fill="auto"/>
          <w:tcMar>
            <w:top w:w="0" w:type="dxa"/>
          </w:tcMar>
        </w:tcPr>
        <w:p w14:paraId="5DD5263E" w14:textId="13916167" w:rsidR="00F72C9B" w:rsidRPr="00AD7BF2" w:rsidRDefault="00F72C9B" w:rsidP="00AF58D0">
          <w:pPr>
            <w:pStyle w:val="FooterText"/>
          </w:pPr>
        </w:p>
      </w:tc>
      <w:tc>
        <w:tcPr>
          <w:tcW w:w="625" w:type="pct"/>
          <w:shd w:val="clear" w:color="auto" w:fill="auto"/>
          <w:tcMar>
            <w:top w:w="0" w:type="dxa"/>
          </w:tcMar>
        </w:tcPr>
        <w:p w14:paraId="5528F330" w14:textId="77777777" w:rsidR="00F72C9B" w:rsidRPr="00AD7BF2" w:rsidRDefault="00F72C9B" w:rsidP="00AF58D0">
          <w:pPr>
            <w:pStyle w:val="FooterText"/>
            <w:jc w:val="center"/>
          </w:pPr>
        </w:p>
      </w:tc>
      <w:tc>
        <w:tcPr>
          <w:tcW w:w="1286" w:type="pct"/>
          <w:shd w:val="clear" w:color="auto" w:fill="auto"/>
          <w:tcMar>
            <w:top w:w="0" w:type="dxa"/>
          </w:tcMar>
        </w:tcPr>
        <w:p w14:paraId="1F064A09" w14:textId="19DB77D8" w:rsidR="00F72C9B" w:rsidRPr="002511D8" w:rsidRDefault="00F72C9B" w:rsidP="00AF58D0">
          <w:pPr>
            <w:pStyle w:val="FooterText"/>
            <w:jc w:val="center"/>
          </w:pPr>
        </w:p>
      </w:tc>
      <w:tc>
        <w:tcPr>
          <w:tcW w:w="589" w:type="pct"/>
          <w:shd w:val="clear" w:color="auto" w:fill="auto"/>
          <w:tcMar>
            <w:top w:w="0" w:type="dxa"/>
          </w:tcMar>
        </w:tcPr>
        <w:p w14:paraId="4F530DB1" w14:textId="77777777" w:rsidR="00F72C9B" w:rsidRPr="00B310DC" w:rsidRDefault="00F72C9B" w:rsidP="00AF58D0">
          <w:pPr>
            <w:pStyle w:val="FooterText"/>
            <w:jc w:val="right"/>
          </w:pPr>
          <w:r>
            <w:fldChar w:fldCharType="begin"/>
          </w:r>
          <w:r>
            <w:instrText xml:space="preserve"> PAGE  \* MERGEFORMAT </w:instrText>
          </w:r>
          <w:r>
            <w:fldChar w:fldCharType="separate"/>
          </w:r>
          <w:r>
            <w:t>59</w:t>
          </w:r>
          <w:r>
            <w:fldChar w:fldCharType="end"/>
          </w:r>
        </w:p>
      </w:tc>
    </w:tr>
  </w:tbl>
  <w:p w14:paraId="0234AD52" w14:textId="77777777" w:rsidR="00F72C9B" w:rsidRPr="00271D33" w:rsidRDefault="00F72C9B" w:rsidP="00271D33">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F1A6" w14:textId="77777777" w:rsidR="00F72C9B" w:rsidRPr="00271D33" w:rsidRDefault="00F72C9B" w:rsidP="00271D3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423A6" w14:textId="77777777" w:rsidR="00A84778" w:rsidRPr="00271D33" w:rsidRDefault="00A84778" w:rsidP="00271D33">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18"/>
      <w:gridCol w:w="1317"/>
      <w:gridCol w:w="1134"/>
      <w:gridCol w:w="189"/>
      <w:gridCol w:w="1346"/>
      <w:gridCol w:w="798"/>
      <w:gridCol w:w="1069"/>
    </w:tblGrid>
    <w:tr w:rsidR="00A84778" w:rsidRPr="00B310DC" w14:paraId="2DB9C22F" w14:textId="77777777" w:rsidTr="00F46D42">
      <w:trPr>
        <w:jc w:val="center"/>
      </w:trPr>
      <w:tc>
        <w:tcPr>
          <w:tcW w:w="2500" w:type="pct"/>
          <w:gridSpan w:val="2"/>
          <w:shd w:val="clear" w:color="auto" w:fill="auto"/>
          <w:tcMar>
            <w:top w:w="0" w:type="dxa"/>
          </w:tcMar>
        </w:tcPr>
        <w:p w14:paraId="193E3644" w14:textId="0CF7BA0C" w:rsidR="00A84778" w:rsidRPr="00AD7BF2" w:rsidRDefault="00A84778" w:rsidP="00AF58D0">
          <w:pPr>
            <w:pStyle w:val="FooterText"/>
          </w:pPr>
        </w:p>
      </w:tc>
      <w:tc>
        <w:tcPr>
          <w:tcW w:w="625" w:type="pct"/>
          <w:shd w:val="clear" w:color="auto" w:fill="auto"/>
          <w:tcMar>
            <w:top w:w="0" w:type="dxa"/>
          </w:tcMar>
        </w:tcPr>
        <w:p w14:paraId="02B489D3" w14:textId="77777777" w:rsidR="00A84778" w:rsidRPr="00AD7BF2" w:rsidRDefault="00A84778" w:rsidP="00AF58D0">
          <w:pPr>
            <w:pStyle w:val="FooterText"/>
            <w:jc w:val="center"/>
          </w:pPr>
        </w:p>
      </w:tc>
      <w:tc>
        <w:tcPr>
          <w:tcW w:w="1286" w:type="pct"/>
          <w:gridSpan w:val="3"/>
          <w:shd w:val="clear" w:color="auto" w:fill="auto"/>
          <w:tcMar>
            <w:top w:w="0" w:type="dxa"/>
          </w:tcMar>
        </w:tcPr>
        <w:p w14:paraId="63182331" w14:textId="1562DE52" w:rsidR="00A84778" w:rsidRPr="002511D8" w:rsidRDefault="00A84778" w:rsidP="00AF58D0">
          <w:pPr>
            <w:pStyle w:val="FooterText"/>
            <w:jc w:val="center"/>
          </w:pPr>
        </w:p>
      </w:tc>
      <w:tc>
        <w:tcPr>
          <w:tcW w:w="589" w:type="pct"/>
          <w:shd w:val="clear" w:color="auto" w:fill="auto"/>
          <w:tcMar>
            <w:top w:w="0" w:type="dxa"/>
          </w:tcMar>
        </w:tcPr>
        <w:p w14:paraId="300AE9D8" w14:textId="5F88A92F" w:rsidR="00A84778" w:rsidRPr="00B310DC" w:rsidRDefault="00413ACE" w:rsidP="00AF58D0">
          <w:pPr>
            <w:pStyle w:val="FooterText"/>
            <w:jc w:val="right"/>
          </w:pPr>
          <w:r>
            <w:fldChar w:fldCharType="begin"/>
          </w:r>
          <w:r>
            <w:instrText xml:space="preserve"> PAGE  \* MERGEFORMAT </w:instrText>
          </w:r>
          <w:r>
            <w:fldChar w:fldCharType="separate"/>
          </w:r>
          <w:r w:rsidR="006E0EA2">
            <w:t>64</w:t>
          </w:r>
          <w:r>
            <w:fldChar w:fldCharType="end"/>
          </w:r>
        </w:p>
      </w:tc>
    </w:tr>
    <w:tr w:rsidR="00A84778" w:rsidRPr="00D94637" w14:paraId="4B0B3F02" w14:textId="77777777" w:rsidTr="00F46D42">
      <w:trPr>
        <w:jc w:val="center"/>
      </w:trPr>
      <w:tc>
        <w:tcPr>
          <w:tcW w:w="1774" w:type="pct"/>
          <w:shd w:val="clear" w:color="auto" w:fill="auto"/>
        </w:tcPr>
        <w:p w14:paraId="4A5B6030" w14:textId="77777777" w:rsidR="00A84778" w:rsidRPr="00AD7BF2" w:rsidRDefault="00A84778" w:rsidP="00AF58D0">
          <w:pPr>
            <w:pStyle w:val="FooterText"/>
            <w:spacing w:before="40"/>
          </w:pPr>
        </w:p>
      </w:tc>
      <w:tc>
        <w:tcPr>
          <w:tcW w:w="1455" w:type="pct"/>
          <w:gridSpan w:val="3"/>
          <w:shd w:val="clear" w:color="auto" w:fill="auto"/>
        </w:tcPr>
        <w:p w14:paraId="2E85E67C" w14:textId="6AE95B5D" w:rsidR="00A84778" w:rsidRPr="00AD7BF2" w:rsidRDefault="00A84778" w:rsidP="00AF58D0">
          <w:pPr>
            <w:pStyle w:val="FooterText"/>
            <w:spacing w:before="40"/>
            <w:jc w:val="center"/>
          </w:pPr>
        </w:p>
      </w:tc>
      <w:tc>
        <w:tcPr>
          <w:tcW w:w="742" w:type="pct"/>
          <w:shd w:val="clear" w:color="auto" w:fill="auto"/>
        </w:tcPr>
        <w:p w14:paraId="61E7DCBD" w14:textId="77777777" w:rsidR="00A84778" w:rsidRPr="00D94637" w:rsidRDefault="00A84778" w:rsidP="00AF58D0">
          <w:pPr>
            <w:pStyle w:val="FooterText"/>
            <w:jc w:val="center"/>
            <w:rPr>
              <w:b/>
              <w:position w:val="-4"/>
              <w:sz w:val="36"/>
            </w:rPr>
          </w:pPr>
        </w:p>
      </w:tc>
      <w:tc>
        <w:tcPr>
          <w:tcW w:w="1029" w:type="pct"/>
          <w:gridSpan w:val="2"/>
          <w:shd w:val="clear" w:color="auto" w:fill="auto"/>
        </w:tcPr>
        <w:p w14:paraId="170C399F" w14:textId="7BEDBFF0" w:rsidR="00A84778" w:rsidRPr="00695BAF" w:rsidRDefault="00A84778" w:rsidP="00AF58D0">
          <w:pPr>
            <w:pStyle w:val="FooterText"/>
            <w:jc w:val="right"/>
            <w:rPr>
              <w:caps/>
              <w:spacing w:val="-20"/>
              <w:sz w:val="16"/>
            </w:rPr>
          </w:pPr>
        </w:p>
      </w:tc>
    </w:tr>
  </w:tbl>
  <w:p w14:paraId="097D1D0D" w14:textId="77777777" w:rsidR="00A84778" w:rsidRPr="00271D33" w:rsidRDefault="00A84778" w:rsidP="00271D33">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D3103" w14:textId="77777777" w:rsidR="00A84778" w:rsidRPr="00271D33" w:rsidRDefault="00A84778" w:rsidP="00271D33">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7D70" w14:textId="77777777" w:rsidR="00F72C9B" w:rsidRPr="00271D33" w:rsidRDefault="00F72C9B" w:rsidP="00271D33">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18"/>
      <w:gridCol w:w="1317"/>
      <w:gridCol w:w="1134"/>
      <w:gridCol w:w="189"/>
      <w:gridCol w:w="1346"/>
      <w:gridCol w:w="798"/>
      <w:gridCol w:w="1069"/>
    </w:tblGrid>
    <w:tr w:rsidR="00F72C9B" w:rsidRPr="00B310DC" w14:paraId="17D08787" w14:textId="77777777" w:rsidTr="00F46D42">
      <w:trPr>
        <w:jc w:val="center"/>
      </w:trPr>
      <w:tc>
        <w:tcPr>
          <w:tcW w:w="2500" w:type="pct"/>
          <w:gridSpan w:val="2"/>
          <w:shd w:val="clear" w:color="auto" w:fill="auto"/>
          <w:tcMar>
            <w:top w:w="0" w:type="dxa"/>
          </w:tcMar>
        </w:tcPr>
        <w:p w14:paraId="756152E4" w14:textId="0378688F" w:rsidR="00F72C9B" w:rsidRPr="00AD7BF2" w:rsidRDefault="00F72C9B" w:rsidP="00AF58D0">
          <w:pPr>
            <w:pStyle w:val="FooterText"/>
          </w:pPr>
        </w:p>
      </w:tc>
      <w:tc>
        <w:tcPr>
          <w:tcW w:w="625" w:type="pct"/>
          <w:shd w:val="clear" w:color="auto" w:fill="auto"/>
          <w:tcMar>
            <w:top w:w="0" w:type="dxa"/>
          </w:tcMar>
        </w:tcPr>
        <w:p w14:paraId="31B5F4A8" w14:textId="77777777" w:rsidR="00F72C9B" w:rsidRPr="00AD7BF2" w:rsidRDefault="00F72C9B" w:rsidP="00AF58D0">
          <w:pPr>
            <w:pStyle w:val="FooterText"/>
            <w:jc w:val="center"/>
          </w:pPr>
        </w:p>
      </w:tc>
      <w:tc>
        <w:tcPr>
          <w:tcW w:w="1286" w:type="pct"/>
          <w:gridSpan w:val="3"/>
          <w:shd w:val="clear" w:color="auto" w:fill="auto"/>
          <w:tcMar>
            <w:top w:w="0" w:type="dxa"/>
          </w:tcMar>
        </w:tcPr>
        <w:p w14:paraId="2C77A660" w14:textId="32F1DB57" w:rsidR="00F72C9B" w:rsidRPr="002511D8" w:rsidRDefault="00F72C9B" w:rsidP="00AF58D0">
          <w:pPr>
            <w:pStyle w:val="FooterText"/>
            <w:jc w:val="center"/>
          </w:pPr>
        </w:p>
      </w:tc>
      <w:tc>
        <w:tcPr>
          <w:tcW w:w="589" w:type="pct"/>
          <w:shd w:val="clear" w:color="auto" w:fill="auto"/>
          <w:tcMar>
            <w:top w:w="0" w:type="dxa"/>
          </w:tcMar>
        </w:tcPr>
        <w:p w14:paraId="05368672" w14:textId="77777777" w:rsidR="00F72C9B" w:rsidRPr="00B310DC" w:rsidRDefault="00F72C9B" w:rsidP="00AF58D0">
          <w:pPr>
            <w:pStyle w:val="FooterText"/>
            <w:jc w:val="right"/>
          </w:pPr>
          <w:r>
            <w:fldChar w:fldCharType="begin"/>
          </w:r>
          <w:r>
            <w:instrText xml:space="preserve"> PAGE  \* MERGEFORMAT </w:instrText>
          </w:r>
          <w:r>
            <w:fldChar w:fldCharType="separate"/>
          </w:r>
          <w:r>
            <w:t>64</w:t>
          </w:r>
          <w:r>
            <w:fldChar w:fldCharType="end"/>
          </w:r>
        </w:p>
      </w:tc>
    </w:tr>
    <w:tr w:rsidR="00F72C9B" w:rsidRPr="00D94637" w14:paraId="7C4F7B4F" w14:textId="77777777" w:rsidTr="00F46D42">
      <w:trPr>
        <w:jc w:val="center"/>
      </w:trPr>
      <w:tc>
        <w:tcPr>
          <w:tcW w:w="1774" w:type="pct"/>
          <w:shd w:val="clear" w:color="auto" w:fill="auto"/>
        </w:tcPr>
        <w:p w14:paraId="35EBFDCA" w14:textId="77777777" w:rsidR="00F72C9B" w:rsidRPr="00AD7BF2" w:rsidRDefault="00F72C9B" w:rsidP="00AF58D0">
          <w:pPr>
            <w:pStyle w:val="FooterText"/>
            <w:spacing w:before="40"/>
          </w:pPr>
        </w:p>
      </w:tc>
      <w:tc>
        <w:tcPr>
          <w:tcW w:w="1455" w:type="pct"/>
          <w:gridSpan w:val="3"/>
          <w:shd w:val="clear" w:color="auto" w:fill="auto"/>
        </w:tcPr>
        <w:p w14:paraId="39740D9E" w14:textId="39314A08" w:rsidR="00F72C9B" w:rsidRPr="00AD7BF2" w:rsidRDefault="00F72C9B" w:rsidP="00AF58D0">
          <w:pPr>
            <w:pStyle w:val="FooterText"/>
            <w:spacing w:before="40"/>
            <w:jc w:val="center"/>
          </w:pPr>
        </w:p>
      </w:tc>
      <w:tc>
        <w:tcPr>
          <w:tcW w:w="742" w:type="pct"/>
          <w:shd w:val="clear" w:color="auto" w:fill="auto"/>
        </w:tcPr>
        <w:p w14:paraId="343B3B12" w14:textId="77777777" w:rsidR="00F72C9B" w:rsidRPr="00D94637" w:rsidRDefault="00F72C9B" w:rsidP="00AF58D0">
          <w:pPr>
            <w:pStyle w:val="FooterText"/>
            <w:jc w:val="center"/>
            <w:rPr>
              <w:b/>
              <w:position w:val="-4"/>
              <w:sz w:val="36"/>
            </w:rPr>
          </w:pPr>
        </w:p>
      </w:tc>
      <w:tc>
        <w:tcPr>
          <w:tcW w:w="1029" w:type="pct"/>
          <w:gridSpan w:val="2"/>
          <w:shd w:val="clear" w:color="auto" w:fill="auto"/>
        </w:tcPr>
        <w:p w14:paraId="5F55DEC1" w14:textId="31377FDF" w:rsidR="00F72C9B" w:rsidRPr="00695BAF" w:rsidRDefault="00F72C9B" w:rsidP="00AF58D0">
          <w:pPr>
            <w:pStyle w:val="FooterText"/>
            <w:jc w:val="right"/>
            <w:rPr>
              <w:caps/>
              <w:spacing w:val="-20"/>
              <w:sz w:val="16"/>
            </w:rPr>
          </w:pPr>
        </w:p>
      </w:tc>
    </w:tr>
  </w:tbl>
  <w:p w14:paraId="103A86CE" w14:textId="77777777" w:rsidR="00F72C9B" w:rsidRPr="00271D33" w:rsidRDefault="00F72C9B" w:rsidP="00271D33">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848D" w14:textId="77777777" w:rsidR="00F72C9B" w:rsidRPr="00271D33" w:rsidRDefault="00F72C9B" w:rsidP="00271D3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B4D3" w14:textId="77777777" w:rsidR="00A84778" w:rsidRPr="00271D33" w:rsidRDefault="00A84778" w:rsidP="00271D33">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D94637" w14:paraId="5A79262D" w14:textId="77777777" w:rsidTr="00F46D42">
      <w:trPr>
        <w:jc w:val="center"/>
      </w:trPr>
      <w:tc>
        <w:tcPr>
          <w:tcW w:w="5000" w:type="pct"/>
          <w:gridSpan w:val="7"/>
          <w:shd w:val="clear" w:color="auto" w:fill="auto"/>
          <w:tcMar>
            <w:top w:w="57" w:type="dxa"/>
          </w:tcMar>
        </w:tcPr>
        <w:p w14:paraId="33B5A49F" w14:textId="77777777" w:rsidR="00A84778" w:rsidRPr="00D94637" w:rsidRDefault="00A84778" w:rsidP="00AF58D0">
          <w:pPr>
            <w:pStyle w:val="FooterText"/>
            <w:pBdr>
              <w:top w:val="single" w:sz="4" w:space="1" w:color="auto"/>
            </w:pBdr>
            <w:spacing w:before="200"/>
            <w:rPr>
              <w:sz w:val="2"/>
              <w:szCs w:val="2"/>
            </w:rPr>
          </w:pPr>
        </w:p>
      </w:tc>
    </w:tr>
    <w:tr w:rsidR="00A84778" w:rsidRPr="00B310DC" w14:paraId="48898AB5" w14:textId="77777777" w:rsidTr="00F46D42">
      <w:trPr>
        <w:jc w:val="center"/>
      </w:trPr>
      <w:tc>
        <w:tcPr>
          <w:tcW w:w="2500" w:type="pct"/>
          <w:gridSpan w:val="2"/>
          <w:shd w:val="clear" w:color="auto" w:fill="auto"/>
          <w:tcMar>
            <w:top w:w="0" w:type="dxa"/>
          </w:tcMar>
        </w:tcPr>
        <w:p w14:paraId="74BA71F3" w14:textId="04199EF2" w:rsidR="00A84778" w:rsidRPr="00AD7BF2" w:rsidRDefault="00A84778" w:rsidP="00AF58D0">
          <w:pPr>
            <w:pStyle w:val="FooterText"/>
          </w:pPr>
        </w:p>
      </w:tc>
      <w:tc>
        <w:tcPr>
          <w:tcW w:w="625" w:type="pct"/>
          <w:shd w:val="clear" w:color="auto" w:fill="auto"/>
          <w:tcMar>
            <w:top w:w="0" w:type="dxa"/>
          </w:tcMar>
        </w:tcPr>
        <w:p w14:paraId="2FB25CCE" w14:textId="77777777" w:rsidR="00A84778" w:rsidRPr="00AD7BF2" w:rsidRDefault="00A84778" w:rsidP="00AF58D0">
          <w:pPr>
            <w:pStyle w:val="FooterText"/>
            <w:jc w:val="center"/>
          </w:pPr>
        </w:p>
      </w:tc>
      <w:tc>
        <w:tcPr>
          <w:tcW w:w="1286" w:type="pct"/>
          <w:gridSpan w:val="3"/>
          <w:shd w:val="clear" w:color="auto" w:fill="auto"/>
          <w:tcMar>
            <w:top w:w="0" w:type="dxa"/>
          </w:tcMar>
        </w:tcPr>
        <w:p w14:paraId="689F2978" w14:textId="470E2120" w:rsidR="00A84778" w:rsidRPr="002511D8" w:rsidRDefault="00A84778" w:rsidP="00AF58D0">
          <w:pPr>
            <w:pStyle w:val="FooterText"/>
            <w:jc w:val="center"/>
          </w:pPr>
        </w:p>
      </w:tc>
      <w:tc>
        <w:tcPr>
          <w:tcW w:w="589" w:type="pct"/>
          <w:shd w:val="clear" w:color="auto" w:fill="auto"/>
          <w:tcMar>
            <w:top w:w="0" w:type="dxa"/>
          </w:tcMar>
        </w:tcPr>
        <w:p w14:paraId="3D06CA3E" w14:textId="18CF5AED" w:rsidR="00A84778" w:rsidRPr="00B310DC" w:rsidRDefault="007B2921" w:rsidP="00AF58D0">
          <w:pPr>
            <w:pStyle w:val="FooterText"/>
            <w:jc w:val="right"/>
          </w:pPr>
          <w:r>
            <w:fldChar w:fldCharType="begin"/>
          </w:r>
          <w:r>
            <w:instrText xml:space="preserve"> PAGE  \* MERGEFORMAT </w:instrText>
          </w:r>
          <w:r>
            <w:fldChar w:fldCharType="separate"/>
          </w:r>
          <w:r w:rsidR="006E0EA2">
            <w:t>66</w:t>
          </w:r>
          <w:r>
            <w:fldChar w:fldCharType="end"/>
          </w:r>
        </w:p>
      </w:tc>
    </w:tr>
    <w:tr w:rsidR="00A84778" w:rsidRPr="00D94637" w14:paraId="5ABACDAD" w14:textId="77777777" w:rsidTr="00F46D42">
      <w:trPr>
        <w:jc w:val="center"/>
      </w:trPr>
      <w:tc>
        <w:tcPr>
          <w:tcW w:w="1774" w:type="pct"/>
          <w:shd w:val="clear" w:color="auto" w:fill="auto"/>
        </w:tcPr>
        <w:p w14:paraId="5F9B27F4" w14:textId="77777777" w:rsidR="00A84778" w:rsidRPr="00AD7BF2" w:rsidRDefault="00A84778" w:rsidP="00AF58D0">
          <w:pPr>
            <w:pStyle w:val="FooterText"/>
            <w:spacing w:before="40"/>
          </w:pPr>
        </w:p>
      </w:tc>
      <w:tc>
        <w:tcPr>
          <w:tcW w:w="1455" w:type="pct"/>
          <w:gridSpan w:val="3"/>
          <w:shd w:val="clear" w:color="auto" w:fill="auto"/>
        </w:tcPr>
        <w:p w14:paraId="5E58B28D" w14:textId="0E1497BF" w:rsidR="00A84778" w:rsidRPr="00AD7BF2" w:rsidRDefault="00A84778" w:rsidP="00AF58D0">
          <w:pPr>
            <w:pStyle w:val="FooterText"/>
            <w:spacing w:before="40"/>
            <w:jc w:val="center"/>
          </w:pPr>
        </w:p>
      </w:tc>
      <w:tc>
        <w:tcPr>
          <w:tcW w:w="742" w:type="pct"/>
          <w:shd w:val="clear" w:color="auto" w:fill="auto"/>
        </w:tcPr>
        <w:p w14:paraId="0BC6AF2E" w14:textId="77777777" w:rsidR="00A84778" w:rsidRPr="00D94637" w:rsidRDefault="00A84778" w:rsidP="00AF58D0">
          <w:pPr>
            <w:pStyle w:val="FooterText"/>
            <w:jc w:val="center"/>
            <w:rPr>
              <w:b/>
              <w:position w:val="-4"/>
              <w:sz w:val="36"/>
            </w:rPr>
          </w:pPr>
        </w:p>
      </w:tc>
      <w:tc>
        <w:tcPr>
          <w:tcW w:w="1029" w:type="pct"/>
          <w:gridSpan w:val="2"/>
          <w:shd w:val="clear" w:color="auto" w:fill="auto"/>
        </w:tcPr>
        <w:p w14:paraId="603B3706" w14:textId="3161C022" w:rsidR="00A84778" w:rsidRPr="00695BAF" w:rsidRDefault="00A84778" w:rsidP="00AF58D0">
          <w:pPr>
            <w:pStyle w:val="FooterText"/>
            <w:jc w:val="right"/>
            <w:rPr>
              <w:caps/>
              <w:spacing w:val="-20"/>
              <w:sz w:val="16"/>
            </w:rPr>
          </w:pPr>
        </w:p>
      </w:tc>
    </w:tr>
  </w:tbl>
  <w:p w14:paraId="4B714049" w14:textId="77777777" w:rsidR="00A84778" w:rsidRPr="00271D33" w:rsidRDefault="00A84778" w:rsidP="00271D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2DFF" w14:textId="77777777" w:rsidR="00F72C9B" w:rsidRDefault="00F72C9B">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D856" w14:textId="77777777" w:rsidR="00A84778" w:rsidRPr="00271D33" w:rsidRDefault="00A84778" w:rsidP="00271D33">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6C28" w14:textId="77777777" w:rsidR="00A84778" w:rsidRPr="00271D33" w:rsidRDefault="00A84778" w:rsidP="00271D33">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18"/>
      <w:gridCol w:w="1317"/>
      <w:gridCol w:w="1134"/>
      <w:gridCol w:w="189"/>
      <w:gridCol w:w="1346"/>
      <w:gridCol w:w="798"/>
      <w:gridCol w:w="1069"/>
    </w:tblGrid>
    <w:tr w:rsidR="00A84778" w:rsidRPr="00B310DC" w14:paraId="67E417C8" w14:textId="77777777" w:rsidTr="00F46D42">
      <w:trPr>
        <w:jc w:val="center"/>
      </w:trPr>
      <w:tc>
        <w:tcPr>
          <w:tcW w:w="2500" w:type="pct"/>
          <w:gridSpan w:val="2"/>
          <w:shd w:val="clear" w:color="auto" w:fill="auto"/>
          <w:tcMar>
            <w:top w:w="0" w:type="dxa"/>
          </w:tcMar>
        </w:tcPr>
        <w:p w14:paraId="75A4D4A0" w14:textId="7C61E261" w:rsidR="00A84778" w:rsidRPr="00AD7BF2" w:rsidRDefault="00A84778" w:rsidP="00AF58D0">
          <w:pPr>
            <w:pStyle w:val="FooterText"/>
          </w:pPr>
        </w:p>
      </w:tc>
      <w:tc>
        <w:tcPr>
          <w:tcW w:w="625" w:type="pct"/>
          <w:shd w:val="clear" w:color="auto" w:fill="auto"/>
          <w:tcMar>
            <w:top w:w="0" w:type="dxa"/>
          </w:tcMar>
        </w:tcPr>
        <w:p w14:paraId="4F7DE4B4" w14:textId="77777777" w:rsidR="00A84778" w:rsidRPr="00AD7BF2" w:rsidRDefault="00A84778" w:rsidP="00AF58D0">
          <w:pPr>
            <w:pStyle w:val="FooterText"/>
            <w:jc w:val="center"/>
          </w:pPr>
        </w:p>
      </w:tc>
      <w:tc>
        <w:tcPr>
          <w:tcW w:w="1286" w:type="pct"/>
          <w:gridSpan w:val="3"/>
          <w:shd w:val="clear" w:color="auto" w:fill="auto"/>
          <w:tcMar>
            <w:top w:w="0" w:type="dxa"/>
          </w:tcMar>
        </w:tcPr>
        <w:p w14:paraId="2BBB9A7E" w14:textId="53018541" w:rsidR="00A84778" w:rsidRPr="002511D8" w:rsidRDefault="00A84778" w:rsidP="00AF58D0">
          <w:pPr>
            <w:pStyle w:val="FooterText"/>
            <w:jc w:val="center"/>
          </w:pPr>
        </w:p>
      </w:tc>
      <w:tc>
        <w:tcPr>
          <w:tcW w:w="589" w:type="pct"/>
          <w:shd w:val="clear" w:color="auto" w:fill="auto"/>
          <w:tcMar>
            <w:top w:w="0" w:type="dxa"/>
          </w:tcMar>
        </w:tcPr>
        <w:p w14:paraId="5722AA17" w14:textId="65DFEA52" w:rsidR="00A84778" w:rsidRPr="00B310DC" w:rsidRDefault="00413ACE" w:rsidP="00AF58D0">
          <w:pPr>
            <w:pStyle w:val="FooterText"/>
            <w:jc w:val="right"/>
          </w:pPr>
          <w:r>
            <w:fldChar w:fldCharType="begin"/>
          </w:r>
          <w:r>
            <w:instrText xml:space="preserve"> PAGE  \* MERGEFORMAT </w:instrText>
          </w:r>
          <w:r>
            <w:fldChar w:fldCharType="separate"/>
          </w:r>
          <w:r w:rsidR="006E0EA2">
            <w:t>75</w:t>
          </w:r>
          <w:r>
            <w:fldChar w:fldCharType="end"/>
          </w:r>
        </w:p>
      </w:tc>
    </w:tr>
    <w:tr w:rsidR="00A84778" w:rsidRPr="00D94637" w14:paraId="11074552" w14:textId="77777777" w:rsidTr="00F46D42">
      <w:trPr>
        <w:jc w:val="center"/>
      </w:trPr>
      <w:tc>
        <w:tcPr>
          <w:tcW w:w="1774" w:type="pct"/>
          <w:shd w:val="clear" w:color="auto" w:fill="auto"/>
        </w:tcPr>
        <w:p w14:paraId="34715549" w14:textId="77777777" w:rsidR="00A84778" w:rsidRPr="00AD7BF2" w:rsidRDefault="00A84778" w:rsidP="00AF58D0">
          <w:pPr>
            <w:pStyle w:val="FooterText"/>
            <w:spacing w:before="40"/>
          </w:pPr>
        </w:p>
      </w:tc>
      <w:tc>
        <w:tcPr>
          <w:tcW w:w="1455" w:type="pct"/>
          <w:gridSpan w:val="3"/>
          <w:shd w:val="clear" w:color="auto" w:fill="auto"/>
        </w:tcPr>
        <w:p w14:paraId="7AE18E22" w14:textId="23E2E896" w:rsidR="00A84778" w:rsidRPr="00AD7BF2" w:rsidRDefault="00A84778" w:rsidP="00AF58D0">
          <w:pPr>
            <w:pStyle w:val="FooterText"/>
            <w:spacing w:before="40"/>
            <w:jc w:val="center"/>
          </w:pPr>
        </w:p>
      </w:tc>
      <w:tc>
        <w:tcPr>
          <w:tcW w:w="742" w:type="pct"/>
          <w:shd w:val="clear" w:color="auto" w:fill="auto"/>
        </w:tcPr>
        <w:p w14:paraId="3A16AC88" w14:textId="77777777" w:rsidR="00A84778" w:rsidRPr="00D94637" w:rsidRDefault="00A84778" w:rsidP="00AF58D0">
          <w:pPr>
            <w:pStyle w:val="FooterText"/>
            <w:jc w:val="center"/>
            <w:rPr>
              <w:b/>
              <w:position w:val="-4"/>
              <w:sz w:val="36"/>
            </w:rPr>
          </w:pPr>
        </w:p>
      </w:tc>
      <w:tc>
        <w:tcPr>
          <w:tcW w:w="1029" w:type="pct"/>
          <w:gridSpan w:val="2"/>
          <w:shd w:val="clear" w:color="auto" w:fill="auto"/>
        </w:tcPr>
        <w:p w14:paraId="12E5B2C1" w14:textId="4CDBB606" w:rsidR="00A84778" w:rsidRPr="00695BAF" w:rsidRDefault="00A84778" w:rsidP="00AF58D0">
          <w:pPr>
            <w:pStyle w:val="FooterText"/>
            <w:jc w:val="right"/>
            <w:rPr>
              <w:caps/>
              <w:spacing w:val="-20"/>
              <w:sz w:val="16"/>
            </w:rPr>
          </w:pPr>
        </w:p>
      </w:tc>
    </w:tr>
  </w:tbl>
  <w:p w14:paraId="5EFB1EE6" w14:textId="77777777" w:rsidR="00A84778" w:rsidRPr="00271D33" w:rsidRDefault="00A84778" w:rsidP="00271D33">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1422" w14:textId="77777777" w:rsidR="00A84778" w:rsidRPr="00271D33" w:rsidRDefault="00A84778" w:rsidP="00271D33">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0397" w14:textId="77777777" w:rsidR="00A84778" w:rsidRPr="00271D33" w:rsidRDefault="00A84778" w:rsidP="00271D33">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2210FD3F" w14:textId="77777777" w:rsidTr="00F46D42">
      <w:trPr>
        <w:jc w:val="center"/>
      </w:trPr>
      <w:tc>
        <w:tcPr>
          <w:tcW w:w="2500" w:type="pct"/>
          <w:gridSpan w:val="2"/>
          <w:shd w:val="clear" w:color="auto" w:fill="auto"/>
          <w:tcMar>
            <w:top w:w="0" w:type="dxa"/>
          </w:tcMar>
        </w:tcPr>
        <w:p w14:paraId="785DE0C6" w14:textId="0175CC6D" w:rsidR="00A84778" w:rsidRPr="00AD7BF2" w:rsidRDefault="00A84778" w:rsidP="00AF58D0">
          <w:pPr>
            <w:pStyle w:val="FooterText"/>
          </w:pPr>
        </w:p>
      </w:tc>
      <w:tc>
        <w:tcPr>
          <w:tcW w:w="625" w:type="pct"/>
          <w:shd w:val="clear" w:color="auto" w:fill="auto"/>
          <w:tcMar>
            <w:top w:w="0" w:type="dxa"/>
          </w:tcMar>
        </w:tcPr>
        <w:p w14:paraId="448506AA" w14:textId="77777777" w:rsidR="00A84778" w:rsidRPr="00AD7BF2" w:rsidRDefault="00A84778" w:rsidP="00AF58D0">
          <w:pPr>
            <w:pStyle w:val="FooterText"/>
            <w:jc w:val="center"/>
          </w:pPr>
        </w:p>
      </w:tc>
      <w:tc>
        <w:tcPr>
          <w:tcW w:w="1286" w:type="pct"/>
          <w:gridSpan w:val="3"/>
          <w:shd w:val="clear" w:color="auto" w:fill="auto"/>
          <w:tcMar>
            <w:top w:w="0" w:type="dxa"/>
          </w:tcMar>
        </w:tcPr>
        <w:p w14:paraId="3E5D6F9D" w14:textId="446C1531" w:rsidR="00A84778" w:rsidRPr="002511D8" w:rsidRDefault="00A84778" w:rsidP="00AF58D0">
          <w:pPr>
            <w:pStyle w:val="FooterText"/>
            <w:jc w:val="center"/>
          </w:pPr>
        </w:p>
      </w:tc>
      <w:tc>
        <w:tcPr>
          <w:tcW w:w="589" w:type="pct"/>
          <w:shd w:val="clear" w:color="auto" w:fill="auto"/>
          <w:tcMar>
            <w:top w:w="0" w:type="dxa"/>
          </w:tcMar>
        </w:tcPr>
        <w:p w14:paraId="218FBB4B" w14:textId="5350FE90" w:rsidR="00A84778" w:rsidRPr="00B310DC" w:rsidRDefault="007B2921" w:rsidP="00AF58D0">
          <w:pPr>
            <w:pStyle w:val="FooterText"/>
            <w:jc w:val="right"/>
          </w:pPr>
          <w:r>
            <w:fldChar w:fldCharType="begin"/>
          </w:r>
          <w:r>
            <w:instrText xml:space="preserve"> PAGE  \* MERGEFORMAT </w:instrText>
          </w:r>
          <w:r>
            <w:fldChar w:fldCharType="separate"/>
          </w:r>
          <w:r w:rsidR="006E0EA2">
            <w:t>78</w:t>
          </w:r>
          <w:r>
            <w:fldChar w:fldCharType="end"/>
          </w:r>
        </w:p>
      </w:tc>
    </w:tr>
    <w:tr w:rsidR="00A84778" w:rsidRPr="00D94637" w14:paraId="431FB4A0" w14:textId="77777777" w:rsidTr="00F46D42">
      <w:trPr>
        <w:jc w:val="center"/>
      </w:trPr>
      <w:tc>
        <w:tcPr>
          <w:tcW w:w="1774" w:type="pct"/>
          <w:shd w:val="clear" w:color="auto" w:fill="auto"/>
        </w:tcPr>
        <w:p w14:paraId="00D01AEE" w14:textId="77777777" w:rsidR="00A84778" w:rsidRPr="00AD7BF2" w:rsidRDefault="00A84778" w:rsidP="00AF58D0">
          <w:pPr>
            <w:pStyle w:val="FooterText"/>
            <w:spacing w:before="40"/>
          </w:pPr>
        </w:p>
      </w:tc>
      <w:tc>
        <w:tcPr>
          <w:tcW w:w="1455" w:type="pct"/>
          <w:gridSpan w:val="3"/>
          <w:shd w:val="clear" w:color="auto" w:fill="auto"/>
        </w:tcPr>
        <w:p w14:paraId="4AA5C30C" w14:textId="38BCF768" w:rsidR="00A84778" w:rsidRPr="00AD7BF2" w:rsidRDefault="00A84778" w:rsidP="00AF58D0">
          <w:pPr>
            <w:pStyle w:val="FooterText"/>
            <w:spacing w:before="40"/>
            <w:jc w:val="center"/>
          </w:pPr>
        </w:p>
      </w:tc>
      <w:tc>
        <w:tcPr>
          <w:tcW w:w="742" w:type="pct"/>
          <w:shd w:val="clear" w:color="auto" w:fill="auto"/>
        </w:tcPr>
        <w:p w14:paraId="5438921B" w14:textId="77777777" w:rsidR="00A84778" w:rsidRPr="00D94637" w:rsidRDefault="00A84778" w:rsidP="00AF58D0">
          <w:pPr>
            <w:pStyle w:val="FooterText"/>
            <w:jc w:val="center"/>
            <w:rPr>
              <w:b/>
              <w:position w:val="-4"/>
              <w:sz w:val="36"/>
            </w:rPr>
          </w:pPr>
        </w:p>
      </w:tc>
      <w:tc>
        <w:tcPr>
          <w:tcW w:w="1029" w:type="pct"/>
          <w:gridSpan w:val="2"/>
          <w:shd w:val="clear" w:color="auto" w:fill="auto"/>
        </w:tcPr>
        <w:p w14:paraId="1949E695" w14:textId="2283E38A" w:rsidR="00A84778" w:rsidRPr="00695BAF" w:rsidRDefault="00A84778" w:rsidP="00AF58D0">
          <w:pPr>
            <w:pStyle w:val="FooterText"/>
            <w:jc w:val="right"/>
            <w:rPr>
              <w:caps/>
              <w:spacing w:val="-20"/>
              <w:sz w:val="16"/>
            </w:rPr>
          </w:pPr>
        </w:p>
      </w:tc>
    </w:tr>
  </w:tbl>
  <w:p w14:paraId="32613771" w14:textId="77777777" w:rsidR="00A84778" w:rsidRPr="00271D33" w:rsidRDefault="00A84778" w:rsidP="00271D33">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7CC4" w14:textId="77777777" w:rsidR="00A84778" w:rsidRPr="00271D33" w:rsidRDefault="00A84778" w:rsidP="00271D33">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0CCE" w14:textId="77777777" w:rsidR="00A84778" w:rsidRPr="00271D33" w:rsidRDefault="00A84778" w:rsidP="00271D3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7756396E" w14:textId="77777777" w:rsidTr="00F46D42">
      <w:trPr>
        <w:jc w:val="center"/>
      </w:trPr>
      <w:tc>
        <w:tcPr>
          <w:tcW w:w="2500" w:type="pct"/>
          <w:gridSpan w:val="2"/>
          <w:shd w:val="clear" w:color="auto" w:fill="auto"/>
          <w:tcMar>
            <w:top w:w="0" w:type="dxa"/>
          </w:tcMar>
        </w:tcPr>
        <w:p w14:paraId="45BE65D9" w14:textId="1B58AB1D" w:rsidR="00A84778" w:rsidRPr="00AD7BF2" w:rsidRDefault="00A84778" w:rsidP="00AF58D0">
          <w:pPr>
            <w:pStyle w:val="FooterText"/>
          </w:pPr>
        </w:p>
      </w:tc>
      <w:tc>
        <w:tcPr>
          <w:tcW w:w="625" w:type="pct"/>
          <w:shd w:val="clear" w:color="auto" w:fill="auto"/>
          <w:tcMar>
            <w:top w:w="0" w:type="dxa"/>
          </w:tcMar>
        </w:tcPr>
        <w:p w14:paraId="345608A1" w14:textId="77777777" w:rsidR="00A84778" w:rsidRPr="00AD7BF2" w:rsidRDefault="00A84778" w:rsidP="00AF58D0">
          <w:pPr>
            <w:pStyle w:val="FooterText"/>
            <w:jc w:val="center"/>
          </w:pPr>
        </w:p>
      </w:tc>
      <w:tc>
        <w:tcPr>
          <w:tcW w:w="1286" w:type="pct"/>
          <w:gridSpan w:val="3"/>
          <w:shd w:val="clear" w:color="auto" w:fill="auto"/>
          <w:tcMar>
            <w:top w:w="0" w:type="dxa"/>
          </w:tcMar>
        </w:tcPr>
        <w:p w14:paraId="6395D750" w14:textId="2578837A" w:rsidR="00A84778" w:rsidRPr="002511D8" w:rsidRDefault="00A84778" w:rsidP="00AF58D0">
          <w:pPr>
            <w:pStyle w:val="FooterText"/>
            <w:jc w:val="center"/>
          </w:pPr>
        </w:p>
      </w:tc>
      <w:tc>
        <w:tcPr>
          <w:tcW w:w="589" w:type="pct"/>
          <w:shd w:val="clear" w:color="auto" w:fill="auto"/>
          <w:tcMar>
            <w:top w:w="0" w:type="dxa"/>
          </w:tcMar>
        </w:tcPr>
        <w:p w14:paraId="0671F534" w14:textId="77777777" w:rsidR="005B6253" w:rsidRDefault="00413ACE" w:rsidP="00AF58D0">
          <w:pPr>
            <w:pStyle w:val="FooterText"/>
            <w:jc w:val="right"/>
          </w:pPr>
          <w:r>
            <w:fldChar w:fldCharType="begin"/>
          </w:r>
          <w:r>
            <w:instrText xml:space="preserve"> PAGE  \* MERGEFORMAT </w:instrText>
          </w:r>
          <w:r>
            <w:fldChar w:fldCharType="separate"/>
          </w:r>
          <w:r w:rsidR="006E0EA2">
            <w:t>95</w:t>
          </w:r>
          <w:r>
            <w:fldChar w:fldCharType="end"/>
          </w:r>
        </w:p>
        <w:p w14:paraId="5CD876E6" w14:textId="77777777" w:rsidR="00A84778" w:rsidRPr="00B310DC" w:rsidRDefault="00A84778" w:rsidP="00AF58D0">
          <w:pPr>
            <w:pStyle w:val="FooterText"/>
            <w:jc w:val="right"/>
          </w:pPr>
        </w:p>
      </w:tc>
    </w:tr>
    <w:tr w:rsidR="00A84778" w:rsidRPr="00D94637" w14:paraId="642106F8" w14:textId="77777777" w:rsidTr="00F46D42">
      <w:trPr>
        <w:jc w:val="center"/>
      </w:trPr>
      <w:tc>
        <w:tcPr>
          <w:tcW w:w="1774" w:type="pct"/>
          <w:shd w:val="clear" w:color="auto" w:fill="auto"/>
        </w:tcPr>
        <w:p w14:paraId="41E63609" w14:textId="77777777" w:rsidR="00A84778" w:rsidRPr="00AD7BF2" w:rsidRDefault="00A84778" w:rsidP="00AF58D0">
          <w:pPr>
            <w:pStyle w:val="FooterText"/>
            <w:spacing w:before="40"/>
          </w:pPr>
        </w:p>
      </w:tc>
      <w:tc>
        <w:tcPr>
          <w:tcW w:w="1455" w:type="pct"/>
          <w:gridSpan w:val="3"/>
          <w:shd w:val="clear" w:color="auto" w:fill="auto"/>
        </w:tcPr>
        <w:p w14:paraId="37B3C186" w14:textId="1361AEB8" w:rsidR="00A84778" w:rsidRPr="00AD7BF2" w:rsidRDefault="00A84778" w:rsidP="00AF58D0">
          <w:pPr>
            <w:pStyle w:val="FooterText"/>
            <w:spacing w:before="40"/>
            <w:jc w:val="center"/>
          </w:pPr>
        </w:p>
      </w:tc>
      <w:tc>
        <w:tcPr>
          <w:tcW w:w="742" w:type="pct"/>
          <w:shd w:val="clear" w:color="auto" w:fill="auto"/>
        </w:tcPr>
        <w:p w14:paraId="06140BBF" w14:textId="77777777" w:rsidR="00A84778" w:rsidRPr="00D94637" w:rsidRDefault="00A84778" w:rsidP="00AF58D0">
          <w:pPr>
            <w:pStyle w:val="FooterText"/>
            <w:jc w:val="center"/>
            <w:rPr>
              <w:b/>
              <w:position w:val="-4"/>
              <w:sz w:val="36"/>
            </w:rPr>
          </w:pPr>
        </w:p>
      </w:tc>
      <w:tc>
        <w:tcPr>
          <w:tcW w:w="1029" w:type="pct"/>
          <w:gridSpan w:val="2"/>
          <w:shd w:val="clear" w:color="auto" w:fill="auto"/>
        </w:tcPr>
        <w:p w14:paraId="4A135E9A" w14:textId="1F3019FD" w:rsidR="00A84778" w:rsidRPr="00695BAF" w:rsidRDefault="00A84778" w:rsidP="00AF58D0">
          <w:pPr>
            <w:pStyle w:val="FooterText"/>
            <w:jc w:val="right"/>
            <w:rPr>
              <w:caps/>
              <w:spacing w:val="-20"/>
              <w:sz w:val="16"/>
            </w:rPr>
          </w:pPr>
        </w:p>
      </w:tc>
    </w:tr>
  </w:tbl>
  <w:p w14:paraId="62154DCE" w14:textId="77777777" w:rsidR="00A84778" w:rsidRPr="00271D33" w:rsidRDefault="00A84778" w:rsidP="00271D33">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3115" w14:textId="77777777" w:rsidR="00A84778" w:rsidRPr="00271D33" w:rsidRDefault="00A84778" w:rsidP="00271D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4656" w14:textId="77777777" w:rsidR="00A84778" w:rsidRDefault="00A84778">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75C9" w14:textId="77777777" w:rsidR="00F72C9B" w:rsidRPr="00271D33" w:rsidRDefault="00F72C9B" w:rsidP="00271D33">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F72C9B" w:rsidRPr="00B310DC" w14:paraId="09BAC22F" w14:textId="77777777" w:rsidTr="00F46D42">
      <w:trPr>
        <w:jc w:val="center"/>
      </w:trPr>
      <w:tc>
        <w:tcPr>
          <w:tcW w:w="2500" w:type="pct"/>
          <w:gridSpan w:val="2"/>
          <w:shd w:val="clear" w:color="auto" w:fill="auto"/>
          <w:tcMar>
            <w:top w:w="0" w:type="dxa"/>
          </w:tcMar>
        </w:tcPr>
        <w:p w14:paraId="384500D8" w14:textId="0DA4973D" w:rsidR="00F72C9B" w:rsidRPr="00AD7BF2" w:rsidRDefault="00F72C9B" w:rsidP="00AF58D0">
          <w:pPr>
            <w:pStyle w:val="FooterText"/>
          </w:pPr>
        </w:p>
      </w:tc>
      <w:tc>
        <w:tcPr>
          <w:tcW w:w="625" w:type="pct"/>
          <w:shd w:val="clear" w:color="auto" w:fill="auto"/>
          <w:tcMar>
            <w:top w:w="0" w:type="dxa"/>
          </w:tcMar>
        </w:tcPr>
        <w:p w14:paraId="4A3E28DF" w14:textId="77777777" w:rsidR="00F72C9B" w:rsidRPr="00AD7BF2" w:rsidRDefault="00F72C9B" w:rsidP="00AF58D0">
          <w:pPr>
            <w:pStyle w:val="FooterText"/>
            <w:jc w:val="center"/>
          </w:pPr>
        </w:p>
      </w:tc>
      <w:tc>
        <w:tcPr>
          <w:tcW w:w="1286" w:type="pct"/>
          <w:gridSpan w:val="3"/>
          <w:shd w:val="clear" w:color="auto" w:fill="auto"/>
          <w:tcMar>
            <w:top w:w="0" w:type="dxa"/>
          </w:tcMar>
        </w:tcPr>
        <w:p w14:paraId="4DB2DB03" w14:textId="140136EB" w:rsidR="00F72C9B" w:rsidRPr="002511D8" w:rsidRDefault="00F72C9B" w:rsidP="00AF58D0">
          <w:pPr>
            <w:pStyle w:val="FooterText"/>
            <w:jc w:val="center"/>
          </w:pPr>
        </w:p>
      </w:tc>
      <w:tc>
        <w:tcPr>
          <w:tcW w:w="589" w:type="pct"/>
          <w:shd w:val="clear" w:color="auto" w:fill="auto"/>
          <w:tcMar>
            <w:top w:w="0" w:type="dxa"/>
          </w:tcMar>
        </w:tcPr>
        <w:p w14:paraId="6188E06C" w14:textId="77777777" w:rsidR="00F72C9B" w:rsidRDefault="00F72C9B" w:rsidP="00AF58D0">
          <w:pPr>
            <w:pStyle w:val="FooterText"/>
            <w:jc w:val="right"/>
          </w:pPr>
          <w:r>
            <w:fldChar w:fldCharType="begin"/>
          </w:r>
          <w:r>
            <w:instrText xml:space="preserve"> PAGE  \* MERGEFORMAT </w:instrText>
          </w:r>
          <w:r>
            <w:fldChar w:fldCharType="separate"/>
          </w:r>
          <w:r>
            <w:t>95</w:t>
          </w:r>
          <w:r>
            <w:fldChar w:fldCharType="end"/>
          </w:r>
        </w:p>
        <w:p w14:paraId="5B16835F" w14:textId="77777777" w:rsidR="00F72C9B" w:rsidRPr="00B310DC" w:rsidRDefault="00F72C9B" w:rsidP="00AF58D0">
          <w:pPr>
            <w:pStyle w:val="FooterText"/>
            <w:jc w:val="right"/>
          </w:pPr>
        </w:p>
      </w:tc>
    </w:tr>
    <w:tr w:rsidR="00F72C9B" w:rsidRPr="00D94637" w14:paraId="42B53151" w14:textId="77777777" w:rsidTr="00F46D42">
      <w:trPr>
        <w:jc w:val="center"/>
      </w:trPr>
      <w:tc>
        <w:tcPr>
          <w:tcW w:w="1774" w:type="pct"/>
          <w:shd w:val="clear" w:color="auto" w:fill="auto"/>
        </w:tcPr>
        <w:p w14:paraId="5CB8436A" w14:textId="77777777" w:rsidR="00F72C9B" w:rsidRPr="00AD7BF2" w:rsidRDefault="00F72C9B" w:rsidP="00AF58D0">
          <w:pPr>
            <w:pStyle w:val="FooterText"/>
            <w:spacing w:before="40"/>
          </w:pPr>
        </w:p>
      </w:tc>
      <w:tc>
        <w:tcPr>
          <w:tcW w:w="1455" w:type="pct"/>
          <w:gridSpan w:val="3"/>
          <w:shd w:val="clear" w:color="auto" w:fill="auto"/>
        </w:tcPr>
        <w:p w14:paraId="23FF1825" w14:textId="0539C32D" w:rsidR="00F72C9B" w:rsidRPr="00AD7BF2" w:rsidRDefault="00F72C9B" w:rsidP="00AF58D0">
          <w:pPr>
            <w:pStyle w:val="FooterText"/>
            <w:spacing w:before="40"/>
            <w:jc w:val="center"/>
          </w:pPr>
        </w:p>
      </w:tc>
      <w:tc>
        <w:tcPr>
          <w:tcW w:w="742" w:type="pct"/>
          <w:shd w:val="clear" w:color="auto" w:fill="auto"/>
        </w:tcPr>
        <w:p w14:paraId="0C4E06BB" w14:textId="77777777" w:rsidR="00F72C9B" w:rsidRPr="00D94637" w:rsidRDefault="00F72C9B" w:rsidP="00AF58D0">
          <w:pPr>
            <w:pStyle w:val="FooterText"/>
            <w:jc w:val="center"/>
            <w:rPr>
              <w:b/>
              <w:position w:val="-4"/>
              <w:sz w:val="36"/>
            </w:rPr>
          </w:pPr>
        </w:p>
      </w:tc>
      <w:tc>
        <w:tcPr>
          <w:tcW w:w="1029" w:type="pct"/>
          <w:gridSpan w:val="2"/>
          <w:shd w:val="clear" w:color="auto" w:fill="auto"/>
        </w:tcPr>
        <w:p w14:paraId="2864EBC2" w14:textId="29D255FE" w:rsidR="00F72C9B" w:rsidRPr="00695BAF" w:rsidRDefault="00F72C9B" w:rsidP="00AF58D0">
          <w:pPr>
            <w:pStyle w:val="FooterText"/>
            <w:jc w:val="right"/>
            <w:rPr>
              <w:caps/>
              <w:spacing w:val="-20"/>
              <w:sz w:val="16"/>
            </w:rPr>
          </w:pPr>
        </w:p>
      </w:tc>
    </w:tr>
  </w:tbl>
  <w:p w14:paraId="3C31C0F9" w14:textId="77777777" w:rsidR="00F72C9B" w:rsidRPr="00271D33" w:rsidRDefault="00F72C9B" w:rsidP="00271D33">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14F7" w14:textId="77777777" w:rsidR="00F72C9B" w:rsidRPr="00271D33" w:rsidRDefault="00F72C9B" w:rsidP="00271D33">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88DE1" w14:textId="77777777" w:rsidR="00A84778" w:rsidRPr="00271D33" w:rsidRDefault="00A84778" w:rsidP="00271D33">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18"/>
      <w:gridCol w:w="1317"/>
      <w:gridCol w:w="1134"/>
      <w:gridCol w:w="189"/>
      <w:gridCol w:w="1346"/>
      <w:gridCol w:w="798"/>
      <w:gridCol w:w="1069"/>
    </w:tblGrid>
    <w:tr w:rsidR="00A84778" w:rsidRPr="00B310DC" w14:paraId="00705B55" w14:textId="77777777" w:rsidTr="00F46D42">
      <w:trPr>
        <w:jc w:val="center"/>
      </w:trPr>
      <w:tc>
        <w:tcPr>
          <w:tcW w:w="2500" w:type="pct"/>
          <w:gridSpan w:val="2"/>
          <w:shd w:val="clear" w:color="auto" w:fill="auto"/>
          <w:tcMar>
            <w:top w:w="0" w:type="dxa"/>
          </w:tcMar>
        </w:tcPr>
        <w:p w14:paraId="384BBA8A" w14:textId="4EFBBD93" w:rsidR="00A84778" w:rsidRPr="00AD7BF2" w:rsidRDefault="00A84778" w:rsidP="00AF58D0">
          <w:pPr>
            <w:pStyle w:val="FooterText"/>
          </w:pPr>
        </w:p>
      </w:tc>
      <w:tc>
        <w:tcPr>
          <w:tcW w:w="625" w:type="pct"/>
          <w:shd w:val="clear" w:color="auto" w:fill="auto"/>
          <w:tcMar>
            <w:top w:w="0" w:type="dxa"/>
          </w:tcMar>
        </w:tcPr>
        <w:p w14:paraId="4C3FFF39" w14:textId="77777777" w:rsidR="00A84778" w:rsidRPr="00AD7BF2" w:rsidRDefault="00A84778" w:rsidP="00AF58D0">
          <w:pPr>
            <w:pStyle w:val="FooterText"/>
            <w:jc w:val="center"/>
          </w:pPr>
        </w:p>
      </w:tc>
      <w:tc>
        <w:tcPr>
          <w:tcW w:w="1286" w:type="pct"/>
          <w:gridSpan w:val="3"/>
          <w:shd w:val="clear" w:color="auto" w:fill="auto"/>
          <w:tcMar>
            <w:top w:w="0" w:type="dxa"/>
          </w:tcMar>
        </w:tcPr>
        <w:p w14:paraId="4E2F054C" w14:textId="156496D9" w:rsidR="00A84778" w:rsidRPr="002511D8" w:rsidRDefault="00A84778" w:rsidP="00AF58D0">
          <w:pPr>
            <w:pStyle w:val="FooterText"/>
            <w:jc w:val="center"/>
          </w:pPr>
        </w:p>
      </w:tc>
      <w:tc>
        <w:tcPr>
          <w:tcW w:w="589" w:type="pct"/>
          <w:shd w:val="clear" w:color="auto" w:fill="auto"/>
          <w:tcMar>
            <w:top w:w="0" w:type="dxa"/>
          </w:tcMar>
        </w:tcPr>
        <w:p w14:paraId="7CEB1B68" w14:textId="77777777" w:rsidR="005B6253" w:rsidRDefault="00413ACE" w:rsidP="00AF58D0">
          <w:pPr>
            <w:pStyle w:val="FooterText"/>
            <w:jc w:val="right"/>
          </w:pPr>
          <w:r>
            <w:fldChar w:fldCharType="begin"/>
          </w:r>
          <w:r>
            <w:instrText xml:space="preserve"> PAGE  \* MERGEFORMAT </w:instrText>
          </w:r>
          <w:r>
            <w:fldChar w:fldCharType="separate"/>
          </w:r>
          <w:r w:rsidR="006E0EA2">
            <w:t>98</w:t>
          </w:r>
          <w:r>
            <w:fldChar w:fldCharType="end"/>
          </w:r>
        </w:p>
        <w:p w14:paraId="62876D13" w14:textId="77777777" w:rsidR="00A84778" w:rsidRPr="00B310DC" w:rsidRDefault="00A84778" w:rsidP="00AF58D0">
          <w:pPr>
            <w:pStyle w:val="FooterText"/>
            <w:jc w:val="right"/>
          </w:pPr>
        </w:p>
      </w:tc>
    </w:tr>
    <w:tr w:rsidR="00A84778" w:rsidRPr="00D94637" w14:paraId="0DCE1580" w14:textId="77777777" w:rsidTr="00F46D42">
      <w:trPr>
        <w:jc w:val="center"/>
      </w:trPr>
      <w:tc>
        <w:tcPr>
          <w:tcW w:w="1774" w:type="pct"/>
          <w:shd w:val="clear" w:color="auto" w:fill="auto"/>
        </w:tcPr>
        <w:p w14:paraId="716C6ECB" w14:textId="77777777" w:rsidR="00A84778" w:rsidRPr="00AD7BF2" w:rsidRDefault="00A84778" w:rsidP="00AF58D0">
          <w:pPr>
            <w:pStyle w:val="FooterText"/>
            <w:spacing w:before="40"/>
          </w:pPr>
        </w:p>
      </w:tc>
      <w:tc>
        <w:tcPr>
          <w:tcW w:w="1455" w:type="pct"/>
          <w:gridSpan w:val="3"/>
          <w:shd w:val="clear" w:color="auto" w:fill="auto"/>
        </w:tcPr>
        <w:p w14:paraId="67E3544F" w14:textId="10C29F43" w:rsidR="00A84778" w:rsidRPr="00AD7BF2" w:rsidRDefault="00A84778" w:rsidP="00AF58D0">
          <w:pPr>
            <w:pStyle w:val="FooterText"/>
            <w:spacing w:before="40"/>
            <w:jc w:val="center"/>
          </w:pPr>
        </w:p>
      </w:tc>
      <w:tc>
        <w:tcPr>
          <w:tcW w:w="742" w:type="pct"/>
          <w:shd w:val="clear" w:color="auto" w:fill="auto"/>
        </w:tcPr>
        <w:p w14:paraId="17265C1A" w14:textId="77777777" w:rsidR="00A84778" w:rsidRPr="00D94637" w:rsidRDefault="00A84778" w:rsidP="00AF58D0">
          <w:pPr>
            <w:pStyle w:val="FooterText"/>
            <w:jc w:val="center"/>
            <w:rPr>
              <w:b/>
              <w:position w:val="-4"/>
              <w:sz w:val="36"/>
            </w:rPr>
          </w:pPr>
        </w:p>
      </w:tc>
      <w:tc>
        <w:tcPr>
          <w:tcW w:w="1029" w:type="pct"/>
          <w:gridSpan w:val="2"/>
          <w:shd w:val="clear" w:color="auto" w:fill="auto"/>
        </w:tcPr>
        <w:p w14:paraId="35A81F86" w14:textId="7E4AA5AB" w:rsidR="00A84778" w:rsidRPr="00695BAF" w:rsidRDefault="00A84778" w:rsidP="00AF58D0">
          <w:pPr>
            <w:pStyle w:val="FooterText"/>
            <w:jc w:val="right"/>
            <w:rPr>
              <w:caps/>
              <w:spacing w:val="-20"/>
              <w:sz w:val="16"/>
            </w:rPr>
          </w:pPr>
        </w:p>
      </w:tc>
    </w:tr>
  </w:tbl>
  <w:p w14:paraId="361B7D5B" w14:textId="77777777" w:rsidR="00A84778" w:rsidRPr="00271D33" w:rsidRDefault="00A84778" w:rsidP="00271D33">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BA33" w14:textId="77777777" w:rsidR="00A84778" w:rsidRPr="00271D33" w:rsidRDefault="00A84778" w:rsidP="00271D33">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5F8C" w14:textId="77777777" w:rsidR="00A84778" w:rsidRPr="00271D33" w:rsidRDefault="00A84778" w:rsidP="00271D33">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9"/>
      <w:gridCol w:w="1134"/>
      <w:gridCol w:w="187"/>
      <w:gridCol w:w="1346"/>
      <w:gridCol w:w="800"/>
      <w:gridCol w:w="1067"/>
    </w:tblGrid>
    <w:tr w:rsidR="00A84778" w:rsidRPr="00B310DC" w14:paraId="6A00627B" w14:textId="77777777" w:rsidTr="004865AC">
      <w:trPr>
        <w:jc w:val="center"/>
      </w:trPr>
      <w:tc>
        <w:tcPr>
          <w:tcW w:w="2501" w:type="pct"/>
          <w:gridSpan w:val="2"/>
          <w:shd w:val="clear" w:color="auto" w:fill="auto"/>
          <w:tcMar>
            <w:top w:w="0" w:type="dxa"/>
          </w:tcMar>
        </w:tcPr>
        <w:p w14:paraId="1C4DC96B" w14:textId="3E7F88FD" w:rsidR="00A84778" w:rsidRPr="00AD7BF2" w:rsidRDefault="00A84778" w:rsidP="00B10DBC">
          <w:pPr>
            <w:pStyle w:val="FooterText"/>
          </w:pPr>
        </w:p>
      </w:tc>
      <w:tc>
        <w:tcPr>
          <w:tcW w:w="625" w:type="pct"/>
          <w:shd w:val="clear" w:color="auto" w:fill="auto"/>
          <w:tcMar>
            <w:top w:w="0" w:type="dxa"/>
          </w:tcMar>
        </w:tcPr>
        <w:p w14:paraId="6F34D8F2" w14:textId="77777777" w:rsidR="00A84778" w:rsidRPr="00AD7BF2" w:rsidRDefault="00A84778" w:rsidP="00B10DBC">
          <w:pPr>
            <w:pStyle w:val="FooterText"/>
            <w:jc w:val="center"/>
          </w:pPr>
        </w:p>
      </w:tc>
      <w:tc>
        <w:tcPr>
          <w:tcW w:w="1286" w:type="pct"/>
          <w:gridSpan w:val="3"/>
          <w:shd w:val="clear" w:color="auto" w:fill="auto"/>
          <w:tcMar>
            <w:top w:w="0" w:type="dxa"/>
          </w:tcMar>
        </w:tcPr>
        <w:p w14:paraId="5973BC44" w14:textId="3E8CE6D0" w:rsidR="00A84778" w:rsidRPr="002511D8" w:rsidRDefault="00A84778" w:rsidP="00B10DBC">
          <w:pPr>
            <w:pStyle w:val="FooterText"/>
            <w:jc w:val="center"/>
          </w:pPr>
        </w:p>
      </w:tc>
      <w:tc>
        <w:tcPr>
          <w:tcW w:w="589" w:type="pct"/>
          <w:shd w:val="clear" w:color="auto" w:fill="auto"/>
          <w:tcMar>
            <w:top w:w="0" w:type="dxa"/>
          </w:tcMar>
        </w:tcPr>
        <w:p w14:paraId="480A5C63" w14:textId="77777777" w:rsidR="005B6253" w:rsidRDefault="0031073C" w:rsidP="00B10DBC">
          <w:pPr>
            <w:pStyle w:val="FooterText"/>
            <w:jc w:val="right"/>
          </w:pPr>
          <w:r>
            <w:fldChar w:fldCharType="begin"/>
          </w:r>
          <w:r>
            <w:instrText xml:space="preserve"> PAGE  \* MERGEFORMAT </w:instrText>
          </w:r>
          <w:r>
            <w:fldChar w:fldCharType="separate"/>
          </w:r>
          <w:r w:rsidR="006E0EA2">
            <w:t>102</w:t>
          </w:r>
          <w:r>
            <w:fldChar w:fldCharType="end"/>
          </w:r>
        </w:p>
        <w:p w14:paraId="50871A14" w14:textId="77777777" w:rsidR="00A84778" w:rsidRPr="00B310DC" w:rsidRDefault="00A84778" w:rsidP="00B10DBC">
          <w:pPr>
            <w:pStyle w:val="FooterText"/>
            <w:jc w:val="right"/>
          </w:pPr>
        </w:p>
      </w:tc>
    </w:tr>
    <w:tr w:rsidR="00A84778" w:rsidRPr="00D94637" w14:paraId="5AC4DBCF" w14:textId="77777777" w:rsidTr="00F46D42">
      <w:trPr>
        <w:jc w:val="center"/>
      </w:trPr>
      <w:tc>
        <w:tcPr>
          <w:tcW w:w="1774" w:type="pct"/>
          <w:shd w:val="clear" w:color="auto" w:fill="auto"/>
        </w:tcPr>
        <w:p w14:paraId="2BCEF422" w14:textId="77777777" w:rsidR="00A84778" w:rsidRPr="00AD7BF2" w:rsidRDefault="00A84778" w:rsidP="00B10DBC">
          <w:pPr>
            <w:pStyle w:val="FooterText"/>
            <w:spacing w:before="40"/>
          </w:pPr>
        </w:p>
      </w:tc>
      <w:tc>
        <w:tcPr>
          <w:tcW w:w="1455" w:type="pct"/>
          <w:gridSpan w:val="3"/>
          <w:shd w:val="clear" w:color="auto" w:fill="auto"/>
        </w:tcPr>
        <w:p w14:paraId="3D7881F6" w14:textId="07AE234D" w:rsidR="00A84778" w:rsidRPr="00AD7BF2" w:rsidRDefault="00A84778" w:rsidP="00B10DBC">
          <w:pPr>
            <w:pStyle w:val="FooterText"/>
            <w:spacing w:before="40"/>
            <w:jc w:val="center"/>
          </w:pPr>
        </w:p>
      </w:tc>
      <w:tc>
        <w:tcPr>
          <w:tcW w:w="742" w:type="pct"/>
          <w:shd w:val="clear" w:color="auto" w:fill="auto"/>
        </w:tcPr>
        <w:p w14:paraId="531E8A64" w14:textId="77777777" w:rsidR="00A84778" w:rsidRPr="00D94637" w:rsidRDefault="00A84778" w:rsidP="00B10DBC">
          <w:pPr>
            <w:pStyle w:val="FooterText"/>
            <w:jc w:val="center"/>
            <w:rPr>
              <w:b/>
              <w:position w:val="-4"/>
              <w:sz w:val="36"/>
            </w:rPr>
          </w:pPr>
        </w:p>
      </w:tc>
      <w:tc>
        <w:tcPr>
          <w:tcW w:w="1029" w:type="pct"/>
          <w:gridSpan w:val="2"/>
          <w:shd w:val="clear" w:color="auto" w:fill="auto"/>
        </w:tcPr>
        <w:p w14:paraId="55AFF7DE" w14:textId="2AA499D4" w:rsidR="00A84778" w:rsidRPr="00695BAF" w:rsidRDefault="00A84778" w:rsidP="00B10DBC">
          <w:pPr>
            <w:pStyle w:val="FooterText"/>
            <w:jc w:val="right"/>
            <w:rPr>
              <w:caps/>
              <w:spacing w:val="-20"/>
              <w:sz w:val="16"/>
            </w:rPr>
          </w:pPr>
        </w:p>
      </w:tc>
    </w:tr>
  </w:tbl>
  <w:p w14:paraId="4D317E13" w14:textId="77777777" w:rsidR="00A84778" w:rsidRPr="00271D33" w:rsidRDefault="00A84778" w:rsidP="00271D33">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13B3" w14:textId="77777777" w:rsidR="00A84778" w:rsidRPr="00271D33" w:rsidRDefault="00A84778" w:rsidP="00271D33">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5FB2" w14:textId="77777777" w:rsidR="00A84778" w:rsidRPr="00271D33" w:rsidRDefault="00A84778" w:rsidP="00271D3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170"/>
      <w:gridCol w:w="2119"/>
      <w:gridCol w:w="1821"/>
      <w:gridCol w:w="300"/>
      <w:gridCol w:w="2162"/>
      <w:gridCol w:w="1285"/>
      <w:gridCol w:w="1714"/>
    </w:tblGrid>
    <w:tr w:rsidR="00A84778" w:rsidRPr="00B310DC" w14:paraId="4EA99B35" w14:textId="77777777" w:rsidTr="0033380C">
      <w:trPr>
        <w:jc w:val="center"/>
      </w:trPr>
      <w:tc>
        <w:tcPr>
          <w:tcW w:w="2501" w:type="pct"/>
          <w:gridSpan w:val="2"/>
          <w:shd w:val="clear" w:color="auto" w:fill="auto"/>
          <w:tcMar>
            <w:top w:w="0" w:type="dxa"/>
          </w:tcMar>
        </w:tcPr>
        <w:p w14:paraId="66B32ACE" w14:textId="3FB0638F" w:rsidR="00A84778" w:rsidRPr="00AD7BF2" w:rsidRDefault="00A84778" w:rsidP="00F46D42">
          <w:pPr>
            <w:pStyle w:val="FooterText"/>
          </w:pPr>
        </w:p>
      </w:tc>
      <w:tc>
        <w:tcPr>
          <w:tcW w:w="625" w:type="pct"/>
          <w:shd w:val="clear" w:color="auto" w:fill="auto"/>
          <w:tcMar>
            <w:top w:w="0" w:type="dxa"/>
          </w:tcMar>
        </w:tcPr>
        <w:p w14:paraId="027E167A" w14:textId="77777777" w:rsidR="00A84778" w:rsidRPr="00AD7BF2" w:rsidRDefault="00A84778" w:rsidP="00F46D42">
          <w:pPr>
            <w:pStyle w:val="FooterText"/>
            <w:jc w:val="center"/>
          </w:pPr>
        </w:p>
      </w:tc>
      <w:tc>
        <w:tcPr>
          <w:tcW w:w="1286" w:type="pct"/>
          <w:gridSpan w:val="3"/>
          <w:shd w:val="clear" w:color="auto" w:fill="auto"/>
          <w:tcMar>
            <w:top w:w="0" w:type="dxa"/>
          </w:tcMar>
        </w:tcPr>
        <w:p w14:paraId="3A31008A" w14:textId="768AA387" w:rsidR="00A84778" w:rsidRPr="002511D8" w:rsidRDefault="00A84778" w:rsidP="00F46D42">
          <w:pPr>
            <w:pStyle w:val="FooterText"/>
            <w:jc w:val="center"/>
          </w:pPr>
        </w:p>
      </w:tc>
      <w:tc>
        <w:tcPr>
          <w:tcW w:w="589" w:type="pct"/>
          <w:shd w:val="clear" w:color="auto" w:fill="auto"/>
          <w:tcMar>
            <w:top w:w="0" w:type="dxa"/>
          </w:tcMar>
        </w:tcPr>
        <w:p w14:paraId="04EE8D26" w14:textId="40F99EA8" w:rsidR="00A84778" w:rsidRPr="00B310DC" w:rsidRDefault="00A84778" w:rsidP="00F46D42">
          <w:pPr>
            <w:pStyle w:val="FooterText"/>
            <w:jc w:val="right"/>
          </w:pPr>
          <w:r>
            <w:fldChar w:fldCharType="begin"/>
          </w:r>
          <w:r>
            <w:instrText xml:space="preserve"> PAGE  \* MERGEFORMAT </w:instrText>
          </w:r>
          <w:r>
            <w:fldChar w:fldCharType="separate"/>
          </w:r>
          <w:r w:rsidR="00247639">
            <w:rPr>
              <w:noProof/>
            </w:rPr>
            <w:t>6</w:t>
          </w:r>
          <w:r>
            <w:fldChar w:fldCharType="end"/>
          </w:r>
        </w:p>
      </w:tc>
    </w:tr>
    <w:tr w:rsidR="00A84778" w:rsidRPr="00D94637" w14:paraId="052FA680" w14:textId="77777777" w:rsidTr="00271D33">
      <w:trPr>
        <w:jc w:val="center"/>
      </w:trPr>
      <w:tc>
        <w:tcPr>
          <w:tcW w:w="1774" w:type="pct"/>
          <w:shd w:val="clear" w:color="auto" w:fill="auto"/>
        </w:tcPr>
        <w:p w14:paraId="5BB42721" w14:textId="77777777" w:rsidR="00A84778" w:rsidRPr="00AD7BF2" w:rsidRDefault="00A84778" w:rsidP="00F46D42">
          <w:pPr>
            <w:pStyle w:val="FooterText"/>
            <w:spacing w:before="40"/>
          </w:pPr>
        </w:p>
      </w:tc>
      <w:tc>
        <w:tcPr>
          <w:tcW w:w="1455" w:type="pct"/>
          <w:gridSpan w:val="3"/>
          <w:shd w:val="clear" w:color="auto" w:fill="auto"/>
        </w:tcPr>
        <w:p w14:paraId="294E05E4" w14:textId="5ACFF22E" w:rsidR="00A84778" w:rsidRPr="00AD7BF2" w:rsidRDefault="00A84778" w:rsidP="00F46D42">
          <w:pPr>
            <w:pStyle w:val="FooterText"/>
            <w:spacing w:before="40"/>
            <w:jc w:val="center"/>
          </w:pPr>
        </w:p>
      </w:tc>
      <w:tc>
        <w:tcPr>
          <w:tcW w:w="742" w:type="pct"/>
          <w:shd w:val="clear" w:color="auto" w:fill="auto"/>
        </w:tcPr>
        <w:p w14:paraId="3144BAB2" w14:textId="77777777" w:rsidR="00A84778" w:rsidRPr="00D94637" w:rsidRDefault="00A84778" w:rsidP="00F46D42">
          <w:pPr>
            <w:pStyle w:val="FooterText"/>
            <w:jc w:val="center"/>
            <w:rPr>
              <w:b/>
              <w:position w:val="-4"/>
              <w:sz w:val="36"/>
            </w:rPr>
          </w:pPr>
        </w:p>
      </w:tc>
      <w:tc>
        <w:tcPr>
          <w:tcW w:w="1029" w:type="pct"/>
          <w:gridSpan w:val="2"/>
          <w:shd w:val="clear" w:color="auto" w:fill="auto"/>
        </w:tcPr>
        <w:p w14:paraId="34BB015A" w14:textId="5011ED78" w:rsidR="00A84778" w:rsidRPr="00695BAF" w:rsidRDefault="00A84778" w:rsidP="00F46D42">
          <w:pPr>
            <w:pStyle w:val="FooterText"/>
            <w:jc w:val="right"/>
            <w:rPr>
              <w:caps/>
              <w:spacing w:val="-20"/>
              <w:sz w:val="16"/>
            </w:rPr>
          </w:pPr>
        </w:p>
      </w:tc>
    </w:tr>
  </w:tbl>
  <w:p w14:paraId="101336F3" w14:textId="77777777" w:rsidR="00A84778" w:rsidRPr="00A873DC" w:rsidRDefault="00A84778" w:rsidP="00271D33">
    <w:pPr>
      <w:pStyle w:val="FooterCouncil"/>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3AB9B0C2" w14:textId="77777777" w:rsidTr="00F46D42">
      <w:trPr>
        <w:jc w:val="center"/>
      </w:trPr>
      <w:tc>
        <w:tcPr>
          <w:tcW w:w="2500" w:type="pct"/>
          <w:gridSpan w:val="2"/>
          <w:shd w:val="clear" w:color="auto" w:fill="auto"/>
          <w:tcMar>
            <w:top w:w="0" w:type="dxa"/>
          </w:tcMar>
        </w:tcPr>
        <w:p w14:paraId="0F68E2EC" w14:textId="29D52680" w:rsidR="00A84778" w:rsidRPr="00AD7BF2" w:rsidRDefault="00A84778" w:rsidP="00B10DBC">
          <w:pPr>
            <w:pStyle w:val="FooterText"/>
          </w:pPr>
        </w:p>
      </w:tc>
      <w:tc>
        <w:tcPr>
          <w:tcW w:w="625" w:type="pct"/>
          <w:shd w:val="clear" w:color="auto" w:fill="auto"/>
          <w:tcMar>
            <w:top w:w="0" w:type="dxa"/>
          </w:tcMar>
        </w:tcPr>
        <w:p w14:paraId="45D620A5" w14:textId="77777777" w:rsidR="00A84778" w:rsidRPr="00AD7BF2" w:rsidRDefault="00A84778" w:rsidP="00B10DBC">
          <w:pPr>
            <w:pStyle w:val="FooterText"/>
            <w:jc w:val="center"/>
          </w:pPr>
        </w:p>
      </w:tc>
      <w:tc>
        <w:tcPr>
          <w:tcW w:w="1286" w:type="pct"/>
          <w:gridSpan w:val="3"/>
          <w:shd w:val="clear" w:color="auto" w:fill="auto"/>
          <w:tcMar>
            <w:top w:w="0" w:type="dxa"/>
          </w:tcMar>
        </w:tcPr>
        <w:p w14:paraId="42AF3A86" w14:textId="4149086D" w:rsidR="00A84778" w:rsidRPr="002511D8" w:rsidRDefault="00A84778" w:rsidP="00B10DBC">
          <w:pPr>
            <w:pStyle w:val="FooterText"/>
            <w:jc w:val="center"/>
          </w:pPr>
        </w:p>
      </w:tc>
      <w:tc>
        <w:tcPr>
          <w:tcW w:w="589" w:type="pct"/>
          <w:shd w:val="clear" w:color="auto" w:fill="auto"/>
          <w:tcMar>
            <w:top w:w="0" w:type="dxa"/>
          </w:tcMar>
        </w:tcPr>
        <w:p w14:paraId="576505B0" w14:textId="77777777" w:rsidR="005B6253" w:rsidRDefault="00413ACE" w:rsidP="00B10DBC">
          <w:pPr>
            <w:pStyle w:val="FooterText"/>
            <w:jc w:val="right"/>
          </w:pPr>
          <w:r>
            <w:fldChar w:fldCharType="begin"/>
          </w:r>
          <w:r>
            <w:instrText xml:space="preserve"> PAGE  \* MERGEFORMAT </w:instrText>
          </w:r>
          <w:r>
            <w:fldChar w:fldCharType="separate"/>
          </w:r>
          <w:r w:rsidR="006E0EA2">
            <w:t>105</w:t>
          </w:r>
          <w:r>
            <w:fldChar w:fldCharType="end"/>
          </w:r>
        </w:p>
        <w:p w14:paraId="59981710" w14:textId="77777777" w:rsidR="00A84778" w:rsidRPr="00B310DC" w:rsidRDefault="00A84778" w:rsidP="00B10DBC">
          <w:pPr>
            <w:pStyle w:val="FooterText"/>
            <w:jc w:val="right"/>
          </w:pPr>
        </w:p>
      </w:tc>
    </w:tr>
    <w:tr w:rsidR="00A84778" w:rsidRPr="00D94637" w14:paraId="7CD51B28" w14:textId="77777777" w:rsidTr="00F46D42">
      <w:trPr>
        <w:jc w:val="center"/>
      </w:trPr>
      <w:tc>
        <w:tcPr>
          <w:tcW w:w="1774" w:type="pct"/>
          <w:shd w:val="clear" w:color="auto" w:fill="auto"/>
        </w:tcPr>
        <w:p w14:paraId="00BEC431" w14:textId="77777777" w:rsidR="00A84778" w:rsidRPr="00AD7BF2" w:rsidRDefault="00A84778" w:rsidP="00B10DBC">
          <w:pPr>
            <w:pStyle w:val="FooterText"/>
            <w:spacing w:before="40"/>
          </w:pPr>
        </w:p>
      </w:tc>
      <w:tc>
        <w:tcPr>
          <w:tcW w:w="1455" w:type="pct"/>
          <w:gridSpan w:val="3"/>
          <w:shd w:val="clear" w:color="auto" w:fill="auto"/>
        </w:tcPr>
        <w:p w14:paraId="31794ABE" w14:textId="346FD4F2" w:rsidR="00A84778" w:rsidRPr="00AD7BF2" w:rsidRDefault="00A84778" w:rsidP="00B10DBC">
          <w:pPr>
            <w:pStyle w:val="FooterText"/>
            <w:spacing w:before="40"/>
            <w:jc w:val="center"/>
          </w:pPr>
        </w:p>
      </w:tc>
      <w:tc>
        <w:tcPr>
          <w:tcW w:w="742" w:type="pct"/>
          <w:shd w:val="clear" w:color="auto" w:fill="auto"/>
        </w:tcPr>
        <w:p w14:paraId="153524AF" w14:textId="77777777" w:rsidR="00A84778" w:rsidRPr="00D94637" w:rsidRDefault="00A84778" w:rsidP="00B10DBC">
          <w:pPr>
            <w:pStyle w:val="FooterText"/>
            <w:jc w:val="center"/>
            <w:rPr>
              <w:b/>
              <w:position w:val="-4"/>
              <w:sz w:val="36"/>
            </w:rPr>
          </w:pPr>
        </w:p>
      </w:tc>
      <w:tc>
        <w:tcPr>
          <w:tcW w:w="1029" w:type="pct"/>
          <w:gridSpan w:val="2"/>
          <w:shd w:val="clear" w:color="auto" w:fill="auto"/>
        </w:tcPr>
        <w:p w14:paraId="32CCFB65" w14:textId="3DB71A11" w:rsidR="00A84778" w:rsidRPr="00695BAF" w:rsidRDefault="00A84778" w:rsidP="00B10DBC">
          <w:pPr>
            <w:pStyle w:val="FooterText"/>
            <w:jc w:val="right"/>
            <w:rPr>
              <w:caps/>
              <w:spacing w:val="-20"/>
              <w:sz w:val="16"/>
            </w:rPr>
          </w:pPr>
        </w:p>
      </w:tc>
    </w:tr>
  </w:tbl>
  <w:p w14:paraId="167FBE57" w14:textId="77777777" w:rsidR="00A84778" w:rsidRPr="00271D33" w:rsidRDefault="00A84778" w:rsidP="00271D33">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2EF6" w14:textId="77777777" w:rsidR="00A84778" w:rsidRPr="00271D33" w:rsidRDefault="00A84778" w:rsidP="00271D33">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963D" w14:textId="77777777" w:rsidR="00A84778" w:rsidRPr="00271D33" w:rsidRDefault="00A84778" w:rsidP="00271D33">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40145FB6" w14:textId="77777777" w:rsidTr="00F46D42">
      <w:trPr>
        <w:jc w:val="center"/>
      </w:trPr>
      <w:tc>
        <w:tcPr>
          <w:tcW w:w="2500" w:type="pct"/>
          <w:gridSpan w:val="2"/>
          <w:shd w:val="clear" w:color="auto" w:fill="auto"/>
          <w:tcMar>
            <w:top w:w="0" w:type="dxa"/>
          </w:tcMar>
        </w:tcPr>
        <w:p w14:paraId="089B32F6" w14:textId="5E095A0B" w:rsidR="00A84778" w:rsidRPr="00AD7BF2" w:rsidRDefault="00A84778" w:rsidP="00B10DBC">
          <w:pPr>
            <w:pStyle w:val="FooterText"/>
          </w:pPr>
        </w:p>
      </w:tc>
      <w:tc>
        <w:tcPr>
          <w:tcW w:w="625" w:type="pct"/>
          <w:shd w:val="clear" w:color="auto" w:fill="auto"/>
          <w:tcMar>
            <w:top w:w="0" w:type="dxa"/>
          </w:tcMar>
        </w:tcPr>
        <w:p w14:paraId="44FEAEA1" w14:textId="77777777" w:rsidR="00A84778" w:rsidRPr="00AD7BF2" w:rsidRDefault="00A84778" w:rsidP="00B10DBC">
          <w:pPr>
            <w:pStyle w:val="FooterText"/>
            <w:jc w:val="center"/>
          </w:pPr>
        </w:p>
      </w:tc>
      <w:tc>
        <w:tcPr>
          <w:tcW w:w="1286" w:type="pct"/>
          <w:gridSpan w:val="3"/>
          <w:shd w:val="clear" w:color="auto" w:fill="auto"/>
          <w:tcMar>
            <w:top w:w="0" w:type="dxa"/>
          </w:tcMar>
        </w:tcPr>
        <w:p w14:paraId="797E3738" w14:textId="49E129B1" w:rsidR="00A84778" w:rsidRPr="002511D8" w:rsidRDefault="00A84778" w:rsidP="00B10DBC">
          <w:pPr>
            <w:pStyle w:val="FooterText"/>
            <w:jc w:val="center"/>
          </w:pPr>
        </w:p>
      </w:tc>
      <w:tc>
        <w:tcPr>
          <w:tcW w:w="589" w:type="pct"/>
          <w:shd w:val="clear" w:color="auto" w:fill="auto"/>
          <w:tcMar>
            <w:top w:w="0" w:type="dxa"/>
          </w:tcMar>
        </w:tcPr>
        <w:p w14:paraId="7A194C49" w14:textId="77777777" w:rsidR="005B6253" w:rsidRDefault="00413ACE" w:rsidP="00B10DBC">
          <w:pPr>
            <w:pStyle w:val="FooterText"/>
            <w:jc w:val="right"/>
          </w:pPr>
          <w:r>
            <w:fldChar w:fldCharType="begin"/>
          </w:r>
          <w:r>
            <w:instrText xml:space="preserve"> PAGE  \* MERGEFORMAT </w:instrText>
          </w:r>
          <w:r>
            <w:fldChar w:fldCharType="separate"/>
          </w:r>
          <w:r w:rsidR="006E0EA2">
            <w:t>108</w:t>
          </w:r>
          <w:r>
            <w:fldChar w:fldCharType="end"/>
          </w:r>
        </w:p>
        <w:p w14:paraId="379090EB" w14:textId="77777777" w:rsidR="00A84778" w:rsidRPr="00B310DC" w:rsidRDefault="00A84778" w:rsidP="00B10DBC">
          <w:pPr>
            <w:pStyle w:val="FooterText"/>
            <w:jc w:val="right"/>
          </w:pPr>
        </w:p>
      </w:tc>
    </w:tr>
    <w:tr w:rsidR="00A84778" w:rsidRPr="00D94637" w14:paraId="485461DE" w14:textId="77777777" w:rsidTr="00F46D42">
      <w:trPr>
        <w:jc w:val="center"/>
      </w:trPr>
      <w:tc>
        <w:tcPr>
          <w:tcW w:w="1774" w:type="pct"/>
          <w:shd w:val="clear" w:color="auto" w:fill="auto"/>
        </w:tcPr>
        <w:p w14:paraId="68A8A8E0" w14:textId="77777777" w:rsidR="00A84778" w:rsidRPr="00AD7BF2" w:rsidRDefault="00A84778" w:rsidP="00B10DBC">
          <w:pPr>
            <w:pStyle w:val="FooterText"/>
            <w:spacing w:before="40"/>
          </w:pPr>
        </w:p>
      </w:tc>
      <w:tc>
        <w:tcPr>
          <w:tcW w:w="1455" w:type="pct"/>
          <w:gridSpan w:val="3"/>
          <w:shd w:val="clear" w:color="auto" w:fill="auto"/>
        </w:tcPr>
        <w:p w14:paraId="29637876" w14:textId="424AC7D6" w:rsidR="00A84778" w:rsidRPr="00AD7BF2" w:rsidRDefault="00A84778" w:rsidP="00B10DBC">
          <w:pPr>
            <w:pStyle w:val="FooterText"/>
            <w:spacing w:before="40"/>
            <w:jc w:val="center"/>
          </w:pPr>
        </w:p>
      </w:tc>
      <w:tc>
        <w:tcPr>
          <w:tcW w:w="742" w:type="pct"/>
          <w:shd w:val="clear" w:color="auto" w:fill="auto"/>
        </w:tcPr>
        <w:p w14:paraId="68110D99" w14:textId="77777777" w:rsidR="00A84778" w:rsidRPr="00D94637" w:rsidRDefault="00A84778" w:rsidP="00B10DBC">
          <w:pPr>
            <w:pStyle w:val="FooterText"/>
            <w:jc w:val="center"/>
            <w:rPr>
              <w:b/>
              <w:position w:val="-4"/>
              <w:sz w:val="36"/>
            </w:rPr>
          </w:pPr>
        </w:p>
      </w:tc>
      <w:tc>
        <w:tcPr>
          <w:tcW w:w="1029" w:type="pct"/>
          <w:gridSpan w:val="2"/>
          <w:shd w:val="clear" w:color="auto" w:fill="auto"/>
        </w:tcPr>
        <w:p w14:paraId="71439267" w14:textId="7132BB5D" w:rsidR="00A84778" w:rsidRPr="00695BAF" w:rsidRDefault="00A84778" w:rsidP="00B10DBC">
          <w:pPr>
            <w:pStyle w:val="FooterText"/>
            <w:jc w:val="right"/>
            <w:rPr>
              <w:caps/>
              <w:spacing w:val="-20"/>
              <w:sz w:val="16"/>
            </w:rPr>
          </w:pPr>
        </w:p>
      </w:tc>
    </w:tr>
  </w:tbl>
  <w:p w14:paraId="683B6394" w14:textId="77777777" w:rsidR="00A84778" w:rsidRPr="00271D33" w:rsidRDefault="00A84778" w:rsidP="00271D33">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269A" w14:textId="77777777" w:rsidR="00A84778" w:rsidRPr="00271D33" w:rsidRDefault="00A84778" w:rsidP="00271D33">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0BDE5" w14:textId="77777777" w:rsidR="00A84778" w:rsidRPr="00271D33" w:rsidRDefault="00A84778" w:rsidP="00271D33">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18"/>
      <w:gridCol w:w="1317"/>
      <w:gridCol w:w="1134"/>
      <w:gridCol w:w="189"/>
      <w:gridCol w:w="1346"/>
      <w:gridCol w:w="798"/>
      <w:gridCol w:w="1069"/>
    </w:tblGrid>
    <w:tr w:rsidR="00A84778" w:rsidRPr="00B310DC" w14:paraId="23B88F78" w14:textId="77777777" w:rsidTr="00F46D42">
      <w:trPr>
        <w:jc w:val="center"/>
      </w:trPr>
      <w:tc>
        <w:tcPr>
          <w:tcW w:w="2500" w:type="pct"/>
          <w:gridSpan w:val="2"/>
          <w:shd w:val="clear" w:color="auto" w:fill="auto"/>
          <w:tcMar>
            <w:top w:w="0" w:type="dxa"/>
          </w:tcMar>
        </w:tcPr>
        <w:p w14:paraId="004F6F3F" w14:textId="7081F51C" w:rsidR="00A84778" w:rsidRPr="00AD7BF2" w:rsidRDefault="00A84778" w:rsidP="00B10DBC">
          <w:pPr>
            <w:pStyle w:val="FooterText"/>
          </w:pPr>
        </w:p>
      </w:tc>
      <w:tc>
        <w:tcPr>
          <w:tcW w:w="625" w:type="pct"/>
          <w:shd w:val="clear" w:color="auto" w:fill="auto"/>
          <w:tcMar>
            <w:top w:w="0" w:type="dxa"/>
          </w:tcMar>
        </w:tcPr>
        <w:p w14:paraId="026B69E1" w14:textId="77777777" w:rsidR="00A84778" w:rsidRPr="00AD7BF2" w:rsidRDefault="00A84778" w:rsidP="00B10DBC">
          <w:pPr>
            <w:pStyle w:val="FooterText"/>
            <w:jc w:val="center"/>
          </w:pPr>
        </w:p>
      </w:tc>
      <w:tc>
        <w:tcPr>
          <w:tcW w:w="1286" w:type="pct"/>
          <w:gridSpan w:val="3"/>
          <w:shd w:val="clear" w:color="auto" w:fill="auto"/>
          <w:tcMar>
            <w:top w:w="0" w:type="dxa"/>
          </w:tcMar>
        </w:tcPr>
        <w:p w14:paraId="6DC993BC" w14:textId="2F371DE0" w:rsidR="00A84778" w:rsidRPr="002511D8" w:rsidRDefault="00A84778" w:rsidP="00B10DBC">
          <w:pPr>
            <w:pStyle w:val="FooterText"/>
            <w:jc w:val="center"/>
          </w:pPr>
        </w:p>
      </w:tc>
      <w:tc>
        <w:tcPr>
          <w:tcW w:w="589" w:type="pct"/>
          <w:shd w:val="clear" w:color="auto" w:fill="auto"/>
          <w:tcMar>
            <w:top w:w="0" w:type="dxa"/>
          </w:tcMar>
        </w:tcPr>
        <w:p w14:paraId="693587F2" w14:textId="77777777" w:rsidR="005B6253" w:rsidRDefault="0031073C" w:rsidP="00B10DBC">
          <w:pPr>
            <w:pStyle w:val="FooterText"/>
            <w:jc w:val="right"/>
          </w:pPr>
          <w:r>
            <w:fldChar w:fldCharType="begin"/>
          </w:r>
          <w:r>
            <w:instrText xml:space="preserve"> PAGE  \* MERGEFORMAT </w:instrText>
          </w:r>
          <w:r>
            <w:fldChar w:fldCharType="separate"/>
          </w:r>
          <w:r w:rsidR="006E0EA2">
            <w:t>112</w:t>
          </w:r>
          <w:r>
            <w:fldChar w:fldCharType="end"/>
          </w:r>
        </w:p>
        <w:p w14:paraId="45AD4839" w14:textId="77777777" w:rsidR="00A84778" w:rsidRPr="00B310DC" w:rsidRDefault="00A84778" w:rsidP="00B10DBC">
          <w:pPr>
            <w:pStyle w:val="FooterText"/>
            <w:jc w:val="right"/>
          </w:pPr>
        </w:p>
      </w:tc>
    </w:tr>
    <w:tr w:rsidR="00A84778" w:rsidRPr="00D94637" w14:paraId="112913F8" w14:textId="77777777" w:rsidTr="00F46D42">
      <w:trPr>
        <w:jc w:val="center"/>
      </w:trPr>
      <w:tc>
        <w:tcPr>
          <w:tcW w:w="1774" w:type="pct"/>
          <w:shd w:val="clear" w:color="auto" w:fill="auto"/>
        </w:tcPr>
        <w:p w14:paraId="7A64C37C" w14:textId="77777777" w:rsidR="00A84778" w:rsidRPr="00AD7BF2" w:rsidRDefault="00A84778" w:rsidP="00B10DBC">
          <w:pPr>
            <w:pStyle w:val="FooterText"/>
            <w:spacing w:before="40"/>
          </w:pPr>
        </w:p>
      </w:tc>
      <w:tc>
        <w:tcPr>
          <w:tcW w:w="1455" w:type="pct"/>
          <w:gridSpan w:val="3"/>
          <w:shd w:val="clear" w:color="auto" w:fill="auto"/>
        </w:tcPr>
        <w:p w14:paraId="06AC6489" w14:textId="7BC0D1A2" w:rsidR="00A84778" w:rsidRPr="00AD7BF2" w:rsidRDefault="00A84778" w:rsidP="00B10DBC">
          <w:pPr>
            <w:pStyle w:val="FooterText"/>
            <w:spacing w:before="40"/>
            <w:jc w:val="center"/>
          </w:pPr>
        </w:p>
      </w:tc>
      <w:tc>
        <w:tcPr>
          <w:tcW w:w="742" w:type="pct"/>
          <w:shd w:val="clear" w:color="auto" w:fill="auto"/>
        </w:tcPr>
        <w:p w14:paraId="1E99923F" w14:textId="77777777" w:rsidR="00A84778" w:rsidRPr="00D94637" w:rsidRDefault="00A84778" w:rsidP="00B10DBC">
          <w:pPr>
            <w:pStyle w:val="FooterText"/>
            <w:jc w:val="center"/>
            <w:rPr>
              <w:b/>
              <w:position w:val="-4"/>
              <w:sz w:val="36"/>
            </w:rPr>
          </w:pPr>
        </w:p>
      </w:tc>
      <w:tc>
        <w:tcPr>
          <w:tcW w:w="1029" w:type="pct"/>
          <w:gridSpan w:val="2"/>
          <w:shd w:val="clear" w:color="auto" w:fill="auto"/>
        </w:tcPr>
        <w:p w14:paraId="048C3064" w14:textId="27D043AB" w:rsidR="00A84778" w:rsidRPr="00695BAF" w:rsidRDefault="00A84778" w:rsidP="00B10DBC">
          <w:pPr>
            <w:pStyle w:val="FooterText"/>
            <w:jc w:val="right"/>
            <w:rPr>
              <w:caps/>
              <w:spacing w:val="-20"/>
              <w:sz w:val="16"/>
            </w:rPr>
          </w:pPr>
        </w:p>
      </w:tc>
    </w:tr>
  </w:tbl>
  <w:p w14:paraId="6FEFC7F0" w14:textId="77777777" w:rsidR="00A84778" w:rsidRPr="00271D33" w:rsidRDefault="00A84778" w:rsidP="00271D33">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CD64" w14:textId="77777777" w:rsidR="00A84778" w:rsidRPr="00271D33" w:rsidRDefault="00A84778" w:rsidP="00271D33">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38537" w14:textId="77777777" w:rsidR="00A84778" w:rsidRPr="00271D33" w:rsidRDefault="00A84778" w:rsidP="00271D33">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4EE40F4D" w14:textId="77777777" w:rsidTr="00F46D42">
      <w:trPr>
        <w:jc w:val="center"/>
      </w:trPr>
      <w:tc>
        <w:tcPr>
          <w:tcW w:w="2500" w:type="pct"/>
          <w:gridSpan w:val="2"/>
          <w:shd w:val="clear" w:color="auto" w:fill="auto"/>
          <w:tcMar>
            <w:top w:w="0" w:type="dxa"/>
          </w:tcMar>
        </w:tcPr>
        <w:p w14:paraId="102C0B6E" w14:textId="3A25BCCF" w:rsidR="00A84778" w:rsidRPr="00AD7BF2" w:rsidRDefault="00A84778" w:rsidP="00406D7E">
          <w:pPr>
            <w:pStyle w:val="FooterText"/>
          </w:pPr>
        </w:p>
      </w:tc>
      <w:tc>
        <w:tcPr>
          <w:tcW w:w="625" w:type="pct"/>
          <w:shd w:val="clear" w:color="auto" w:fill="auto"/>
          <w:tcMar>
            <w:top w:w="0" w:type="dxa"/>
          </w:tcMar>
        </w:tcPr>
        <w:p w14:paraId="04BF2F7D" w14:textId="77777777" w:rsidR="00A84778" w:rsidRPr="00AD7BF2" w:rsidRDefault="00A84778" w:rsidP="00406D7E">
          <w:pPr>
            <w:pStyle w:val="FooterText"/>
            <w:jc w:val="center"/>
          </w:pPr>
        </w:p>
      </w:tc>
      <w:tc>
        <w:tcPr>
          <w:tcW w:w="1286" w:type="pct"/>
          <w:gridSpan w:val="3"/>
          <w:shd w:val="clear" w:color="auto" w:fill="auto"/>
          <w:tcMar>
            <w:top w:w="0" w:type="dxa"/>
          </w:tcMar>
        </w:tcPr>
        <w:p w14:paraId="358D8E8D" w14:textId="14707ADA" w:rsidR="00A84778" w:rsidRPr="002511D8" w:rsidRDefault="00A84778" w:rsidP="00406D7E">
          <w:pPr>
            <w:pStyle w:val="FooterText"/>
            <w:jc w:val="center"/>
          </w:pPr>
        </w:p>
      </w:tc>
      <w:tc>
        <w:tcPr>
          <w:tcW w:w="589" w:type="pct"/>
          <w:shd w:val="clear" w:color="auto" w:fill="auto"/>
          <w:tcMar>
            <w:top w:w="0" w:type="dxa"/>
          </w:tcMar>
        </w:tcPr>
        <w:p w14:paraId="12A27D49" w14:textId="77777777" w:rsidR="005B6253" w:rsidRDefault="00413ACE" w:rsidP="00406D7E">
          <w:pPr>
            <w:pStyle w:val="FooterText"/>
            <w:jc w:val="right"/>
          </w:pPr>
          <w:r>
            <w:fldChar w:fldCharType="begin"/>
          </w:r>
          <w:r>
            <w:instrText xml:space="preserve"> PAGE  \* MERGEFORMAT </w:instrText>
          </w:r>
          <w:r>
            <w:fldChar w:fldCharType="separate"/>
          </w:r>
          <w:r w:rsidR="006E0EA2">
            <w:t>113</w:t>
          </w:r>
          <w:r>
            <w:fldChar w:fldCharType="end"/>
          </w:r>
        </w:p>
        <w:p w14:paraId="7EAD069F" w14:textId="77777777" w:rsidR="00A84778" w:rsidRPr="00B310DC" w:rsidRDefault="00A84778" w:rsidP="00406D7E">
          <w:pPr>
            <w:pStyle w:val="FooterText"/>
            <w:jc w:val="right"/>
          </w:pPr>
        </w:p>
      </w:tc>
    </w:tr>
    <w:tr w:rsidR="00A84778" w:rsidRPr="00D94637" w14:paraId="4280878A" w14:textId="77777777" w:rsidTr="00F46D42">
      <w:trPr>
        <w:jc w:val="center"/>
      </w:trPr>
      <w:tc>
        <w:tcPr>
          <w:tcW w:w="1774" w:type="pct"/>
          <w:shd w:val="clear" w:color="auto" w:fill="auto"/>
        </w:tcPr>
        <w:p w14:paraId="1E2BDB76" w14:textId="77777777" w:rsidR="00A84778" w:rsidRPr="00AD7BF2" w:rsidRDefault="00A84778" w:rsidP="00406D7E">
          <w:pPr>
            <w:pStyle w:val="FooterText"/>
            <w:spacing w:before="40"/>
          </w:pPr>
        </w:p>
      </w:tc>
      <w:tc>
        <w:tcPr>
          <w:tcW w:w="1455" w:type="pct"/>
          <w:gridSpan w:val="3"/>
          <w:shd w:val="clear" w:color="auto" w:fill="auto"/>
        </w:tcPr>
        <w:p w14:paraId="138EF338" w14:textId="107FDDE6" w:rsidR="00A84778" w:rsidRPr="00AD7BF2" w:rsidRDefault="00A84778" w:rsidP="00406D7E">
          <w:pPr>
            <w:pStyle w:val="FooterText"/>
            <w:spacing w:before="40"/>
            <w:jc w:val="center"/>
          </w:pPr>
        </w:p>
      </w:tc>
      <w:tc>
        <w:tcPr>
          <w:tcW w:w="742" w:type="pct"/>
          <w:shd w:val="clear" w:color="auto" w:fill="auto"/>
        </w:tcPr>
        <w:p w14:paraId="6E156B68" w14:textId="77777777" w:rsidR="00A84778" w:rsidRPr="00D94637" w:rsidRDefault="00A84778" w:rsidP="00406D7E">
          <w:pPr>
            <w:pStyle w:val="FooterText"/>
            <w:jc w:val="center"/>
            <w:rPr>
              <w:b/>
              <w:position w:val="-4"/>
              <w:sz w:val="36"/>
            </w:rPr>
          </w:pPr>
        </w:p>
      </w:tc>
      <w:tc>
        <w:tcPr>
          <w:tcW w:w="1029" w:type="pct"/>
          <w:gridSpan w:val="2"/>
          <w:shd w:val="clear" w:color="auto" w:fill="auto"/>
        </w:tcPr>
        <w:p w14:paraId="46C65A3C" w14:textId="44A5321A" w:rsidR="00A84778" w:rsidRPr="00695BAF" w:rsidRDefault="00A84778" w:rsidP="00406D7E">
          <w:pPr>
            <w:pStyle w:val="FooterText"/>
            <w:jc w:val="right"/>
            <w:rPr>
              <w:caps/>
              <w:spacing w:val="-20"/>
              <w:sz w:val="16"/>
            </w:rPr>
          </w:pPr>
        </w:p>
      </w:tc>
    </w:tr>
  </w:tbl>
  <w:p w14:paraId="57DC8782" w14:textId="77777777" w:rsidR="00A84778" w:rsidRPr="00271D33" w:rsidRDefault="00A84778" w:rsidP="00271D3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4D1E" w14:textId="77777777" w:rsidR="00A84778" w:rsidRDefault="00A84778">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9C387" w14:textId="77777777" w:rsidR="00A84778" w:rsidRPr="00271D33" w:rsidRDefault="00A84778" w:rsidP="00271D33">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F974" w14:textId="77777777" w:rsidR="00F72C9B" w:rsidRPr="00271D33" w:rsidRDefault="00F72C9B" w:rsidP="00271D33">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714"/>
      <w:gridCol w:w="1520"/>
      <w:gridCol w:w="1308"/>
      <w:gridCol w:w="218"/>
      <w:gridCol w:w="1553"/>
      <w:gridCol w:w="921"/>
      <w:gridCol w:w="1233"/>
    </w:tblGrid>
    <w:tr w:rsidR="00F72C9B" w:rsidRPr="00B310DC" w14:paraId="375976A4" w14:textId="77777777" w:rsidTr="00F46D42">
      <w:trPr>
        <w:jc w:val="center"/>
      </w:trPr>
      <w:tc>
        <w:tcPr>
          <w:tcW w:w="2500" w:type="pct"/>
          <w:gridSpan w:val="2"/>
          <w:shd w:val="clear" w:color="auto" w:fill="auto"/>
          <w:tcMar>
            <w:top w:w="0" w:type="dxa"/>
          </w:tcMar>
        </w:tcPr>
        <w:p w14:paraId="299FA698" w14:textId="007708E7" w:rsidR="00F72C9B" w:rsidRPr="00AD7BF2" w:rsidRDefault="00F72C9B" w:rsidP="00406D7E">
          <w:pPr>
            <w:pStyle w:val="FooterText"/>
          </w:pPr>
        </w:p>
      </w:tc>
      <w:tc>
        <w:tcPr>
          <w:tcW w:w="625" w:type="pct"/>
          <w:shd w:val="clear" w:color="auto" w:fill="auto"/>
          <w:tcMar>
            <w:top w:w="0" w:type="dxa"/>
          </w:tcMar>
        </w:tcPr>
        <w:p w14:paraId="6CC6E3AB" w14:textId="77777777" w:rsidR="00F72C9B" w:rsidRPr="00AD7BF2" w:rsidRDefault="00F72C9B" w:rsidP="00406D7E">
          <w:pPr>
            <w:pStyle w:val="FooterText"/>
            <w:jc w:val="center"/>
          </w:pPr>
        </w:p>
      </w:tc>
      <w:tc>
        <w:tcPr>
          <w:tcW w:w="1286" w:type="pct"/>
          <w:gridSpan w:val="3"/>
          <w:shd w:val="clear" w:color="auto" w:fill="auto"/>
          <w:tcMar>
            <w:top w:w="0" w:type="dxa"/>
          </w:tcMar>
        </w:tcPr>
        <w:p w14:paraId="2518F7C8" w14:textId="2EFECFCF" w:rsidR="00F72C9B" w:rsidRPr="002511D8" w:rsidRDefault="00F72C9B" w:rsidP="00406D7E">
          <w:pPr>
            <w:pStyle w:val="FooterText"/>
            <w:jc w:val="center"/>
          </w:pPr>
        </w:p>
      </w:tc>
      <w:tc>
        <w:tcPr>
          <w:tcW w:w="589" w:type="pct"/>
          <w:shd w:val="clear" w:color="auto" w:fill="auto"/>
          <w:tcMar>
            <w:top w:w="0" w:type="dxa"/>
          </w:tcMar>
        </w:tcPr>
        <w:p w14:paraId="49E6736C" w14:textId="77777777" w:rsidR="00F72C9B" w:rsidRDefault="00F72C9B" w:rsidP="00406D7E">
          <w:pPr>
            <w:pStyle w:val="FooterText"/>
            <w:jc w:val="right"/>
          </w:pPr>
          <w:r>
            <w:fldChar w:fldCharType="begin"/>
          </w:r>
          <w:r>
            <w:instrText xml:space="preserve"> PAGE  \* MERGEFORMAT </w:instrText>
          </w:r>
          <w:r>
            <w:fldChar w:fldCharType="separate"/>
          </w:r>
          <w:r>
            <w:t>113</w:t>
          </w:r>
          <w:r>
            <w:fldChar w:fldCharType="end"/>
          </w:r>
        </w:p>
        <w:p w14:paraId="28E6BFD1" w14:textId="77777777" w:rsidR="00F72C9B" w:rsidRPr="00B310DC" w:rsidRDefault="00F72C9B" w:rsidP="00406D7E">
          <w:pPr>
            <w:pStyle w:val="FooterText"/>
            <w:jc w:val="right"/>
          </w:pPr>
        </w:p>
      </w:tc>
    </w:tr>
    <w:tr w:rsidR="00F72C9B" w:rsidRPr="00D94637" w14:paraId="0AFB527A" w14:textId="77777777" w:rsidTr="00F46D42">
      <w:trPr>
        <w:jc w:val="center"/>
      </w:trPr>
      <w:tc>
        <w:tcPr>
          <w:tcW w:w="1774" w:type="pct"/>
          <w:shd w:val="clear" w:color="auto" w:fill="auto"/>
        </w:tcPr>
        <w:p w14:paraId="7E293084" w14:textId="77777777" w:rsidR="00F72C9B" w:rsidRPr="00AD7BF2" w:rsidRDefault="00F72C9B" w:rsidP="00406D7E">
          <w:pPr>
            <w:pStyle w:val="FooterText"/>
            <w:spacing w:before="40"/>
          </w:pPr>
        </w:p>
      </w:tc>
      <w:tc>
        <w:tcPr>
          <w:tcW w:w="1455" w:type="pct"/>
          <w:gridSpan w:val="3"/>
          <w:shd w:val="clear" w:color="auto" w:fill="auto"/>
        </w:tcPr>
        <w:p w14:paraId="0D3727F9" w14:textId="45BE4235" w:rsidR="00F72C9B" w:rsidRPr="00AD7BF2" w:rsidRDefault="00F72C9B" w:rsidP="00406D7E">
          <w:pPr>
            <w:pStyle w:val="FooterText"/>
            <w:spacing w:before="40"/>
            <w:jc w:val="center"/>
          </w:pPr>
        </w:p>
      </w:tc>
      <w:tc>
        <w:tcPr>
          <w:tcW w:w="742" w:type="pct"/>
          <w:shd w:val="clear" w:color="auto" w:fill="auto"/>
        </w:tcPr>
        <w:p w14:paraId="18054437" w14:textId="77777777" w:rsidR="00F72C9B" w:rsidRPr="00D94637" w:rsidRDefault="00F72C9B" w:rsidP="00406D7E">
          <w:pPr>
            <w:pStyle w:val="FooterText"/>
            <w:jc w:val="center"/>
            <w:rPr>
              <w:b/>
              <w:position w:val="-4"/>
              <w:sz w:val="36"/>
            </w:rPr>
          </w:pPr>
        </w:p>
      </w:tc>
      <w:tc>
        <w:tcPr>
          <w:tcW w:w="1029" w:type="pct"/>
          <w:gridSpan w:val="2"/>
          <w:shd w:val="clear" w:color="auto" w:fill="auto"/>
        </w:tcPr>
        <w:p w14:paraId="1D16B3C5" w14:textId="54C93334" w:rsidR="00F72C9B" w:rsidRPr="00695BAF" w:rsidRDefault="00F72C9B" w:rsidP="00406D7E">
          <w:pPr>
            <w:pStyle w:val="FooterText"/>
            <w:jc w:val="right"/>
            <w:rPr>
              <w:caps/>
              <w:spacing w:val="-20"/>
              <w:sz w:val="16"/>
            </w:rPr>
          </w:pPr>
        </w:p>
      </w:tc>
    </w:tr>
  </w:tbl>
  <w:p w14:paraId="6697D7DA" w14:textId="77777777" w:rsidR="00F72C9B" w:rsidRPr="00271D33" w:rsidRDefault="00F72C9B" w:rsidP="00271D33">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8EAF" w14:textId="77777777" w:rsidR="00F72C9B" w:rsidRPr="00271D33" w:rsidRDefault="00F72C9B" w:rsidP="00271D33">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0126" w14:textId="77777777" w:rsidR="00A84778" w:rsidRPr="00271D33" w:rsidRDefault="00A84778" w:rsidP="00271D33">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2FCCC392" w14:textId="77777777" w:rsidTr="00F46D42">
      <w:trPr>
        <w:jc w:val="center"/>
      </w:trPr>
      <w:tc>
        <w:tcPr>
          <w:tcW w:w="2500" w:type="pct"/>
          <w:gridSpan w:val="2"/>
          <w:shd w:val="clear" w:color="auto" w:fill="auto"/>
          <w:tcMar>
            <w:top w:w="0" w:type="dxa"/>
          </w:tcMar>
        </w:tcPr>
        <w:p w14:paraId="6E92DE76" w14:textId="7922F7CC" w:rsidR="00A84778" w:rsidRPr="00AD7BF2" w:rsidRDefault="00A84778" w:rsidP="00406D7E">
          <w:pPr>
            <w:pStyle w:val="FooterText"/>
          </w:pPr>
        </w:p>
      </w:tc>
      <w:tc>
        <w:tcPr>
          <w:tcW w:w="625" w:type="pct"/>
          <w:shd w:val="clear" w:color="auto" w:fill="auto"/>
          <w:tcMar>
            <w:top w:w="0" w:type="dxa"/>
          </w:tcMar>
        </w:tcPr>
        <w:p w14:paraId="136D578C" w14:textId="77777777" w:rsidR="00A84778" w:rsidRPr="00AD7BF2" w:rsidRDefault="00A84778" w:rsidP="00406D7E">
          <w:pPr>
            <w:pStyle w:val="FooterText"/>
            <w:jc w:val="center"/>
          </w:pPr>
        </w:p>
      </w:tc>
      <w:tc>
        <w:tcPr>
          <w:tcW w:w="1286" w:type="pct"/>
          <w:gridSpan w:val="3"/>
          <w:shd w:val="clear" w:color="auto" w:fill="auto"/>
          <w:tcMar>
            <w:top w:w="0" w:type="dxa"/>
          </w:tcMar>
        </w:tcPr>
        <w:p w14:paraId="64C440F1" w14:textId="227838AD" w:rsidR="00A84778" w:rsidRPr="002511D8" w:rsidRDefault="00A84778" w:rsidP="00406D7E">
          <w:pPr>
            <w:pStyle w:val="FooterText"/>
            <w:jc w:val="center"/>
          </w:pPr>
        </w:p>
      </w:tc>
      <w:tc>
        <w:tcPr>
          <w:tcW w:w="589" w:type="pct"/>
          <w:shd w:val="clear" w:color="auto" w:fill="auto"/>
          <w:tcMar>
            <w:top w:w="0" w:type="dxa"/>
          </w:tcMar>
        </w:tcPr>
        <w:p w14:paraId="57FC4866" w14:textId="77777777" w:rsidR="005B6253" w:rsidRDefault="00413ACE" w:rsidP="00406D7E">
          <w:pPr>
            <w:pStyle w:val="FooterText"/>
            <w:jc w:val="right"/>
          </w:pPr>
          <w:r>
            <w:fldChar w:fldCharType="begin"/>
          </w:r>
          <w:r>
            <w:instrText xml:space="preserve"> PAGE  \* MERGEFORMAT </w:instrText>
          </w:r>
          <w:r>
            <w:fldChar w:fldCharType="separate"/>
          </w:r>
          <w:r w:rsidR="006E0EA2">
            <w:t>124</w:t>
          </w:r>
          <w:r>
            <w:fldChar w:fldCharType="end"/>
          </w:r>
        </w:p>
        <w:p w14:paraId="04724BA6" w14:textId="77777777" w:rsidR="00A84778" w:rsidRPr="00B310DC" w:rsidRDefault="00A84778" w:rsidP="00406D7E">
          <w:pPr>
            <w:pStyle w:val="FooterText"/>
            <w:jc w:val="right"/>
          </w:pPr>
        </w:p>
      </w:tc>
    </w:tr>
    <w:tr w:rsidR="00A84778" w:rsidRPr="00D94637" w14:paraId="2B9EEA28" w14:textId="77777777" w:rsidTr="00F46D42">
      <w:trPr>
        <w:jc w:val="center"/>
      </w:trPr>
      <w:tc>
        <w:tcPr>
          <w:tcW w:w="1774" w:type="pct"/>
          <w:shd w:val="clear" w:color="auto" w:fill="auto"/>
        </w:tcPr>
        <w:p w14:paraId="5D778E94" w14:textId="77777777" w:rsidR="00A84778" w:rsidRPr="00AD7BF2" w:rsidRDefault="00A84778" w:rsidP="00406D7E">
          <w:pPr>
            <w:pStyle w:val="FooterText"/>
            <w:spacing w:before="40"/>
          </w:pPr>
        </w:p>
      </w:tc>
      <w:tc>
        <w:tcPr>
          <w:tcW w:w="1455" w:type="pct"/>
          <w:gridSpan w:val="3"/>
          <w:shd w:val="clear" w:color="auto" w:fill="auto"/>
        </w:tcPr>
        <w:p w14:paraId="4EA5BC1A" w14:textId="358AA211" w:rsidR="00A84778" w:rsidRPr="00AD7BF2" w:rsidRDefault="00A84778" w:rsidP="00406D7E">
          <w:pPr>
            <w:pStyle w:val="FooterText"/>
            <w:spacing w:before="40"/>
            <w:jc w:val="center"/>
          </w:pPr>
        </w:p>
      </w:tc>
      <w:tc>
        <w:tcPr>
          <w:tcW w:w="742" w:type="pct"/>
          <w:shd w:val="clear" w:color="auto" w:fill="auto"/>
        </w:tcPr>
        <w:p w14:paraId="472E0058" w14:textId="77777777" w:rsidR="00A84778" w:rsidRPr="00D94637" w:rsidRDefault="00A84778" w:rsidP="00406D7E">
          <w:pPr>
            <w:pStyle w:val="FooterText"/>
            <w:jc w:val="center"/>
            <w:rPr>
              <w:b/>
              <w:position w:val="-4"/>
              <w:sz w:val="36"/>
            </w:rPr>
          </w:pPr>
        </w:p>
      </w:tc>
      <w:tc>
        <w:tcPr>
          <w:tcW w:w="1029" w:type="pct"/>
          <w:gridSpan w:val="2"/>
          <w:shd w:val="clear" w:color="auto" w:fill="auto"/>
        </w:tcPr>
        <w:p w14:paraId="4AD01413" w14:textId="719D2B14" w:rsidR="00A84778" w:rsidRPr="00695BAF" w:rsidRDefault="00A84778" w:rsidP="00406D7E">
          <w:pPr>
            <w:pStyle w:val="FooterText"/>
            <w:jc w:val="right"/>
            <w:rPr>
              <w:caps/>
              <w:spacing w:val="-20"/>
              <w:sz w:val="16"/>
            </w:rPr>
          </w:pPr>
        </w:p>
      </w:tc>
    </w:tr>
  </w:tbl>
  <w:p w14:paraId="0A89BE6D" w14:textId="77777777" w:rsidR="00A84778" w:rsidRPr="00271D33" w:rsidRDefault="00A84778" w:rsidP="00271D33">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02B2" w14:textId="77777777" w:rsidR="00A84778" w:rsidRPr="00271D33" w:rsidRDefault="00A84778" w:rsidP="00271D33">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6A4C" w14:textId="77777777" w:rsidR="00A84778" w:rsidRPr="00271D33" w:rsidRDefault="00A84778" w:rsidP="00271D33">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A84778" w:rsidRPr="00B310DC" w14:paraId="7CA4629F" w14:textId="77777777" w:rsidTr="00F46D42">
      <w:trPr>
        <w:jc w:val="center"/>
      </w:trPr>
      <w:tc>
        <w:tcPr>
          <w:tcW w:w="2500" w:type="pct"/>
          <w:gridSpan w:val="2"/>
          <w:shd w:val="clear" w:color="auto" w:fill="auto"/>
          <w:tcMar>
            <w:top w:w="0" w:type="dxa"/>
          </w:tcMar>
        </w:tcPr>
        <w:p w14:paraId="4394999F" w14:textId="538AF5C4" w:rsidR="00A84778" w:rsidRPr="00AD7BF2" w:rsidRDefault="00A84778" w:rsidP="00406D7E">
          <w:pPr>
            <w:pStyle w:val="FooterText"/>
          </w:pPr>
        </w:p>
      </w:tc>
      <w:tc>
        <w:tcPr>
          <w:tcW w:w="625" w:type="pct"/>
          <w:shd w:val="clear" w:color="auto" w:fill="auto"/>
          <w:tcMar>
            <w:top w:w="0" w:type="dxa"/>
          </w:tcMar>
        </w:tcPr>
        <w:p w14:paraId="36D6339E" w14:textId="77777777" w:rsidR="00A84778" w:rsidRPr="00AD7BF2" w:rsidRDefault="00A84778" w:rsidP="00406D7E">
          <w:pPr>
            <w:pStyle w:val="FooterText"/>
            <w:jc w:val="center"/>
          </w:pPr>
        </w:p>
      </w:tc>
      <w:tc>
        <w:tcPr>
          <w:tcW w:w="1286" w:type="pct"/>
          <w:gridSpan w:val="3"/>
          <w:shd w:val="clear" w:color="auto" w:fill="auto"/>
          <w:tcMar>
            <w:top w:w="0" w:type="dxa"/>
          </w:tcMar>
        </w:tcPr>
        <w:p w14:paraId="5286F97B" w14:textId="7F329BAB" w:rsidR="00A84778" w:rsidRPr="002511D8" w:rsidRDefault="00A84778" w:rsidP="00406D7E">
          <w:pPr>
            <w:pStyle w:val="FooterText"/>
            <w:jc w:val="center"/>
          </w:pPr>
        </w:p>
      </w:tc>
      <w:tc>
        <w:tcPr>
          <w:tcW w:w="589" w:type="pct"/>
          <w:shd w:val="clear" w:color="auto" w:fill="auto"/>
          <w:tcMar>
            <w:top w:w="0" w:type="dxa"/>
          </w:tcMar>
        </w:tcPr>
        <w:p w14:paraId="1F1DCFA8" w14:textId="77777777" w:rsidR="005B6253" w:rsidRDefault="00413ACE" w:rsidP="00406D7E">
          <w:pPr>
            <w:pStyle w:val="FooterText"/>
            <w:jc w:val="right"/>
          </w:pPr>
          <w:r>
            <w:fldChar w:fldCharType="begin"/>
          </w:r>
          <w:r>
            <w:instrText xml:space="preserve"> PAGE  \* MERGEFORMAT </w:instrText>
          </w:r>
          <w:r>
            <w:fldChar w:fldCharType="separate"/>
          </w:r>
          <w:r w:rsidR="006E0EA2">
            <w:t>129</w:t>
          </w:r>
          <w:r>
            <w:fldChar w:fldCharType="end"/>
          </w:r>
        </w:p>
        <w:p w14:paraId="55B4300E" w14:textId="77777777" w:rsidR="00A84778" w:rsidRPr="00B310DC" w:rsidRDefault="00A84778" w:rsidP="00406D7E">
          <w:pPr>
            <w:pStyle w:val="FooterText"/>
            <w:jc w:val="right"/>
          </w:pPr>
        </w:p>
      </w:tc>
    </w:tr>
    <w:tr w:rsidR="00A84778" w:rsidRPr="00D94637" w14:paraId="49472B32" w14:textId="77777777" w:rsidTr="00F46D42">
      <w:trPr>
        <w:jc w:val="center"/>
      </w:trPr>
      <w:tc>
        <w:tcPr>
          <w:tcW w:w="1774" w:type="pct"/>
          <w:shd w:val="clear" w:color="auto" w:fill="auto"/>
        </w:tcPr>
        <w:p w14:paraId="49687049" w14:textId="77777777" w:rsidR="00A84778" w:rsidRPr="00AD7BF2" w:rsidRDefault="00A84778" w:rsidP="00406D7E">
          <w:pPr>
            <w:pStyle w:val="FooterText"/>
            <w:spacing w:before="40"/>
          </w:pPr>
        </w:p>
      </w:tc>
      <w:tc>
        <w:tcPr>
          <w:tcW w:w="1455" w:type="pct"/>
          <w:gridSpan w:val="3"/>
          <w:shd w:val="clear" w:color="auto" w:fill="auto"/>
        </w:tcPr>
        <w:p w14:paraId="46A88A8B" w14:textId="249EE7E2" w:rsidR="00A84778" w:rsidRPr="00AD7BF2" w:rsidRDefault="00A84778" w:rsidP="00406D7E">
          <w:pPr>
            <w:pStyle w:val="FooterText"/>
            <w:spacing w:before="40"/>
            <w:jc w:val="center"/>
          </w:pPr>
        </w:p>
      </w:tc>
      <w:tc>
        <w:tcPr>
          <w:tcW w:w="742" w:type="pct"/>
          <w:shd w:val="clear" w:color="auto" w:fill="auto"/>
        </w:tcPr>
        <w:p w14:paraId="4AD7D129" w14:textId="77777777" w:rsidR="00A84778" w:rsidRPr="00D94637" w:rsidRDefault="00A84778" w:rsidP="00406D7E">
          <w:pPr>
            <w:pStyle w:val="FooterText"/>
            <w:jc w:val="center"/>
            <w:rPr>
              <w:b/>
              <w:position w:val="-4"/>
              <w:sz w:val="36"/>
            </w:rPr>
          </w:pPr>
        </w:p>
      </w:tc>
      <w:tc>
        <w:tcPr>
          <w:tcW w:w="1029" w:type="pct"/>
          <w:gridSpan w:val="2"/>
          <w:shd w:val="clear" w:color="auto" w:fill="auto"/>
        </w:tcPr>
        <w:p w14:paraId="547FE37E" w14:textId="4D893ABB" w:rsidR="00A84778" w:rsidRPr="00695BAF" w:rsidRDefault="00A84778" w:rsidP="00406D7E">
          <w:pPr>
            <w:pStyle w:val="FooterText"/>
            <w:jc w:val="right"/>
            <w:rPr>
              <w:caps/>
              <w:spacing w:val="-20"/>
              <w:sz w:val="16"/>
            </w:rPr>
          </w:pPr>
        </w:p>
      </w:tc>
    </w:tr>
  </w:tbl>
  <w:p w14:paraId="4A50EF83" w14:textId="77777777" w:rsidR="00A84778" w:rsidRPr="00271D33" w:rsidRDefault="00A84778" w:rsidP="00271D33">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B3C9D" w14:textId="77777777" w:rsidR="00A84778" w:rsidRPr="00271D33" w:rsidRDefault="00A84778" w:rsidP="00271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62D25" w14:textId="77777777" w:rsidR="002E1A2D" w:rsidRDefault="002E1A2D" w:rsidP="00645BC7">
      <w:pPr>
        <w:spacing w:after="0" w:line="240" w:lineRule="auto"/>
      </w:pPr>
      <w:r>
        <w:separator/>
      </w:r>
    </w:p>
  </w:footnote>
  <w:footnote w:type="continuationSeparator" w:id="0">
    <w:p w14:paraId="4B75520D" w14:textId="77777777" w:rsidR="002E1A2D" w:rsidRDefault="002E1A2D" w:rsidP="00645BC7">
      <w:pPr>
        <w:spacing w:after="0" w:line="240" w:lineRule="auto"/>
      </w:pPr>
      <w:r>
        <w:continuationSeparator/>
      </w:r>
    </w:p>
  </w:footnote>
  <w:footnote w:type="continuationNotice" w:id="1">
    <w:p w14:paraId="2BC56BBF" w14:textId="77777777" w:rsidR="002E1A2D" w:rsidRDefault="002E1A2D">
      <w:pPr>
        <w:spacing w:after="0" w:line="240" w:lineRule="auto"/>
      </w:pPr>
    </w:p>
  </w:footnote>
  <w:footnote w:id="2">
    <w:p w14:paraId="10D84F86" w14:textId="77777777" w:rsidR="00A84778" w:rsidRPr="00E02B5D" w:rsidRDefault="00A84778" w:rsidP="00645BC7">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Välja arvatud käesoleva meetme kohased elektri- ja/või soojusenergia tootmise ning maagaasi ülekande- ja jaotustaristuga seotud projektid, mis vastavad põhimõtte „Ei kahjusta oluliselt“ tehniliste suuniste (2021/C58/01) III lisas sätestatud tingimustele.</w:t>
      </w:r>
    </w:p>
  </w:footnote>
  <w:footnote w:id="3">
    <w:p w14:paraId="556F86D8" w14:textId="77777777" w:rsidR="00A84778" w:rsidRPr="00E02B5D" w:rsidRDefault="00A84778" w:rsidP="00645BC7">
      <w:pPr>
        <w:pStyle w:val="FootnoteText"/>
        <w:ind w:left="0" w:firstLine="0"/>
        <w:rPr>
          <w:rStyle w:val="FootnoteReference"/>
        </w:rPr>
      </w:pPr>
      <w:r>
        <w:rPr>
          <w:rStyle w:val="FootnoteReference"/>
          <w:lang w:val="en-GB"/>
        </w:rPr>
        <w:footnoteRef/>
      </w:r>
      <w:r>
        <w:rPr>
          <w:rStyle w:val="FootnoteReference"/>
        </w:rPr>
        <w:t xml:space="preserve"> </w:t>
      </w:r>
      <w:r>
        <w:rPr>
          <w:rStyle w:val="FootnoteReference"/>
          <w:vertAlign w:val="baseline"/>
        </w:rPr>
        <w:t>Kui toetatava tegevuse prognoositav kasvuhoonegaaside heide ei ole asjaomasest võrdlusalusest oluliselt madalam,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4">
    <w:p w14:paraId="3294EB08" w14:textId="77777777" w:rsidR="00A84778" w:rsidRPr="00E02B5D" w:rsidRDefault="00A84778" w:rsidP="00645BC7">
      <w:pPr>
        <w:pStyle w:val="FootnoteText"/>
        <w:ind w:left="0" w:firstLine="0"/>
        <w:rPr>
          <w:rStyle w:val="FootnoteReference"/>
        </w:rPr>
      </w:pPr>
      <w:r>
        <w:rPr>
          <w:rStyle w:val="FootnoteReference"/>
          <w:lang w:val="en-GB"/>
        </w:rPr>
        <w:footnoteRef/>
      </w:r>
      <w:r>
        <w:rPr>
          <w:rStyle w:val="FootnoteReference"/>
        </w:rPr>
        <w:t xml:space="preserve"> </w:t>
      </w:r>
      <w:r>
        <w:rPr>
          <w:rStyle w:val="FootnoteReference"/>
          <w:vertAlign w:val="baseline"/>
        </w:rPr>
        <w:t>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5">
    <w:p w14:paraId="16094E3A" w14:textId="77777777" w:rsidR="00A84778" w:rsidRPr="00E02B5D" w:rsidRDefault="00A84778" w:rsidP="00645BC7">
      <w:pPr>
        <w:pStyle w:val="FootnoteText"/>
        <w:ind w:left="0" w:firstLine="0"/>
      </w:pPr>
      <w:r>
        <w:rPr>
          <w:rStyle w:val="FootnoteReference"/>
          <w:lang w:val="en-GB"/>
        </w:rPr>
        <w:footnoteRef/>
      </w:r>
      <w:r>
        <w:rPr>
          <w:rStyle w:val="FootnoteReference"/>
        </w:rPr>
        <w:t xml:space="preserve"> </w:t>
      </w:r>
      <w:r>
        <w:rPr>
          <w:rStyle w:val="FootnoteReference"/>
          <w:vertAlign w:val="baseline"/>
        </w:rPr>
        <w:t>Välistamist ei kohaldata meetme tegevuste suhtes, mis toimuvad olemasolevates mehhaanilis-bioloogilise töötlemise jaamades, kus nende tegevuste eesmärk on suurendada energiatõhusust või moderniseerida eraldatud jäätmete ringlussevõttu biojäätmete kompostimiseks ja biojäätmete anaeroobseks lagundamiseks, tingimusel et need tegevused ei suurenda jaamade jäätmetöötlusvõimsust ega pikenda nende kasutusiga; tõendid selle kohta tuleb esitada iga jaama kohta eraldi.</w:t>
      </w:r>
    </w:p>
  </w:footnote>
  <w:footnote w:id="6">
    <w:p w14:paraId="69E6CCB7" w14:textId="77777777" w:rsidR="00DE45BB" w:rsidRPr="001D2930" w:rsidRDefault="00DE45BB" w:rsidP="007B2161">
      <w:pPr>
        <w:pStyle w:val="FootnoteText"/>
        <w:ind w:left="0" w:firstLine="0"/>
      </w:pPr>
      <w:r>
        <w:rPr>
          <w:rStyle w:val="FootnoteReference"/>
        </w:rPr>
        <w:footnoteRef/>
      </w:r>
      <w:r>
        <w:t xml:space="preserve"> Finantsvahendajad peavad kliimaalase panuse arvutamiseks esitama iga toetatava projekti puhul valitud sekkumisvaldkonna põhjenduse ja projekti kirjelduse. Rakenduspartnerilt </w:t>
      </w:r>
      <w:r>
        <w:rPr>
          <w:rStyle w:val="FootnoteReference"/>
          <w:vertAlign w:val="baseline"/>
        </w:rPr>
        <w:t>nõutakse</w:t>
      </w:r>
      <w:r>
        <w:t xml:space="preserve"> ka, et ta esitaks liikmesriigile poolaastaaruande iga projekti/tegevuse rakendamise kohta.</w:t>
      </w:r>
    </w:p>
  </w:footnote>
  <w:footnote w:id="7">
    <w:p w14:paraId="7DE82FEA" w14:textId="77777777" w:rsidR="00A84778" w:rsidRPr="00E02B5D" w:rsidRDefault="00A84778" w:rsidP="00645BC7">
      <w:pPr>
        <w:pStyle w:val="FootnoteText"/>
        <w:ind w:left="0" w:firstLine="0"/>
        <w:rPr>
          <w:rStyle w:val="FootnoteReference"/>
        </w:rPr>
      </w:pPr>
      <w:r>
        <w:rPr>
          <w:rStyle w:val="FootnoteReference"/>
          <w:lang w:val="en-GB"/>
        </w:rPr>
        <w:footnoteRef/>
      </w:r>
      <w:r>
        <w:rPr>
          <w:rStyle w:val="FootnoteReference"/>
        </w:rPr>
        <w:t xml:space="preserve"> </w:t>
      </w:r>
      <w:r>
        <w:rPr>
          <w:rStyle w:val="FootnoteReference"/>
          <w:vertAlign w:val="baseline"/>
        </w:rPr>
        <w:t>Välja arvatud käesoleva meetme kohased elektri- ja/või soojusenergia tootmise ning maagaasi ülekande- ja jaotustaristuga seotud projektid, mis vastavad põhimõtte „Ei kahjusta oluliselt“ tehniliste suuniste (2021/C58/01) III lisas sätestatud tingimustele.</w:t>
      </w:r>
    </w:p>
  </w:footnote>
  <w:footnote w:id="8">
    <w:p w14:paraId="4F831E84" w14:textId="77777777" w:rsidR="00A84778" w:rsidRPr="00E02B5D" w:rsidRDefault="00A84778" w:rsidP="00645BC7">
      <w:pPr>
        <w:pStyle w:val="FootnoteText"/>
        <w:ind w:left="0" w:firstLine="0"/>
        <w:rPr>
          <w:rStyle w:val="FootnoteReference"/>
        </w:rPr>
      </w:pPr>
      <w:r>
        <w:rPr>
          <w:rStyle w:val="FootnoteReference"/>
          <w:lang w:val="en-GB"/>
        </w:rPr>
        <w:footnoteRef/>
      </w:r>
      <w:r>
        <w:rPr>
          <w:rStyle w:val="FootnoteReference"/>
        </w:rPr>
        <w:t xml:space="preserve"> </w:t>
      </w:r>
      <w:r>
        <w:rPr>
          <w:rStyle w:val="FootnoteReference"/>
          <w:vertAlign w:val="baseline"/>
        </w:rPr>
        <w:t>Kui toetatava tegevuse prognoositav kasvuhoonegaaside heide ei ole asjaomasest võrdlusalusest oluliselt madalam,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9">
    <w:p w14:paraId="74368731" w14:textId="77777777" w:rsidR="00A84778" w:rsidRPr="00E02B5D" w:rsidRDefault="00A84778" w:rsidP="00645BC7">
      <w:pPr>
        <w:pStyle w:val="FootnoteText"/>
        <w:ind w:left="0" w:firstLine="0"/>
        <w:rPr>
          <w:rStyle w:val="FootnoteReference"/>
        </w:rPr>
      </w:pPr>
      <w:r>
        <w:rPr>
          <w:rStyle w:val="FootnoteReference"/>
          <w:lang w:val="en-GB"/>
        </w:rPr>
        <w:footnoteRef/>
      </w:r>
      <w:r>
        <w:rPr>
          <w:rStyle w:val="FootnoteReference"/>
        </w:rPr>
        <w:t xml:space="preserve"> </w:t>
      </w:r>
      <w:r>
        <w:rPr>
          <w:rStyle w:val="FootnoteReference"/>
          <w:vertAlign w:val="baseline"/>
        </w:rPr>
        <w:t>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10">
    <w:p w14:paraId="6AED4973" w14:textId="77777777" w:rsidR="00A84778" w:rsidRPr="00E02B5D" w:rsidRDefault="00A84778" w:rsidP="00645BC7">
      <w:pPr>
        <w:pStyle w:val="FootnoteText"/>
        <w:ind w:left="0" w:firstLine="0"/>
      </w:pPr>
      <w:r>
        <w:rPr>
          <w:rStyle w:val="FootnoteReference"/>
          <w:lang w:val="en-GB"/>
        </w:rPr>
        <w:footnoteRef/>
      </w:r>
      <w:r>
        <w:rPr>
          <w:rStyle w:val="FootnoteReference"/>
        </w:rPr>
        <w:t xml:space="preserve"> </w:t>
      </w:r>
      <w:r>
        <w:rPr>
          <w:rStyle w:val="FootnoteReference"/>
          <w:vertAlign w:val="baseline"/>
        </w:rPr>
        <w:t>Välistamist ei kohaldata meetme tegevuste suhtes, mis toimuvad olemasolevates mehhaanilis-bioloogilise töötlemise jaamades, kus nende tegevuste eesmärk on suurendada energiatõhusust või moderniseerida eraldatud jäätmete ringlussevõttu biojäätmete kompostimiseks ja biojäätmete anaeroobseks lagundamiseks, tingimusel et need tegevused ei suurenda jaamade jäätmetöötlusvõimsust ega pikenda nende kasutusiga; tõendid selle kohta tuleb esitada iga jaama kohta eraldi.</w:t>
      </w:r>
    </w:p>
  </w:footnote>
  <w:footnote w:id="11">
    <w:p w14:paraId="2C27BB49" w14:textId="77777777" w:rsidR="00A84778" w:rsidRPr="00E02B5D" w:rsidRDefault="00A84778" w:rsidP="00645BC7">
      <w:pPr>
        <w:pStyle w:val="FootnoteText"/>
        <w:ind w:left="0" w:firstLine="0"/>
      </w:pPr>
      <w:r>
        <w:rPr>
          <w:rStyle w:val="FootnoteReference"/>
          <w:lang w:val="en-GB"/>
        </w:rPr>
        <w:footnoteRef/>
      </w:r>
      <w:r>
        <w:t xml:space="preserve"> Välja arvatud elektri- ja/või soojusenergia tootmise ning maagaasi ülekande- ja jaotustaristuga seotud projektid, mis vastavad põhimõtte „ei kahjusta oluliselt“ kohaldamist käsitlevate tehniliste suuniste (2021/C58/01) III lisas sätestatud tingimustele.</w:t>
      </w:r>
    </w:p>
  </w:footnote>
  <w:footnote w:id="12">
    <w:p w14:paraId="0B48B8C3" w14:textId="77777777" w:rsidR="00A84778" w:rsidRPr="00E02B5D" w:rsidRDefault="00A84778" w:rsidP="00645BC7">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13">
    <w:p w14:paraId="7FE4D120" w14:textId="77777777" w:rsidR="00A84778" w:rsidRPr="00E02B5D" w:rsidRDefault="00A84778" w:rsidP="00645BC7">
      <w:pPr>
        <w:spacing w:after="0" w:line="240" w:lineRule="auto"/>
        <w:rPr>
          <w:rFonts w:ascii="Times New Roman" w:hAnsi="Times New Roman" w:cs="Times New Roman"/>
        </w:rPr>
      </w:pPr>
      <w:r>
        <w:rPr>
          <w:rStyle w:val="FootnoteReference"/>
          <w:rFonts w:ascii="Times New Roman" w:hAnsi="Times New Roman" w:cs="Times New Roman"/>
          <w:sz w:val="20"/>
          <w:szCs w:val="20"/>
          <w:lang w:val="en-GB"/>
        </w:rPr>
        <w:footnoteRef/>
      </w:r>
      <w:r>
        <w:rPr>
          <w:rFonts w:ascii="Times New Roman" w:hAnsi="Times New Roman"/>
          <w:sz w:val="20"/>
        </w:rPr>
        <w:t xml:space="preserve"> 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14">
    <w:p w14:paraId="0837B2FD" w14:textId="77777777" w:rsidR="00A84778" w:rsidRPr="00E02B5D" w:rsidRDefault="00A84778" w:rsidP="00645BC7">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15">
    <w:p w14:paraId="5BDA38D9" w14:textId="77777777" w:rsidR="00A84778" w:rsidRPr="00E02B5D" w:rsidRDefault="00A84778" w:rsidP="00645BC7">
      <w:pPr>
        <w:pStyle w:val="FootnoteText"/>
        <w:ind w:left="0" w:firstLine="0"/>
      </w:pPr>
      <w:r>
        <w:rPr>
          <w:rStyle w:val="FootnoteReference"/>
          <w:lang w:val="en-GB"/>
        </w:rPr>
        <w:footnoteRef/>
      </w:r>
      <w:r>
        <w:t xml:space="preserve"> Välja arvatud elektri- ja/või soojusenergia tootmise ning maagaasi ülekande- ja jaotustaristuga seotud projektid, mis vastavad põhimõtte „ei kahjusta oluliselt“ kohaldamist käsitlevate tehniliste suuniste (2021/C58/01) III lisas sätestatud tingimustele.</w:t>
      </w:r>
    </w:p>
  </w:footnote>
  <w:footnote w:id="16">
    <w:p w14:paraId="5DC3CBB9" w14:textId="77777777" w:rsidR="00A84778" w:rsidRPr="00E02B5D" w:rsidRDefault="00A84778" w:rsidP="00645BC7">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17">
    <w:p w14:paraId="3B6B71D1" w14:textId="77777777" w:rsidR="00A84778" w:rsidRPr="00E02B5D" w:rsidRDefault="00A84778" w:rsidP="00645BC7">
      <w:pPr>
        <w:spacing w:after="0" w:line="240" w:lineRule="auto"/>
        <w:jc w:val="both"/>
        <w:rPr>
          <w:rFonts w:ascii="Times New Roman" w:hAnsi="Times New Roman" w:cs="Times New Roman"/>
        </w:rPr>
      </w:pPr>
      <w:r>
        <w:rPr>
          <w:rStyle w:val="FootnoteReference"/>
          <w:rFonts w:ascii="Times New Roman" w:hAnsi="Times New Roman" w:cs="Times New Roman"/>
          <w:sz w:val="20"/>
          <w:szCs w:val="20"/>
          <w:lang w:val="en-GB"/>
        </w:rPr>
        <w:footnoteRef/>
      </w:r>
      <w:r>
        <w:rPr>
          <w:rFonts w:ascii="Times New Roman" w:hAnsi="Times New Roman"/>
          <w:sz w:val="20"/>
        </w:rPr>
        <w:t xml:space="preserve"> 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18">
    <w:p w14:paraId="23FA3133" w14:textId="77777777" w:rsidR="00A84778" w:rsidRPr="00E02B5D" w:rsidRDefault="00A84778" w:rsidP="00645BC7">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19">
    <w:p w14:paraId="503E35F0" w14:textId="77777777" w:rsidR="00A84778" w:rsidRPr="00E02B5D" w:rsidRDefault="00A84778" w:rsidP="00645BC7">
      <w:pPr>
        <w:pStyle w:val="FootnoteText"/>
        <w:ind w:left="0" w:firstLine="0"/>
      </w:pPr>
      <w:r>
        <w:rPr>
          <w:rStyle w:val="FootnoteReference"/>
          <w:lang w:val="en-GB"/>
        </w:rPr>
        <w:footnoteRef/>
      </w:r>
      <w:r>
        <w:t xml:space="preserve"> Välja arvatud elektri- ja/või soojusenergia tootmise ning maagaasi ülekande- ja jaotustaristuga seotud projektid, mis vastavad põhimõtte „ei kahjusta oluliselt“ kohaldamist käsitlevate tehniliste suuniste (2021/C58/01) III lisas sätestatud tingimustele.</w:t>
      </w:r>
    </w:p>
  </w:footnote>
  <w:footnote w:id="20">
    <w:p w14:paraId="7DA80BCE" w14:textId="77777777" w:rsidR="00A84778" w:rsidRPr="00E02B5D" w:rsidRDefault="00A84778" w:rsidP="00645BC7">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21">
    <w:p w14:paraId="32D9D2F3" w14:textId="77777777" w:rsidR="00A84778" w:rsidRPr="00E02B5D" w:rsidRDefault="00A84778" w:rsidP="00645BC7">
      <w:pPr>
        <w:spacing w:after="0" w:line="240" w:lineRule="auto"/>
        <w:jc w:val="both"/>
        <w:rPr>
          <w:rFonts w:ascii="Times New Roman" w:hAnsi="Times New Roman" w:cs="Times New Roman"/>
        </w:rPr>
      </w:pPr>
      <w:r>
        <w:rPr>
          <w:rStyle w:val="FootnoteReference"/>
          <w:rFonts w:ascii="Times New Roman" w:hAnsi="Times New Roman" w:cs="Times New Roman"/>
          <w:sz w:val="20"/>
          <w:szCs w:val="20"/>
          <w:lang w:val="en-GB"/>
        </w:rPr>
        <w:footnoteRef/>
      </w:r>
      <w:r>
        <w:rPr>
          <w:rFonts w:ascii="Times New Roman" w:hAnsi="Times New Roman"/>
          <w:sz w:val="20"/>
        </w:rPr>
        <w:t xml:space="preserve"> 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22">
    <w:p w14:paraId="697E8A85" w14:textId="77777777" w:rsidR="00A84778" w:rsidRPr="00E02B5D" w:rsidRDefault="00A84778" w:rsidP="00645BC7">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23">
    <w:p w14:paraId="3694ECC7" w14:textId="77777777" w:rsidR="00A84778" w:rsidRPr="00E02B5D" w:rsidRDefault="00A84778" w:rsidP="00645BC7">
      <w:pPr>
        <w:pStyle w:val="FootnoteText"/>
        <w:ind w:left="57" w:firstLine="0"/>
      </w:pPr>
      <w:r>
        <w:rPr>
          <w:rStyle w:val="FootnoteReference"/>
          <w:lang w:val="en-GB"/>
        </w:rPr>
        <w:footnoteRef/>
      </w:r>
      <w:r>
        <w:t xml:space="preserve"> Välja arvatud elektri- ja/või soojusenergia tootmise ning maagaasi ülekande- ja jaotustaristuga seotud projektid, mis vastavad põhimõtte „ei kahjusta oluliselt“ kohaldamist käsitlevate tehniliste suuniste (2021/C58/01) III lisas sätestatud tingimustele.</w:t>
      </w:r>
    </w:p>
  </w:footnote>
  <w:footnote w:id="24">
    <w:p w14:paraId="0A4C6DAE" w14:textId="77777777" w:rsidR="00A84778" w:rsidRPr="00E02B5D" w:rsidRDefault="00A84778" w:rsidP="00645BC7">
      <w:pPr>
        <w:pStyle w:val="FootnoteText"/>
        <w:ind w:left="57"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25">
    <w:p w14:paraId="31186874" w14:textId="77777777" w:rsidR="00A84778" w:rsidRPr="00E02B5D" w:rsidRDefault="00A84778" w:rsidP="00645BC7">
      <w:pPr>
        <w:spacing w:after="0" w:line="240" w:lineRule="auto"/>
        <w:ind w:left="57"/>
        <w:rPr>
          <w:rFonts w:ascii="Times New Roman" w:hAnsi="Times New Roman" w:cs="Times New Roman"/>
          <w:sz w:val="20"/>
          <w:szCs w:val="20"/>
        </w:rPr>
      </w:pPr>
      <w:r>
        <w:rPr>
          <w:rStyle w:val="FootnoteReference"/>
          <w:rFonts w:ascii="Times New Roman" w:hAnsi="Times New Roman" w:cs="Times New Roman"/>
          <w:sz w:val="20"/>
          <w:szCs w:val="20"/>
          <w:lang w:val="en-GB"/>
        </w:rPr>
        <w:footnoteRef/>
      </w:r>
      <w:r>
        <w:rPr>
          <w:rFonts w:ascii="Times New Roman" w:hAnsi="Times New Roman"/>
          <w:sz w:val="20"/>
        </w:rPr>
        <w:t xml:space="preserve"> 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26">
    <w:p w14:paraId="106C057B" w14:textId="77777777" w:rsidR="00A84778" w:rsidRPr="00E02B5D" w:rsidRDefault="00A84778" w:rsidP="00645BC7">
      <w:pPr>
        <w:pStyle w:val="FootnoteText"/>
        <w:ind w:left="57"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27">
    <w:p w14:paraId="1B1B0346" w14:textId="77777777" w:rsidR="00A84778" w:rsidRPr="00E02B5D" w:rsidRDefault="00A84778" w:rsidP="00645BC7">
      <w:pPr>
        <w:pStyle w:val="FootnoteText"/>
        <w:ind w:left="0" w:firstLine="0"/>
      </w:pPr>
      <w:r>
        <w:rPr>
          <w:rStyle w:val="FootnoteReference"/>
          <w:lang w:val="en-GB"/>
        </w:rPr>
        <w:footnoteRef/>
      </w:r>
      <w:r>
        <w:t xml:space="preserve"> Välja arvatud elektri- ja/või soojusenergia tootmise ning maagaasi ülekande- ja jaotustaristuga seotud projektid, mis vastavad põhimõtte „ei kahjusta oluliselt“ kohaldamist käsitlevate tehniliste suuniste (2021/C58/01) III lisas sätestatud tingimustele.</w:t>
      </w:r>
    </w:p>
  </w:footnote>
  <w:footnote w:id="28">
    <w:p w14:paraId="765941C2" w14:textId="77777777" w:rsidR="00A84778" w:rsidRPr="00E02B5D" w:rsidRDefault="00A84778" w:rsidP="00645BC7">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29">
    <w:p w14:paraId="593CAB8E" w14:textId="77777777" w:rsidR="00A84778" w:rsidRPr="00E02B5D" w:rsidRDefault="00A84778" w:rsidP="00645BC7">
      <w:pPr>
        <w:spacing w:after="0" w:line="240" w:lineRule="auto"/>
        <w:jc w:val="both"/>
      </w:pPr>
      <w:r>
        <w:rPr>
          <w:rStyle w:val="FootnoteReference"/>
          <w:rFonts w:ascii="Times New Roman" w:hAnsi="Times New Roman" w:cs="Times New Roman"/>
          <w:sz w:val="20"/>
          <w:szCs w:val="20"/>
          <w:lang w:val="en-GB"/>
        </w:rPr>
        <w:footnoteRef/>
      </w:r>
      <w:r>
        <w:rPr>
          <w:rFonts w:ascii="Times New Roman" w:hAnsi="Times New Roman"/>
          <w:sz w:val="20"/>
        </w:rPr>
        <w:t xml:space="preserve"> 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30">
    <w:p w14:paraId="078E5F00" w14:textId="77777777" w:rsidR="00A84778" w:rsidRPr="00E02B5D" w:rsidRDefault="00A84778" w:rsidP="00645BC7">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31">
    <w:p w14:paraId="7BDF3280" w14:textId="77777777" w:rsidR="00A84778" w:rsidRPr="00E02B5D" w:rsidRDefault="00A84778" w:rsidP="00645BC7">
      <w:pPr>
        <w:pStyle w:val="FootnoteText"/>
        <w:ind w:left="0" w:firstLine="0"/>
      </w:pPr>
      <w:r>
        <w:rPr>
          <w:rStyle w:val="FootnoteReference"/>
          <w:lang w:val="en-GB"/>
        </w:rPr>
        <w:footnoteRef/>
      </w:r>
      <w:r>
        <w:t xml:space="preserve"> Välja arvatud elektri- ja/või soojusenergia tootmise ning maagaasi ülekande- ja jaotustaristuga seotud projektid, mis vastavad põhimõtte „ei kahjusta oluliselt“ kohaldamist käsitlevate tehniliste suuniste (2021/C58/01) III lisas sätestatud tingimustele.</w:t>
      </w:r>
    </w:p>
  </w:footnote>
  <w:footnote w:id="32">
    <w:p w14:paraId="3CA15ED9" w14:textId="77777777" w:rsidR="00A84778" w:rsidRPr="00E02B5D" w:rsidRDefault="00A84778" w:rsidP="00645BC7">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33">
    <w:p w14:paraId="15C07889" w14:textId="77777777" w:rsidR="00A84778" w:rsidRPr="00E02B5D" w:rsidRDefault="00A84778" w:rsidP="00645BC7">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lang w:val="en-GB"/>
        </w:rPr>
        <w:footnoteRef/>
      </w:r>
      <w:r>
        <w:rPr>
          <w:rFonts w:ascii="Times New Roman" w:hAnsi="Times New Roman"/>
          <w:sz w:val="20"/>
        </w:rPr>
        <w:t xml:space="preserve"> 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34">
    <w:p w14:paraId="13DCE11C" w14:textId="77777777" w:rsidR="00A84778" w:rsidRPr="00E02B5D" w:rsidRDefault="00A84778" w:rsidP="00645BC7">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35">
    <w:p w14:paraId="1BB4B1A3" w14:textId="77777777" w:rsidR="00A84778" w:rsidRPr="00E02B5D" w:rsidRDefault="00A84778" w:rsidP="00645BC7">
      <w:pPr>
        <w:pStyle w:val="FootnoteText"/>
        <w:ind w:left="0" w:firstLine="0"/>
        <w:rPr>
          <w:rStyle w:val="FootnoteReference"/>
          <w:vertAlign w:val="baseline"/>
        </w:rPr>
      </w:pPr>
      <w:r>
        <w:rPr>
          <w:rStyle w:val="FootnoteReference"/>
          <w:lang w:val="en-GB"/>
        </w:rPr>
        <w:footnoteRef/>
      </w:r>
      <w:r>
        <w:rPr>
          <w:rStyle w:val="FootnoteReference"/>
        </w:rPr>
        <w:t xml:space="preserve"> </w:t>
      </w:r>
      <w:r>
        <w:rPr>
          <w:rStyle w:val="FootnoteReference"/>
          <w:vertAlign w:val="baseline"/>
        </w:rPr>
        <w:t>Välja arvatud käesoleva meetme kohased elektri- ja/või soojusenergia tootmise ning maagaasi ülekande- ja jaotustaristuga seotud projektid, mis vastavad põhimõtte „Ei kahjusta oluliselt“ tehniliste suuniste (2021/C58/01) III lisas sätestatud tingimustele.</w:t>
      </w:r>
    </w:p>
  </w:footnote>
  <w:footnote w:id="36">
    <w:p w14:paraId="7E0F721C" w14:textId="77777777" w:rsidR="00A84778" w:rsidRPr="00E02B5D" w:rsidRDefault="00A84778" w:rsidP="00645BC7">
      <w:pPr>
        <w:pStyle w:val="FootnoteText"/>
        <w:ind w:left="0" w:firstLine="0"/>
        <w:rPr>
          <w:rStyle w:val="FootnoteReference"/>
        </w:rPr>
      </w:pPr>
      <w:r>
        <w:rPr>
          <w:rStyle w:val="FootnoteReference"/>
          <w:lang w:val="en-GB"/>
        </w:rPr>
        <w:footnoteRef/>
      </w:r>
      <w:r>
        <w:rPr>
          <w:rStyle w:val="FootnoteReference"/>
        </w:rPr>
        <w:t xml:space="preserve"> </w:t>
      </w:r>
      <w:r>
        <w:rPr>
          <w:rStyle w:val="FootnoteReference"/>
          <w:vertAlign w:val="baseline"/>
        </w:rPr>
        <w:t>Kui toetatava tegevuse prognoositav kasvuhoonegaaside heide ei ole asjaomasest võrdlusalusest oluliselt madalam,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37">
    <w:p w14:paraId="31998958" w14:textId="77777777" w:rsidR="00A84778" w:rsidRPr="00E02B5D" w:rsidRDefault="00A84778" w:rsidP="00645BC7">
      <w:pPr>
        <w:pStyle w:val="FootnoteText"/>
        <w:ind w:left="0" w:firstLine="0"/>
        <w:rPr>
          <w:rStyle w:val="FootnoteReference"/>
        </w:rPr>
      </w:pPr>
      <w:r>
        <w:rPr>
          <w:rStyle w:val="FootnoteReference"/>
          <w:lang w:val="en-GB"/>
        </w:rPr>
        <w:footnoteRef/>
      </w:r>
      <w:r>
        <w:rPr>
          <w:rStyle w:val="FootnoteReference"/>
        </w:rPr>
        <w:t xml:space="preserve"> </w:t>
      </w:r>
      <w:r>
        <w:rPr>
          <w:rStyle w:val="FootnoteReference"/>
          <w:vertAlign w:val="baseline"/>
        </w:rPr>
        <w:t>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38">
    <w:p w14:paraId="6A36C178" w14:textId="77777777" w:rsidR="00A84778" w:rsidRPr="00E02B5D" w:rsidRDefault="00A84778" w:rsidP="00645BC7">
      <w:pPr>
        <w:pStyle w:val="FootnoteText"/>
        <w:ind w:left="0" w:firstLine="0"/>
      </w:pPr>
      <w:r>
        <w:rPr>
          <w:rStyle w:val="FootnoteReference"/>
          <w:lang w:val="en-GB"/>
        </w:rPr>
        <w:footnoteRef/>
      </w:r>
      <w:r>
        <w:rPr>
          <w:rStyle w:val="FootnoteReference"/>
        </w:rPr>
        <w:t xml:space="preserve"> </w:t>
      </w:r>
      <w:r>
        <w:rPr>
          <w:rStyle w:val="FootnoteReference"/>
          <w:vertAlign w:val="baseline"/>
        </w:rPr>
        <w:t>Välistamist ei kohaldata meetme tegevuste suhtes, mis toimuvad olemasolevates mehhaanilis-bioloogilise töötlemise jaamades, kus nende tegevuste eesmärk on suurendada energiatõhusust või moderniseerida eraldatud jäätmete ringlussevõttu biojäätmete kompostimiseks ja biojäätmete anaeroobseks lagundamiseks, tingimusel et need tegevused ei suurenda jaamade jäätmetöötlusvõimsust ega pikenda nende kasutusiga; tõendid selle kohta tuleb esitada iga jaama kohta eraldi.</w:t>
      </w:r>
    </w:p>
  </w:footnote>
  <w:footnote w:id="39">
    <w:p w14:paraId="51A903E4" w14:textId="77777777" w:rsidR="00A84778" w:rsidRPr="00E02B5D" w:rsidRDefault="00A84778" w:rsidP="00645BC7">
      <w:pPr>
        <w:pStyle w:val="FootnoteText"/>
        <w:ind w:left="0" w:firstLine="0"/>
      </w:pPr>
      <w:r>
        <w:rPr>
          <w:rStyle w:val="FootnoteReference"/>
          <w:lang w:val="en-GB"/>
        </w:rPr>
        <w:footnoteRef/>
      </w:r>
      <w:r>
        <w:t xml:space="preserve"> Välja arvatud elektri- ja/või soojusenergia tootmise ning maagaasi ülekande- ja jaotustaristuga seotud projektid, mis vastavad põhimõtte „ei kahjusta oluliselt“ kohaldamist käsitlevate tehniliste suuniste (2021/C58/01) III lisas sätestatud tingimustele.</w:t>
      </w:r>
    </w:p>
  </w:footnote>
  <w:footnote w:id="40">
    <w:p w14:paraId="5C071FDD" w14:textId="77777777" w:rsidR="00A84778" w:rsidRPr="00E02B5D" w:rsidRDefault="00A84778" w:rsidP="00645BC7">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41">
    <w:p w14:paraId="185E398E" w14:textId="77777777" w:rsidR="00A84778" w:rsidRPr="00E02B5D" w:rsidRDefault="00A84778" w:rsidP="00645BC7">
      <w:pPr>
        <w:spacing w:after="0" w:line="240" w:lineRule="auto"/>
        <w:jc w:val="both"/>
        <w:rPr>
          <w:rFonts w:ascii="Times New Roman" w:hAnsi="Times New Roman" w:cs="Times New Roman"/>
        </w:rPr>
      </w:pPr>
      <w:r>
        <w:rPr>
          <w:rStyle w:val="FootnoteReference"/>
          <w:rFonts w:ascii="Times New Roman" w:hAnsi="Times New Roman" w:cs="Times New Roman"/>
          <w:sz w:val="20"/>
          <w:szCs w:val="20"/>
          <w:lang w:val="en-GB"/>
        </w:rPr>
        <w:footnoteRef/>
      </w:r>
      <w:r>
        <w:rPr>
          <w:rFonts w:ascii="Times New Roman" w:hAnsi="Times New Roman"/>
          <w:sz w:val="20"/>
        </w:rPr>
        <w:t xml:space="preserve"> 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42">
    <w:p w14:paraId="71D2AF03" w14:textId="77777777" w:rsidR="00A84778" w:rsidRPr="00E02B5D" w:rsidRDefault="00A84778" w:rsidP="00645BC7">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43">
    <w:p w14:paraId="3A90E94C" w14:textId="77777777" w:rsidR="00A84778" w:rsidRPr="00E02B5D" w:rsidRDefault="00A84778" w:rsidP="00645BC7">
      <w:pPr>
        <w:pStyle w:val="FootnoteText"/>
        <w:ind w:left="0" w:firstLine="0"/>
      </w:pPr>
      <w:r>
        <w:rPr>
          <w:rStyle w:val="FootnoteReference"/>
          <w:lang w:val="en-GB"/>
        </w:rPr>
        <w:footnoteRef/>
      </w:r>
      <w:r>
        <w:t xml:space="preserve"> Välja arvatud elektri- ja/või soojusenergia tootmise ning maagaasi ülekande- ja jaotustaristuga seotud projektid, mis vastavad põhimõtte „ei kahjusta oluliselt“ kohaldamist käsitlevate tehniliste suuniste (2021/C58/01) III lisas sätestatud tingimustele.</w:t>
      </w:r>
    </w:p>
  </w:footnote>
  <w:footnote w:id="44">
    <w:p w14:paraId="6452CEF7" w14:textId="77777777" w:rsidR="00A84778" w:rsidRPr="00E02B5D" w:rsidRDefault="00A84778" w:rsidP="00645BC7">
      <w:pPr>
        <w:pStyle w:val="FootnoteText"/>
        <w:ind w:left="0" w:firstLine="0"/>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45">
    <w:p w14:paraId="57DAC913" w14:textId="77777777" w:rsidR="00A84778" w:rsidRPr="00E02B5D" w:rsidRDefault="00A84778" w:rsidP="00645BC7">
      <w:pPr>
        <w:spacing w:after="0" w:line="240" w:lineRule="auto"/>
        <w:jc w:val="both"/>
        <w:rPr>
          <w:rFonts w:ascii="Times New Roman" w:hAnsi="Times New Roman" w:cs="Times New Roman"/>
        </w:rPr>
      </w:pPr>
      <w:r>
        <w:rPr>
          <w:rStyle w:val="FootnoteReference"/>
          <w:rFonts w:ascii="Times New Roman" w:hAnsi="Times New Roman" w:cs="Times New Roman"/>
          <w:sz w:val="20"/>
          <w:szCs w:val="20"/>
          <w:lang w:val="en-GB"/>
        </w:rPr>
        <w:footnoteRef/>
      </w:r>
      <w:r>
        <w:rPr>
          <w:rFonts w:ascii="Times New Roman" w:hAnsi="Times New Roman"/>
          <w:sz w:val="20"/>
        </w:rPr>
        <w:t xml:space="preserve"> 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46">
    <w:p w14:paraId="7F60B497" w14:textId="77777777" w:rsidR="00A84778" w:rsidRPr="00E02B5D" w:rsidRDefault="00A84778" w:rsidP="00645BC7">
      <w:pPr>
        <w:pStyle w:val="FootnoteText"/>
        <w:ind w:left="0" w:firstLine="0"/>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 w:id="47">
    <w:p w14:paraId="3BFD0B21" w14:textId="77777777" w:rsidR="00A84778" w:rsidRPr="00E02B5D" w:rsidRDefault="00A84778" w:rsidP="001A5D61">
      <w:pPr>
        <w:pStyle w:val="FootnoteText"/>
        <w:ind w:left="142" w:hanging="142"/>
      </w:pPr>
      <w:r>
        <w:rPr>
          <w:rStyle w:val="FootnoteReference"/>
          <w:lang w:val="en-GB"/>
        </w:rPr>
        <w:footnoteRef/>
      </w:r>
      <w:r>
        <w:t xml:space="preserve"> Välja arvatud a) käesoleva meetme kohased projektid, mis käsitlevad elektri- ja/või soojusenergia tootmist ning nendega seotud maagaasi kasutavat ülekande- ja jaotustaristut, mis vastavad dokumendi „Ei kahjusta oluliselt“ tehniliste suuniste (2021/C58/01) III lisas sätestatud tingimustele, ning b) alapunkti ii kohased tegevused ja varad, mille puhul fossiilkütuste kasutamine on ajutine ja tehniliselt vältimatu õigeaegseks üleminekuks fossiilkütustevabale käitamisele.</w:t>
      </w:r>
    </w:p>
  </w:footnote>
  <w:footnote w:id="48">
    <w:p w14:paraId="75A0B7A5" w14:textId="77777777" w:rsidR="00A84778" w:rsidRPr="00E02B5D" w:rsidRDefault="00A84778" w:rsidP="001A5D61">
      <w:pPr>
        <w:pStyle w:val="FootnoteText"/>
        <w:ind w:left="142" w:hanging="142"/>
      </w:pPr>
      <w:r>
        <w:rPr>
          <w:rStyle w:val="FootnoteReference"/>
          <w:lang w:val="en-GB"/>
        </w:rPr>
        <w:footnoteRef/>
      </w:r>
      <w:r>
        <w:t xml:space="preserve"> Kui toetatava tegevusega saavutatakse prognoositud kasvuhoonegaaside heide, mis ei ole oluliselt väiksem asjaomastest võrdlusalustest, tuleks esitada selgitus põhjuste kohta, miks see ei ole võimalik. Saastekvootide tasuta eraldamise võrdlusalused saastekvootidega kauplemise süsteemi kohaldamisalasse kuuluvate tegevuste jaoks on sätestatud komisjoni rakendusmääruses (EL) 2021/447.</w:t>
      </w:r>
    </w:p>
  </w:footnote>
  <w:footnote w:id="49">
    <w:p w14:paraId="31B219CC" w14:textId="77777777" w:rsidR="00A84778" w:rsidRPr="00E02B5D" w:rsidRDefault="00A84778" w:rsidP="001A5D61">
      <w:pPr>
        <w:pStyle w:val="FootnoteText"/>
        <w:ind w:left="142" w:hanging="142"/>
      </w:pPr>
      <w:r>
        <w:rPr>
          <w:rStyle w:val="FootnoteReference"/>
          <w:lang w:val="en-GB"/>
        </w:rPr>
        <w:footnoteRef/>
      </w:r>
      <w:r>
        <w:t xml:space="preserve"> Seda erandit ei kohaldata meetmete suhtes, mida võetakse käesoleva meetme raames üksnes ringlussevõetamatute ohtlike jäätmete töötlemisega tegelevates jaamades, ega olemasolevate jaamade suhtes, kui käesoleva meetme kohaste meetmete eesmärk on suurendada energiatõhusust, koguda heitgaase ladustamiseks või kasutamiseks või taaskasutada materjale põletustuhast, tingimusel et käesoleva meetme kohased meetmed ei suurenda jaamade jäätmetöötlusvõimsust ega pikenda jaamade kasutusiga; tõendid selle kohta tuleb esitada iga jaama kohta eraldi.</w:t>
      </w:r>
    </w:p>
  </w:footnote>
  <w:footnote w:id="50">
    <w:p w14:paraId="18946D78" w14:textId="77777777" w:rsidR="00A84778" w:rsidRPr="00E02B5D" w:rsidRDefault="00A84778" w:rsidP="001A5D61">
      <w:pPr>
        <w:pStyle w:val="FootnoteText"/>
        <w:ind w:left="142" w:hanging="142"/>
      </w:pPr>
      <w:r>
        <w:rPr>
          <w:rStyle w:val="FootnoteReference"/>
          <w:lang w:val="en-GB"/>
        </w:rPr>
        <w:footnoteRef/>
      </w:r>
      <w:r>
        <w:t xml:space="preserve"> Seda erandit ei kohaldata käesoleva meetme kohasele tegevusele olemasolevates mehhaanilis-bioloogilise töötlemise käitistes, kui sellise tegevuse eesmärk on suurendada energiatõhusust või moderniseerida eraldatud jäätmete ringlussevõttu biojäätmete kompostimiseks ja nende anaeroobseks kääritamiseks, tingimusel et käesoleva meetme kohane tegevus ei suurenda käitiste jäätmekäitlusvõimsust ega pikenda nende kasutusaega; tõendid selle kohta tuleb esitada iga jaama kohta eraldi.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2EE21" w14:textId="77777777" w:rsidR="00247639" w:rsidRPr="00247639" w:rsidRDefault="00247639" w:rsidP="00247639">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D7C2B" w14:textId="77777777" w:rsidR="00A84778" w:rsidRDefault="00A84778">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D238" w14:textId="77777777" w:rsidR="00A84778" w:rsidRPr="00271D33" w:rsidRDefault="00A84778" w:rsidP="00271D33">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A310" w14:textId="77777777" w:rsidR="00A84778" w:rsidRPr="00271D33" w:rsidRDefault="00A84778" w:rsidP="00271D33">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0845" w14:textId="77777777" w:rsidR="00A84778" w:rsidRPr="00271D33" w:rsidRDefault="00A84778" w:rsidP="00271D33">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C670" w14:textId="77777777" w:rsidR="00A84778" w:rsidRPr="00271D33" w:rsidRDefault="00A84778" w:rsidP="00271D33">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8A4B" w14:textId="77777777" w:rsidR="00A84778" w:rsidRPr="00271D33" w:rsidRDefault="00A84778" w:rsidP="00271D33">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CC12" w14:textId="77777777" w:rsidR="00A84778" w:rsidRPr="00271D33" w:rsidRDefault="00A84778" w:rsidP="00271D33">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F9E16" w14:textId="77777777" w:rsidR="00A84778" w:rsidRPr="00271D33" w:rsidRDefault="00A84778" w:rsidP="00271D33">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2010" w14:textId="77777777" w:rsidR="00A84778" w:rsidRPr="00271D33" w:rsidRDefault="00A84778" w:rsidP="00271D33">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860E" w14:textId="77777777" w:rsidR="00A84778" w:rsidRPr="00271D33" w:rsidRDefault="00A84778" w:rsidP="00271D33">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2B0C" w14:textId="77777777" w:rsidR="00F72C9B" w:rsidRPr="00271D33" w:rsidRDefault="00F72C9B" w:rsidP="00271D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DF5C" w14:textId="77777777" w:rsidR="00A84778" w:rsidRDefault="00A84778">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D80F" w14:textId="77777777" w:rsidR="00F72C9B" w:rsidRPr="00271D33" w:rsidRDefault="00F72C9B" w:rsidP="00271D33">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FE78" w14:textId="77777777" w:rsidR="00F72C9B" w:rsidRPr="00271D33" w:rsidRDefault="00F72C9B" w:rsidP="00271D33">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33B8" w14:textId="77777777" w:rsidR="00A84778" w:rsidRPr="00271D33" w:rsidRDefault="00A84778" w:rsidP="00271D33">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3A56" w14:textId="77777777" w:rsidR="00A84778" w:rsidRPr="00271D33" w:rsidRDefault="00A84778" w:rsidP="00271D33">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8C6D0" w14:textId="77777777" w:rsidR="00A84778" w:rsidRPr="00271D33" w:rsidRDefault="00A84778" w:rsidP="00271D33">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5982" w14:textId="77777777" w:rsidR="00A84778" w:rsidRPr="00271D33" w:rsidRDefault="00A84778" w:rsidP="00271D33">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AEDA" w14:textId="77777777" w:rsidR="00A84778" w:rsidRPr="00271D33" w:rsidRDefault="00A84778" w:rsidP="00271D33">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A446" w14:textId="77777777" w:rsidR="00A84778" w:rsidRPr="00271D33" w:rsidRDefault="00A84778" w:rsidP="00271D33">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7A99" w14:textId="77777777" w:rsidR="00A84778" w:rsidRPr="00271D33" w:rsidRDefault="00A84778" w:rsidP="00271D33">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C759" w14:textId="77777777" w:rsidR="00A84778" w:rsidRPr="00271D33" w:rsidRDefault="00A84778" w:rsidP="00271D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EE8A" w14:textId="77777777" w:rsidR="00A84778" w:rsidRDefault="00A84778">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AE84" w14:textId="77777777" w:rsidR="00A84778" w:rsidRPr="00271D33" w:rsidRDefault="00A84778" w:rsidP="00271D33">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EF6A8" w14:textId="77777777" w:rsidR="00A84778" w:rsidRPr="00271D33" w:rsidRDefault="00A84778" w:rsidP="00271D33">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B728" w14:textId="77777777" w:rsidR="00A84778" w:rsidRPr="00271D33" w:rsidRDefault="00A84778" w:rsidP="00271D33">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12DB" w14:textId="77777777" w:rsidR="00A84778" w:rsidRPr="00271D33" w:rsidRDefault="00A84778" w:rsidP="00271D33">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C39A0" w14:textId="77777777" w:rsidR="00A84778" w:rsidRPr="00271D33" w:rsidRDefault="00A84778" w:rsidP="00271D33">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5B4C" w14:textId="77777777" w:rsidR="00A84778" w:rsidRPr="00271D33" w:rsidRDefault="00A84778" w:rsidP="00271D33">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B038" w14:textId="77777777" w:rsidR="00A84778" w:rsidRPr="00271D33" w:rsidRDefault="00A84778" w:rsidP="00271D33">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3ADD" w14:textId="77777777" w:rsidR="00A84778" w:rsidRPr="00271D33" w:rsidRDefault="00A84778" w:rsidP="00271D33">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E924" w14:textId="77777777" w:rsidR="00A84778" w:rsidRPr="00271D33" w:rsidRDefault="00A84778" w:rsidP="00271D33">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D733A" w14:textId="77777777" w:rsidR="00A84778" w:rsidRPr="00271D33" w:rsidRDefault="00A84778" w:rsidP="00271D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FD56" w14:textId="77777777" w:rsidR="00A84778" w:rsidRPr="00C70741" w:rsidRDefault="00A84778">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AEC7" w14:textId="77777777" w:rsidR="00A84778" w:rsidRPr="00271D33" w:rsidRDefault="00A84778" w:rsidP="00271D33">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B634" w14:textId="77777777" w:rsidR="00A84778" w:rsidRPr="00271D33" w:rsidRDefault="00A84778" w:rsidP="00271D33">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AF15" w14:textId="77777777" w:rsidR="00A84778" w:rsidRPr="00271D33" w:rsidRDefault="00A84778" w:rsidP="00271D33">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DB193" w14:textId="77777777" w:rsidR="00A84778" w:rsidRPr="00271D33" w:rsidRDefault="00A84778" w:rsidP="00271D33">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9B31" w14:textId="77777777" w:rsidR="00A84778" w:rsidRPr="00271D33" w:rsidRDefault="00A84778" w:rsidP="00271D33">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01C0" w14:textId="77777777" w:rsidR="00A84778" w:rsidRPr="00271D33" w:rsidRDefault="00A84778" w:rsidP="00271D33">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3403" w14:textId="77777777" w:rsidR="00A84778" w:rsidRPr="00271D33" w:rsidRDefault="00A84778" w:rsidP="00271D33">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69B52" w14:textId="77777777" w:rsidR="00A84778" w:rsidRPr="00271D33" w:rsidRDefault="00A84778" w:rsidP="00271D33">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ADBF" w14:textId="77777777" w:rsidR="00A84778" w:rsidRPr="00271D33" w:rsidRDefault="00A84778" w:rsidP="00271D33">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5384" w14:textId="77777777" w:rsidR="00A84778" w:rsidRPr="00271D33" w:rsidRDefault="00A84778" w:rsidP="00271D3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04FC" w14:textId="77777777" w:rsidR="00A84778" w:rsidRPr="00C70741" w:rsidRDefault="00A84778">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2F0C" w14:textId="77777777" w:rsidR="00A84778" w:rsidRPr="00271D33" w:rsidRDefault="00A84778" w:rsidP="00271D33">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8A86" w14:textId="77777777" w:rsidR="00A84778" w:rsidRPr="00271D33" w:rsidRDefault="00A84778" w:rsidP="00271D33">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178E" w14:textId="77777777" w:rsidR="00A84778" w:rsidRPr="00271D33" w:rsidRDefault="00A84778" w:rsidP="00271D33">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CDA6" w14:textId="77777777" w:rsidR="00A84778" w:rsidRPr="00271D33" w:rsidRDefault="00A84778" w:rsidP="00271D33">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A1BE" w14:textId="77777777" w:rsidR="00A84778" w:rsidRPr="00271D33" w:rsidRDefault="00A84778" w:rsidP="00271D33">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BE6A" w14:textId="77777777" w:rsidR="00A84778" w:rsidRPr="00271D33" w:rsidRDefault="00A84778" w:rsidP="00271D33">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7EB7" w14:textId="77777777" w:rsidR="00A84778" w:rsidRPr="00271D33" w:rsidRDefault="00A84778" w:rsidP="00271D33">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1313" w14:textId="77777777" w:rsidR="00A84778" w:rsidRPr="00271D33" w:rsidRDefault="00A84778" w:rsidP="00271D33">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2878A" w14:textId="77777777" w:rsidR="00A84778" w:rsidRPr="00271D33" w:rsidRDefault="00A84778" w:rsidP="00271D33">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CBBE" w14:textId="77777777" w:rsidR="00A84778" w:rsidRPr="00271D33" w:rsidRDefault="00A84778" w:rsidP="00271D3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603C" w14:textId="77777777" w:rsidR="00A84778" w:rsidRPr="00C70741" w:rsidRDefault="00A84778">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BB60" w14:textId="77777777" w:rsidR="00A84778" w:rsidRPr="00271D33" w:rsidRDefault="00A84778" w:rsidP="00271D33">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E6B8" w14:textId="77777777" w:rsidR="00A84778" w:rsidRPr="00271D33" w:rsidRDefault="00A84778" w:rsidP="00271D33">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DB3C" w14:textId="77777777" w:rsidR="00A84778" w:rsidRPr="00271D33" w:rsidRDefault="00A84778" w:rsidP="00271D33">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9A2F" w14:textId="77777777" w:rsidR="00A84778" w:rsidRPr="00271D33" w:rsidRDefault="00A84778" w:rsidP="00271D33">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5D69" w14:textId="77777777" w:rsidR="00A84778" w:rsidRPr="00271D33" w:rsidRDefault="00A84778" w:rsidP="00271D33">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DD79" w14:textId="77777777" w:rsidR="00A84778" w:rsidRPr="00271D33" w:rsidRDefault="00A84778" w:rsidP="00271D33">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6173" w14:textId="77777777" w:rsidR="00A84778" w:rsidRPr="00271D33" w:rsidRDefault="00A84778" w:rsidP="00271D33">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50CA" w14:textId="77777777" w:rsidR="00A84778" w:rsidRPr="00271D33" w:rsidRDefault="00A84778" w:rsidP="00271D33">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40B5" w14:textId="77777777" w:rsidR="00A84778" w:rsidRPr="00271D33" w:rsidRDefault="00A84778" w:rsidP="00271D33">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575D" w14:textId="77777777" w:rsidR="00A84778" w:rsidRPr="00271D33" w:rsidRDefault="00A84778" w:rsidP="00271D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46A31" w14:textId="77777777" w:rsidR="00F72C9B" w:rsidRPr="00C70741" w:rsidRDefault="00F72C9B">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421BB" w14:textId="77777777" w:rsidR="00A84778" w:rsidRPr="00271D33" w:rsidRDefault="00A84778" w:rsidP="00271D33">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0DDB4" w14:textId="77777777" w:rsidR="00A84778" w:rsidRPr="00271D33" w:rsidRDefault="00A84778" w:rsidP="00271D33">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4519" w14:textId="77777777" w:rsidR="00A84778" w:rsidRPr="00271D33" w:rsidRDefault="00A84778" w:rsidP="00271D33">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A0FF" w14:textId="77777777" w:rsidR="00A84778" w:rsidRPr="00271D33" w:rsidRDefault="00A84778" w:rsidP="00271D33">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94BCE" w14:textId="77777777" w:rsidR="00A84778" w:rsidRPr="00271D33" w:rsidRDefault="00A84778" w:rsidP="00271D33">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7D22" w14:textId="77777777" w:rsidR="00A84778" w:rsidRPr="00271D33" w:rsidRDefault="00A84778" w:rsidP="00271D33">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3CE7" w14:textId="77777777" w:rsidR="00A84778" w:rsidRPr="00271D33" w:rsidRDefault="00A84778" w:rsidP="00271D33">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4AC5A" w14:textId="77777777" w:rsidR="00A84778" w:rsidRPr="00271D33" w:rsidRDefault="00A84778" w:rsidP="00271D33">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7A7D" w14:textId="77777777" w:rsidR="00A84778" w:rsidRPr="00271D33" w:rsidRDefault="00A84778" w:rsidP="00271D33">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1102" w14:textId="77777777" w:rsidR="00A84778" w:rsidRPr="00271D33" w:rsidRDefault="00A84778" w:rsidP="00271D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E1C0" w14:textId="77777777" w:rsidR="00F72C9B" w:rsidRPr="00C70741" w:rsidRDefault="00F72C9B">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0743" w14:textId="77777777" w:rsidR="00A84778" w:rsidRPr="00271D33" w:rsidRDefault="00A84778" w:rsidP="00271D33">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B23B" w14:textId="77777777" w:rsidR="00A84778" w:rsidRPr="00271D33" w:rsidRDefault="00A84778" w:rsidP="00271D33">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879B" w14:textId="77777777" w:rsidR="00F72C9B" w:rsidRPr="00271D33" w:rsidRDefault="00F72C9B" w:rsidP="00271D33">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CADA" w14:textId="77777777" w:rsidR="00F72C9B" w:rsidRPr="00271D33" w:rsidRDefault="00F72C9B" w:rsidP="00271D33">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D012" w14:textId="77777777" w:rsidR="00F72C9B" w:rsidRPr="00271D33" w:rsidRDefault="00F72C9B" w:rsidP="00271D33">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BE0B" w14:textId="77777777" w:rsidR="00A84778" w:rsidRPr="00271D33" w:rsidRDefault="00A84778" w:rsidP="00271D33">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CEDB" w14:textId="77777777" w:rsidR="00A84778" w:rsidRPr="00271D33" w:rsidRDefault="00A84778" w:rsidP="00271D33">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77E5" w14:textId="77777777" w:rsidR="00A84778" w:rsidRPr="00271D33" w:rsidRDefault="00A84778" w:rsidP="00271D33">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6A2F" w14:textId="77777777" w:rsidR="00A84778" w:rsidRPr="00271D33" w:rsidRDefault="00A84778" w:rsidP="00271D33">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D4B1" w14:textId="77777777" w:rsidR="00A84778" w:rsidRPr="00271D33" w:rsidRDefault="00A84778" w:rsidP="00271D3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BAB4" w14:textId="77777777" w:rsidR="00F72C9B" w:rsidRPr="00C70741" w:rsidRDefault="00F72C9B">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DE9E" w14:textId="77777777" w:rsidR="00A84778" w:rsidRPr="00271D33" w:rsidRDefault="00A84778" w:rsidP="00271D33">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97C3" w14:textId="77777777" w:rsidR="00F72C9B" w:rsidRPr="00271D33" w:rsidRDefault="00F72C9B" w:rsidP="00271D33">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5DC6" w14:textId="77777777" w:rsidR="00F72C9B" w:rsidRPr="00271D33" w:rsidRDefault="00F72C9B" w:rsidP="00271D33">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47EE" w14:textId="77777777" w:rsidR="00F72C9B" w:rsidRPr="00271D33" w:rsidRDefault="00F72C9B" w:rsidP="00271D33">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61643" w14:textId="77777777" w:rsidR="00A84778" w:rsidRPr="00271D33" w:rsidRDefault="00A84778" w:rsidP="00271D33">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52861" w14:textId="77777777" w:rsidR="00A84778" w:rsidRPr="00271D33" w:rsidRDefault="00A84778" w:rsidP="00271D33">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BA54" w14:textId="77777777" w:rsidR="00A84778" w:rsidRPr="00271D33" w:rsidRDefault="00A84778" w:rsidP="00271D33">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E327" w14:textId="77777777" w:rsidR="00A84778" w:rsidRPr="00271D33" w:rsidRDefault="00A84778" w:rsidP="00271D33">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A2F4" w14:textId="77777777" w:rsidR="00A84778" w:rsidRPr="00271D33" w:rsidRDefault="00A84778" w:rsidP="00271D33">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F785" w14:textId="77777777" w:rsidR="00A84778" w:rsidRPr="00271D33" w:rsidRDefault="00A84778" w:rsidP="00271D3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939EA" w14:textId="77777777" w:rsidR="00F72C9B" w:rsidRPr="00C70741" w:rsidRDefault="00F72C9B">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F11C" w14:textId="77777777" w:rsidR="00A84778" w:rsidRPr="00271D33" w:rsidRDefault="00A84778" w:rsidP="00271D33">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9990" w14:textId="77777777" w:rsidR="00A84778" w:rsidRPr="00271D33" w:rsidRDefault="00A84778" w:rsidP="00271D33">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8710" w14:textId="77777777" w:rsidR="00A84778" w:rsidRPr="00271D33" w:rsidRDefault="00A84778" w:rsidP="00271D33">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0604" w14:textId="77777777" w:rsidR="00A84778" w:rsidRPr="00271D33" w:rsidRDefault="00A84778" w:rsidP="00271D33">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9B6F" w14:textId="77777777" w:rsidR="00A84778" w:rsidRPr="00271D33" w:rsidRDefault="00A84778" w:rsidP="00271D33">
    <w:pPr>
      <w:pStyle w:val="Header"/>
    </w:pP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AB90" w14:textId="77777777" w:rsidR="00A84778" w:rsidRPr="00271D33" w:rsidRDefault="00A84778" w:rsidP="00271D33">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D882" w14:textId="77777777" w:rsidR="00AD4052" w:rsidRPr="00271D33" w:rsidRDefault="00AD4052" w:rsidP="00271D33">
    <w:pPr>
      <w:pStyle w:val="Header"/>
    </w:pPr>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2423" w14:textId="77777777" w:rsidR="00AD4052" w:rsidRPr="00271D33" w:rsidRDefault="00AD4052" w:rsidP="00271D33">
    <w:pPr>
      <w:pStyle w:val="Header"/>
    </w:pP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7440C" w14:textId="77777777" w:rsidR="00AD4052" w:rsidRPr="00271D33" w:rsidRDefault="00AD4052" w:rsidP="00271D33">
    <w:pPr>
      <w:pStyle w:val="Header"/>
    </w:pPr>
  </w:p>
</w:hdr>
</file>

<file path=word/header1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0F3F" w14:textId="77777777" w:rsidR="00A84778" w:rsidRPr="00271D33" w:rsidRDefault="00A84778" w:rsidP="00271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4430" w14:textId="77777777" w:rsidR="00247639" w:rsidRPr="00247639" w:rsidRDefault="00247639" w:rsidP="00247639">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D120" w14:textId="77777777" w:rsidR="00F72C9B" w:rsidRPr="00C70741" w:rsidRDefault="00F72C9B">
    <w:pPr>
      <w:pStyle w:val="Header"/>
    </w:pPr>
  </w:p>
</w:hdr>
</file>

<file path=word/header2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37FC" w14:textId="77777777" w:rsidR="00A84778" w:rsidRPr="00271D33" w:rsidRDefault="00A84778" w:rsidP="00271D33">
    <w:pPr>
      <w:pStyle w:val="Header"/>
    </w:pPr>
  </w:p>
</w:hdr>
</file>

<file path=word/header2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FCBD" w14:textId="77777777" w:rsidR="00A84778" w:rsidRPr="00271D33" w:rsidRDefault="00A84778" w:rsidP="00271D33">
    <w:pPr>
      <w:pStyle w:val="Header"/>
    </w:pPr>
  </w:p>
</w:hdr>
</file>

<file path=word/header2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61EA" w14:textId="77777777" w:rsidR="00F72C9B" w:rsidRPr="00271D33" w:rsidRDefault="00F72C9B" w:rsidP="00271D33">
    <w:pPr>
      <w:pStyle w:val="Header"/>
    </w:pPr>
  </w:p>
</w:hdr>
</file>

<file path=word/header2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85A5" w14:textId="77777777" w:rsidR="00F72C9B" w:rsidRPr="00271D33" w:rsidRDefault="00F72C9B" w:rsidP="00271D33">
    <w:pPr>
      <w:pStyle w:val="Header"/>
    </w:pPr>
  </w:p>
</w:hdr>
</file>

<file path=word/header2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FF26" w14:textId="77777777" w:rsidR="00F72C9B" w:rsidRPr="00271D33" w:rsidRDefault="00F72C9B" w:rsidP="00271D33">
    <w:pPr>
      <w:pStyle w:val="Header"/>
    </w:pPr>
  </w:p>
</w:hdr>
</file>

<file path=word/header2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F7EC" w14:textId="77777777" w:rsidR="00A84778" w:rsidRPr="00271D33" w:rsidRDefault="00A84778" w:rsidP="00271D33">
    <w:pPr>
      <w:pStyle w:val="Header"/>
    </w:pPr>
  </w:p>
</w:hdr>
</file>

<file path=word/header2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5243" w14:textId="77777777" w:rsidR="00A84778" w:rsidRPr="00271D33" w:rsidRDefault="00A84778" w:rsidP="00271D33">
    <w:pPr>
      <w:pStyle w:val="Header"/>
    </w:pPr>
  </w:p>
</w:hdr>
</file>

<file path=word/header2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BAF8" w14:textId="77777777" w:rsidR="00A84778" w:rsidRPr="00271D33" w:rsidRDefault="00A84778" w:rsidP="00271D33">
    <w:pPr>
      <w:pStyle w:val="Header"/>
    </w:pPr>
  </w:p>
</w:hdr>
</file>

<file path=word/header2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EE79" w14:textId="77777777" w:rsidR="00A84778" w:rsidRPr="00271D33" w:rsidRDefault="00A84778" w:rsidP="00271D33">
    <w:pPr>
      <w:pStyle w:val="Header"/>
    </w:pPr>
  </w:p>
</w:hdr>
</file>

<file path=word/header2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F87C" w14:textId="77777777" w:rsidR="00A84778" w:rsidRPr="00271D33" w:rsidRDefault="00A84778" w:rsidP="00271D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B5B0F" w14:textId="77777777" w:rsidR="00F72C9B" w:rsidRPr="00C70741" w:rsidRDefault="00F72C9B">
    <w:pPr>
      <w:pStyle w:val="Header"/>
    </w:pPr>
  </w:p>
</w:hdr>
</file>

<file path=word/header2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B004" w14:textId="77777777" w:rsidR="00A84778" w:rsidRPr="00271D33" w:rsidRDefault="00A84778" w:rsidP="00271D33">
    <w:pPr>
      <w:pStyle w:val="Header"/>
    </w:pPr>
  </w:p>
</w:hdr>
</file>

<file path=word/header2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DDD4" w14:textId="77777777" w:rsidR="00A84778" w:rsidRPr="00271D33" w:rsidRDefault="00A84778" w:rsidP="00271D33">
    <w:pPr>
      <w:pStyle w:val="Header"/>
    </w:pPr>
  </w:p>
</w:hdr>
</file>

<file path=word/header2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7000" w14:textId="77777777" w:rsidR="00A84778" w:rsidRPr="00271D33" w:rsidRDefault="00A84778" w:rsidP="00271D33">
    <w:pPr>
      <w:pStyle w:val="Header"/>
    </w:pPr>
  </w:p>
</w:hdr>
</file>

<file path=word/header2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F416" w14:textId="77777777" w:rsidR="00A84778" w:rsidRPr="00271D33" w:rsidRDefault="00A84778" w:rsidP="00271D33">
    <w:pPr>
      <w:pStyle w:val="Header"/>
    </w:pPr>
  </w:p>
</w:hdr>
</file>

<file path=word/header2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090DC" w14:textId="77777777" w:rsidR="00A84778" w:rsidRPr="00271D33" w:rsidRDefault="00A84778" w:rsidP="00271D33">
    <w:pPr>
      <w:pStyle w:val="Header"/>
    </w:pPr>
  </w:p>
</w:hdr>
</file>

<file path=word/header2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1314" w14:textId="77777777" w:rsidR="00A84778" w:rsidRPr="00271D33" w:rsidRDefault="00A84778" w:rsidP="00271D33">
    <w:pPr>
      <w:pStyle w:val="Header"/>
    </w:pPr>
  </w:p>
</w:hdr>
</file>

<file path=word/header2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6B7D" w14:textId="77777777" w:rsidR="00A84778" w:rsidRPr="00271D33" w:rsidRDefault="00A84778" w:rsidP="00271D33">
    <w:pPr>
      <w:pStyle w:val="Header"/>
    </w:pPr>
  </w:p>
</w:hdr>
</file>

<file path=word/header2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74CF" w14:textId="77777777" w:rsidR="00A84778" w:rsidRPr="00271D33" w:rsidRDefault="00A84778" w:rsidP="00271D33">
    <w:pPr>
      <w:pStyle w:val="Header"/>
    </w:pPr>
  </w:p>
</w:hdr>
</file>

<file path=word/header2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3EEB" w14:textId="77777777" w:rsidR="00A84778" w:rsidRPr="00271D33" w:rsidRDefault="00A84778" w:rsidP="00271D33">
    <w:pPr>
      <w:pStyle w:val="Header"/>
    </w:pPr>
  </w:p>
</w:hdr>
</file>

<file path=word/header2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5020" w14:textId="77777777" w:rsidR="00A84778" w:rsidRPr="00271D33" w:rsidRDefault="00A84778" w:rsidP="00271D3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2CF9" w14:textId="77777777" w:rsidR="00A84778" w:rsidRPr="00271D33" w:rsidRDefault="00A84778" w:rsidP="00271D33">
    <w:pPr>
      <w:pStyle w:val="Header"/>
    </w:pPr>
  </w:p>
</w:hdr>
</file>

<file path=word/header2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F613" w14:textId="77777777" w:rsidR="00A84778" w:rsidRPr="00271D33" w:rsidRDefault="00A84778" w:rsidP="00271D33">
    <w:pPr>
      <w:pStyle w:val="Header"/>
    </w:pPr>
  </w:p>
</w:hdr>
</file>

<file path=word/header2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E1AF" w14:textId="77777777" w:rsidR="00A84778" w:rsidRPr="00271D33" w:rsidRDefault="00A84778" w:rsidP="00271D33">
    <w:pPr>
      <w:pStyle w:val="Header"/>
    </w:pPr>
  </w:p>
</w:hdr>
</file>

<file path=word/header2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F1B3D" w14:textId="77777777" w:rsidR="00A84778" w:rsidRPr="00271D33" w:rsidRDefault="00A84778" w:rsidP="00271D33">
    <w:pPr>
      <w:pStyle w:val="Header"/>
    </w:pPr>
  </w:p>
</w:hdr>
</file>

<file path=word/header2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9DF8" w14:textId="77777777" w:rsidR="00F72C9B" w:rsidRPr="00271D33" w:rsidRDefault="00F72C9B" w:rsidP="00271D33">
    <w:pPr>
      <w:pStyle w:val="Header"/>
    </w:pPr>
  </w:p>
</w:hdr>
</file>

<file path=word/header2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B408C" w14:textId="77777777" w:rsidR="00F72C9B" w:rsidRPr="00271D33" w:rsidRDefault="00F72C9B" w:rsidP="00271D33">
    <w:pPr>
      <w:pStyle w:val="Header"/>
    </w:pPr>
  </w:p>
</w:hdr>
</file>

<file path=word/header2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E8C8" w14:textId="77777777" w:rsidR="00F72C9B" w:rsidRPr="00271D33" w:rsidRDefault="00F72C9B" w:rsidP="00271D33">
    <w:pPr>
      <w:pStyle w:val="Header"/>
    </w:pPr>
  </w:p>
</w:hdr>
</file>

<file path=word/header2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1B8C" w14:textId="77777777" w:rsidR="00F72C9B" w:rsidRPr="00271D33" w:rsidRDefault="00F72C9B" w:rsidP="00271D33">
    <w:pPr>
      <w:pStyle w:val="Header"/>
    </w:pPr>
  </w:p>
</w:hdr>
</file>

<file path=word/header2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C092" w14:textId="77777777" w:rsidR="00F72C9B" w:rsidRPr="00271D33" w:rsidRDefault="00F72C9B" w:rsidP="00271D33">
    <w:pPr>
      <w:pStyle w:val="Header"/>
    </w:pPr>
  </w:p>
</w:hdr>
</file>

<file path=word/header2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5BCB" w14:textId="77777777" w:rsidR="00F72C9B" w:rsidRPr="00271D33" w:rsidRDefault="00F72C9B" w:rsidP="00271D3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4053" w14:textId="77777777" w:rsidR="00A84778" w:rsidRPr="00271D33" w:rsidRDefault="00A84778" w:rsidP="00271D3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78163" w14:textId="77777777" w:rsidR="00A84778" w:rsidRPr="00271D33" w:rsidRDefault="00A84778" w:rsidP="00271D3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FFB6" w14:textId="77777777" w:rsidR="00A84778" w:rsidRPr="00271D33" w:rsidRDefault="00A84778" w:rsidP="00271D3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C145" w14:textId="77777777" w:rsidR="00A84778" w:rsidRPr="00271D33" w:rsidRDefault="00A84778" w:rsidP="00271D3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9197" w14:textId="77777777" w:rsidR="00A84778" w:rsidRPr="00271D33" w:rsidRDefault="00A84778" w:rsidP="00271D3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9626" w14:textId="77777777" w:rsidR="00A84778" w:rsidRPr="00271D33" w:rsidRDefault="00A84778" w:rsidP="00271D3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C1F5" w14:textId="77777777" w:rsidR="00A84778" w:rsidRPr="00271D33" w:rsidRDefault="00A84778" w:rsidP="00271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F48A" w14:textId="77777777" w:rsidR="00247639" w:rsidRPr="00247639" w:rsidRDefault="00247639" w:rsidP="00247639">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8FA6E" w14:textId="77777777" w:rsidR="00A84778" w:rsidRPr="00271D33" w:rsidRDefault="00A84778" w:rsidP="00271D3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280C" w14:textId="77777777" w:rsidR="00A84778" w:rsidRPr="00271D33" w:rsidRDefault="00A84778" w:rsidP="00271D3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3B0A" w14:textId="77777777" w:rsidR="00A84778" w:rsidRPr="00271D33" w:rsidRDefault="00A84778" w:rsidP="00271D3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4A4D" w14:textId="77777777" w:rsidR="00A84778" w:rsidRPr="00271D33" w:rsidRDefault="00A84778" w:rsidP="00271D3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B6C1" w14:textId="77777777" w:rsidR="00A84778" w:rsidRPr="00271D33" w:rsidRDefault="00A84778" w:rsidP="00271D3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04C4" w14:textId="77777777" w:rsidR="00A84778" w:rsidRPr="00271D33" w:rsidRDefault="00A84778" w:rsidP="00271D3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E2FD" w14:textId="77777777" w:rsidR="00A84778" w:rsidRPr="00271D33" w:rsidRDefault="00A84778" w:rsidP="00271D3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D3F6" w14:textId="77777777" w:rsidR="00A84778" w:rsidRPr="00271D33" w:rsidRDefault="00A84778" w:rsidP="00271D3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C297" w14:textId="77777777" w:rsidR="00A84778" w:rsidRPr="00271D33" w:rsidRDefault="00A84778" w:rsidP="00271D3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8470B" w14:textId="77777777" w:rsidR="00A84778" w:rsidRPr="00271D33" w:rsidRDefault="00A84778" w:rsidP="00271D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C7B4" w14:textId="77777777" w:rsidR="00F72C9B" w:rsidRDefault="00F72C9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E85C" w14:textId="77777777" w:rsidR="00F72C9B" w:rsidRPr="00271D33" w:rsidRDefault="00F72C9B" w:rsidP="00271D3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82DF" w14:textId="77777777" w:rsidR="00F72C9B" w:rsidRPr="00271D33" w:rsidRDefault="00F72C9B" w:rsidP="00271D3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C38A9" w14:textId="77777777" w:rsidR="00F72C9B" w:rsidRPr="00271D33" w:rsidRDefault="00F72C9B" w:rsidP="00271D3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F87B" w14:textId="77777777" w:rsidR="00F72C9B" w:rsidRPr="00271D33" w:rsidRDefault="00F72C9B" w:rsidP="00271D3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ED81" w14:textId="77777777" w:rsidR="00F72C9B" w:rsidRPr="00271D33" w:rsidRDefault="00F72C9B" w:rsidP="00271D3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90C1" w14:textId="77777777" w:rsidR="00F72C9B" w:rsidRPr="00271D33" w:rsidRDefault="00F72C9B" w:rsidP="00271D3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EFA4" w14:textId="77777777" w:rsidR="00F72C9B" w:rsidRPr="00271D33" w:rsidRDefault="00F72C9B" w:rsidP="00271D3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E7A5" w14:textId="77777777" w:rsidR="00F72C9B" w:rsidRPr="00271D33" w:rsidRDefault="00F72C9B" w:rsidP="00271D33">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E85D" w14:textId="77777777" w:rsidR="00F72C9B" w:rsidRPr="00271D33" w:rsidRDefault="00F72C9B" w:rsidP="00271D33">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BEA5" w14:textId="77777777" w:rsidR="00F72C9B" w:rsidRPr="00271D33" w:rsidRDefault="00F72C9B" w:rsidP="00271D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60C3" w14:textId="77777777" w:rsidR="00F72C9B" w:rsidRPr="00A873DC" w:rsidRDefault="00F72C9B" w:rsidP="00271D33">
    <w:pPr>
      <w:pStyle w:val="HeaderCouncilLarge"/>
    </w:pPr>
    <w:r>
      <w:t> </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2D48" w14:textId="77777777" w:rsidR="00F72C9B" w:rsidRPr="00271D33" w:rsidRDefault="00F72C9B" w:rsidP="00271D33">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4F23" w14:textId="77777777" w:rsidR="00F72C9B" w:rsidRPr="00271D33" w:rsidRDefault="00F72C9B" w:rsidP="00271D3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472E" w14:textId="77777777" w:rsidR="00A84778" w:rsidRPr="00271D33" w:rsidRDefault="00A84778" w:rsidP="00271D3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04AE" w14:textId="77777777" w:rsidR="00A84778" w:rsidRPr="00271D33" w:rsidRDefault="00A84778" w:rsidP="00271D3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3A84C" w14:textId="77777777" w:rsidR="00A84778" w:rsidRPr="00271D33" w:rsidRDefault="00A84778" w:rsidP="00271D33">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FB1C" w14:textId="77777777" w:rsidR="00F72C9B" w:rsidRPr="00271D33" w:rsidRDefault="00F72C9B" w:rsidP="00271D33">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EB7A" w14:textId="77777777" w:rsidR="00F72C9B" w:rsidRPr="00271D33" w:rsidRDefault="00F72C9B" w:rsidP="00271D3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4AB7" w14:textId="77777777" w:rsidR="00F72C9B" w:rsidRPr="00271D33" w:rsidRDefault="00F72C9B" w:rsidP="00271D33">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91C9E" w14:textId="77777777" w:rsidR="00A84778" w:rsidRPr="00271D33" w:rsidRDefault="00A84778" w:rsidP="00271D3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71F8" w14:textId="77777777" w:rsidR="00A84778" w:rsidRPr="00271D33" w:rsidRDefault="00A84778" w:rsidP="00271D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A830" w14:textId="77777777" w:rsidR="00F72C9B" w:rsidRDefault="00F72C9B">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CD31" w14:textId="77777777" w:rsidR="00A84778" w:rsidRPr="00271D33" w:rsidRDefault="00A84778" w:rsidP="00271D33">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1E8F" w14:textId="77777777" w:rsidR="00A84778" w:rsidRPr="00271D33" w:rsidRDefault="00A84778" w:rsidP="00271D3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9B82" w14:textId="77777777" w:rsidR="00A84778" w:rsidRPr="00271D33" w:rsidRDefault="00A84778" w:rsidP="00271D33">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C7FE" w14:textId="77777777" w:rsidR="00A84778" w:rsidRPr="00271D33" w:rsidRDefault="00A84778" w:rsidP="00271D3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AE12" w14:textId="77777777" w:rsidR="00A84778" w:rsidRPr="00271D33" w:rsidRDefault="00A84778" w:rsidP="00271D33">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7A93C" w14:textId="77777777" w:rsidR="00A84778" w:rsidRPr="00271D33" w:rsidRDefault="00A84778" w:rsidP="00271D33">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F393" w14:textId="77777777" w:rsidR="00A84778" w:rsidRPr="00271D33" w:rsidRDefault="00A84778" w:rsidP="00271D33">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B6C7" w14:textId="77777777" w:rsidR="00A84778" w:rsidRPr="00271D33" w:rsidRDefault="00A84778" w:rsidP="00271D33">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015C" w14:textId="77777777" w:rsidR="00A84778" w:rsidRPr="00271D33" w:rsidRDefault="00A84778" w:rsidP="00271D33">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13DB" w14:textId="77777777" w:rsidR="00A84778" w:rsidRPr="00271D33" w:rsidRDefault="00A84778" w:rsidP="00271D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A60" w14:textId="77777777" w:rsidR="00A84778" w:rsidRDefault="00A84778">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359D" w14:textId="77777777" w:rsidR="00F72C9B" w:rsidRPr="00271D33" w:rsidRDefault="00F72C9B" w:rsidP="00271D33">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3942" w14:textId="77777777" w:rsidR="00F72C9B" w:rsidRPr="00271D33" w:rsidRDefault="00F72C9B" w:rsidP="00271D33">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1091" w14:textId="77777777" w:rsidR="00F72C9B" w:rsidRPr="00271D33" w:rsidRDefault="00F72C9B" w:rsidP="00271D33">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9C6E" w14:textId="77777777" w:rsidR="00A84778" w:rsidRPr="00271D33" w:rsidRDefault="00A84778" w:rsidP="00271D33">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67B7" w14:textId="77777777" w:rsidR="00A84778" w:rsidRPr="00271D33" w:rsidRDefault="00A84778" w:rsidP="00271D33">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EF5C" w14:textId="77777777" w:rsidR="00A84778" w:rsidRPr="00271D33" w:rsidRDefault="00A84778" w:rsidP="00271D33">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8BB5" w14:textId="77777777" w:rsidR="00A84778" w:rsidRPr="00271D33" w:rsidRDefault="00A84778" w:rsidP="00271D33">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EC8C" w14:textId="77777777" w:rsidR="00A84778" w:rsidRPr="00271D33" w:rsidRDefault="00A84778" w:rsidP="00271D33">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D953" w14:textId="77777777" w:rsidR="00A84778" w:rsidRPr="00271D33" w:rsidRDefault="00A84778" w:rsidP="00271D33">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1DF38" w14:textId="77777777" w:rsidR="00A84778" w:rsidRPr="00271D33" w:rsidRDefault="00A84778" w:rsidP="00271D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89E7" w14:textId="77777777" w:rsidR="00A84778" w:rsidRDefault="00A84778">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7483" w14:textId="77777777" w:rsidR="00A84778" w:rsidRPr="00271D33" w:rsidRDefault="00A84778" w:rsidP="00271D33">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050E4" w14:textId="77777777" w:rsidR="00A84778" w:rsidRPr="00271D33" w:rsidRDefault="00A84778" w:rsidP="00271D33">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40C8" w14:textId="77777777" w:rsidR="00A84778" w:rsidRPr="00271D33" w:rsidRDefault="00A84778" w:rsidP="00271D33">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0889" w14:textId="77777777" w:rsidR="00A84778" w:rsidRPr="00271D33" w:rsidRDefault="00A84778" w:rsidP="00271D33">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5736" w14:textId="77777777" w:rsidR="00A84778" w:rsidRPr="00271D33" w:rsidRDefault="00A84778" w:rsidP="00271D33">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5792" w14:textId="77777777" w:rsidR="00A84778" w:rsidRPr="00271D33" w:rsidRDefault="00A84778" w:rsidP="00271D33">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0B00" w14:textId="77777777" w:rsidR="00A84778" w:rsidRPr="00271D33" w:rsidRDefault="00A84778" w:rsidP="00271D33">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4AAA" w14:textId="77777777" w:rsidR="00A84778" w:rsidRPr="00271D33" w:rsidRDefault="00A84778" w:rsidP="00271D33">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706C" w14:textId="77777777" w:rsidR="00A84778" w:rsidRPr="00271D33" w:rsidRDefault="00A84778" w:rsidP="00271D33">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2714" w14:textId="77777777" w:rsidR="00A84778" w:rsidRPr="00271D33" w:rsidRDefault="00A84778" w:rsidP="00271D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41FE" w14:textId="77777777" w:rsidR="00A84778" w:rsidRDefault="00A84778">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7E1B" w14:textId="77777777" w:rsidR="00A84778" w:rsidRPr="00271D33" w:rsidRDefault="00A84778" w:rsidP="00271D33">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362B" w14:textId="77777777" w:rsidR="00F72C9B" w:rsidRPr="00271D33" w:rsidRDefault="00F72C9B" w:rsidP="00271D33">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6CED" w14:textId="77777777" w:rsidR="00F72C9B" w:rsidRPr="00271D33" w:rsidRDefault="00F72C9B" w:rsidP="00271D33">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F5BC" w14:textId="77777777" w:rsidR="00F72C9B" w:rsidRPr="00271D33" w:rsidRDefault="00F72C9B" w:rsidP="00271D33">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7866" w14:textId="77777777" w:rsidR="00A84778" w:rsidRPr="00271D33" w:rsidRDefault="00A84778" w:rsidP="00271D33">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3A8D" w14:textId="77777777" w:rsidR="00A84778" w:rsidRPr="00271D33" w:rsidRDefault="00A84778" w:rsidP="00271D33">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DB3E" w14:textId="77777777" w:rsidR="00A84778" w:rsidRPr="00271D33" w:rsidRDefault="00A84778" w:rsidP="00271D33">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0419" w14:textId="77777777" w:rsidR="00A84778" w:rsidRPr="00271D33" w:rsidRDefault="00A84778" w:rsidP="00271D33">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D823" w14:textId="77777777" w:rsidR="00A84778" w:rsidRPr="00271D33" w:rsidRDefault="00A84778" w:rsidP="00271D33">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DC98" w14:textId="77777777" w:rsidR="00A84778" w:rsidRPr="00271D33" w:rsidRDefault="00A84778" w:rsidP="00271D33">
    <w:pPr>
      <w:pStyle w:val="Header"/>
    </w:pPr>
  </w:p>
</w:hdr>
</file>

<file path=word/intelligence2.xml><?xml version="1.0" encoding="utf-8"?>
<int2:intelligence xmlns:int2="http://schemas.microsoft.com/office/intelligence/2020/intelligence" xmlns:oel="http://schemas.microsoft.com/office/2019/extlst">
  <int2:observations>
    <int2:textHash int2:hashCode="1RcjimNWjCvAqU" int2:id="1byL0n9n">
      <int2:state int2:value="Rejected" int2:type="AugLoop_Text_Critique"/>
    </int2:textHash>
    <int2:textHash int2:hashCode="0SD8ostRAPjjYa" int2:id="3VirOZZk">
      <int2:state int2:value="Rejected" int2:type="AugLoop_Text_Critique"/>
    </int2:textHash>
    <int2:textHash int2:hashCode="YFVnNQBLESNkvH" int2:id="D7mqEvF6">
      <int2:state int2:value="Rejected" int2:type="AugLoop_Text_Critique"/>
    </int2:textHash>
    <int2:textHash int2:hashCode="F8WBIRZ+E/D3/L" int2:id="IgCDTn9P">
      <int2:state int2:value="Rejected" int2:type="AugLoop_Text_Critique"/>
    </int2:textHash>
    <int2:textHash int2:hashCode="+4iRv9ld5PONSt" int2:id="SqgFDCx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21A28"/>
    <w:multiLevelType w:val="multilevel"/>
    <w:tmpl w:val="7174EE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2A22527"/>
    <w:multiLevelType w:val="multilevel"/>
    <w:tmpl w:val="F6327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D42E32"/>
    <w:multiLevelType w:val="hybridMultilevel"/>
    <w:tmpl w:val="17A42E36"/>
    <w:lvl w:ilvl="0" w:tplc="58B0CE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64457B"/>
    <w:multiLevelType w:val="multilevel"/>
    <w:tmpl w:val="905ED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F6236F"/>
    <w:multiLevelType w:val="multilevel"/>
    <w:tmpl w:val="1F7410D2"/>
    <w:lvl w:ilvl="0">
      <w:start w:val="1"/>
      <w:numFmt w:val="decimal"/>
      <w:lvlText w:val="%1."/>
      <w:lvlJc w:val="left"/>
      <w:pPr>
        <w:ind w:left="476" w:hanging="476"/>
      </w:pPr>
      <w:rPr>
        <w:rFonts w:hint="default"/>
        <w:b/>
        <w:bCs/>
        <w:lang w:val="de-DE"/>
      </w:rPr>
    </w:lvl>
    <w:lvl w:ilvl="1">
      <w:start w:val="1"/>
      <w:numFmt w:val="bullet"/>
      <w:lvlText w:val=""/>
      <w:lvlJc w:val="left"/>
      <w:pPr>
        <w:ind w:left="644" w:hanging="360"/>
      </w:pPr>
      <w:rPr>
        <w:rFonts w:ascii="Symbol" w:hAnsi="Symbol"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3E395C"/>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09B22FCB"/>
    <w:multiLevelType w:val="multilevel"/>
    <w:tmpl w:val="5A1C7E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0DC866E5"/>
    <w:multiLevelType w:val="hybridMultilevel"/>
    <w:tmpl w:val="3EB8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666A71"/>
    <w:multiLevelType w:val="hybridMultilevel"/>
    <w:tmpl w:val="99862E8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0175DC"/>
    <w:multiLevelType w:val="multilevel"/>
    <w:tmpl w:val="7FF44A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12EE5687"/>
    <w:multiLevelType w:val="multilevel"/>
    <w:tmpl w:val="A3A21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5D3EF1"/>
    <w:multiLevelType w:val="multilevel"/>
    <w:tmpl w:val="DBAE26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16F01D6B"/>
    <w:multiLevelType w:val="hybridMultilevel"/>
    <w:tmpl w:val="7BDC3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0205AA"/>
    <w:multiLevelType w:val="multilevel"/>
    <w:tmpl w:val="98B8582E"/>
    <w:lvl w:ilvl="0">
      <w:start w:val="1"/>
      <w:numFmt w:val="decimal"/>
      <w:lvlText w:val="%1."/>
      <w:lvlJc w:val="left"/>
      <w:pPr>
        <w:ind w:left="476" w:hanging="476"/>
      </w:pPr>
      <w:rPr>
        <w:rFonts w:hint="default"/>
        <w:b/>
        <w:bCs/>
        <w:lang w:val="de-DE"/>
      </w:rPr>
    </w:lvl>
    <w:lvl w:ilvl="1">
      <w:start w:val="1"/>
      <w:numFmt w:val="bullet"/>
      <w:lvlText w:val=""/>
      <w:lvlJc w:val="left"/>
      <w:pPr>
        <w:ind w:left="836" w:hanging="360"/>
      </w:pPr>
      <w:rPr>
        <w:rFonts w:ascii="Symbol" w:hAnsi="Symbol" w:hint="default"/>
      </w:rPr>
    </w:lvl>
    <w:lvl w:ilvl="2">
      <w:start w:val="1"/>
      <w:numFmt w:val="bullet"/>
      <w:lvlText w:val="o"/>
      <w:lvlJc w:val="left"/>
      <w:pPr>
        <w:ind w:left="1069"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9921D6B"/>
    <w:multiLevelType w:val="multilevel"/>
    <w:tmpl w:val="9BAED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9E64B66"/>
    <w:multiLevelType w:val="multilevel"/>
    <w:tmpl w:val="A90805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1E38874A"/>
    <w:multiLevelType w:val="hybridMultilevel"/>
    <w:tmpl w:val="61EC2FB0"/>
    <w:lvl w:ilvl="0" w:tplc="C6E4CC22">
      <w:start w:val="1"/>
      <w:numFmt w:val="bullet"/>
      <w:lvlText w:val=""/>
      <w:lvlJc w:val="left"/>
      <w:pPr>
        <w:ind w:left="720" w:hanging="360"/>
      </w:pPr>
      <w:rPr>
        <w:rFonts w:ascii="Symbol" w:hAnsi="Symbol" w:hint="default"/>
      </w:rPr>
    </w:lvl>
    <w:lvl w:ilvl="1" w:tplc="D554866C">
      <w:start w:val="1"/>
      <w:numFmt w:val="bullet"/>
      <w:lvlText w:val="o"/>
      <w:lvlJc w:val="left"/>
      <w:pPr>
        <w:ind w:left="1440" w:hanging="360"/>
      </w:pPr>
      <w:rPr>
        <w:rFonts w:ascii="Courier New" w:hAnsi="Courier New" w:hint="default"/>
      </w:rPr>
    </w:lvl>
    <w:lvl w:ilvl="2" w:tplc="7CC06FA0">
      <w:start w:val="1"/>
      <w:numFmt w:val="bullet"/>
      <w:lvlText w:val=""/>
      <w:lvlJc w:val="left"/>
      <w:pPr>
        <w:ind w:left="2160" w:hanging="360"/>
      </w:pPr>
      <w:rPr>
        <w:rFonts w:ascii="Wingdings" w:hAnsi="Wingdings" w:hint="default"/>
      </w:rPr>
    </w:lvl>
    <w:lvl w:ilvl="3" w:tplc="AD4E3414">
      <w:start w:val="1"/>
      <w:numFmt w:val="bullet"/>
      <w:lvlText w:val=""/>
      <w:lvlJc w:val="left"/>
      <w:pPr>
        <w:ind w:left="2880" w:hanging="360"/>
      </w:pPr>
      <w:rPr>
        <w:rFonts w:ascii="Symbol" w:hAnsi="Symbol" w:hint="default"/>
      </w:rPr>
    </w:lvl>
    <w:lvl w:ilvl="4" w:tplc="4B7ADA3A">
      <w:start w:val="1"/>
      <w:numFmt w:val="bullet"/>
      <w:lvlText w:val="o"/>
      <w:lvlJc w:val="left"/>
      <w:pPr>
        <w:ind w:left="3600" w:hanging="360"/>
      </w:pPr>
      <w:rPr>
        <w:rFonts w:ascii="Courier New" w:hAnsi="Courier New" w:hint="default"/>
      </w:rPr>
    </w:lvl>
    <w:lvl w:ilvl="5" w:tplc="6A2C8D24">
      <w:start w:val="1"/>
      <w:numFmt w:val="bullet"/>
      <w:lvlText w:val=""/>
      <w:lvlJc w:val="left"/>
      <w:pPr>
        <w:ind w:left="4320" w:hanging="360"/>
      </w:pPr>
      <w:rPr>
        <w:rFonts w:ascii="Wingdings" w:hAnsi="Wingdings" w:hint="default"/>
      </w:rPr>
    </w:lvl>
    <w:lvl w:ilvl="6" w:tplc="46DCDF80">
      <w:start w:val="1"/>
      <w:numFmt w:val="bullet"/>
      <w:lvlText w:val=""/>
      <w:lvlJc w:val="left"/>
      <w:pPr>
        <w:ind w:left="5040" w:hanging="360"/>
      </w:pPr>
      <w:rPr>
        <w:rFonts w:ascii="Symbol" w:hAnsi="Symbol" w:hint="default"/>
      </w:rPr>
    </w:lvl>
    <w:lvl w:ilvl="7" w:tplc="CDFCC9F4">
      <w:start w:val="1"/>
      <w:numFmt w:val="bullet"/>
      <w:lvlText w:val="o"/>
      <w:lvlJc w:val="left"/>
      <w:pPr>
        <w:ind w:left="5760" w:hanging="360"/>
      </w:pPr>
      <w:rPr>
        <w:rFonts w:ascii="Courier New" w:hAnsi="Courier New" w:hint="default"/>
      </w:rPr>
    </w:lvl>
    <w:lvl w:ilvl="8" w:tplc="33B6186C">
      <w:start w:val="1"/>
      <w:numFmt w:val="bullet"/>
      <w:lvlText w:val=""/>
      <w:lvlJc w:val="left"/>
      <w:pPr>
        <w:ind w:left="6480" w:hanging="360"/>
      </w:pPr>
      <w:rPr>
        <w:rFonts w:ascii="Wingdings" w:hAnsi="Wingdings" w:hint="default"/>
      </w:rPr>
    </w:lvl>
  </w:abstractNum>
  <w:abstractNum w:abstractNumId="22" w15:restartNumberingAfterBreak="0">
    <w:nsid w:val="201921A2"/>
    <w:multiLevelType w:val="hybridMultilevel"/>
    <w:tmpl w:val="FCE8F21E"/>
    <w:lvl w:ilvl="0" w:tplc="143EE164">
      <w:start w:val="1"/>
      <w:numFmt w:val="lowerRoman"/>
      <w:lvlText w:val="(%1)"/>
      <w:lvlJc w:val="left"/>
      <w:pPr>
        <w:ind w:left="772" w:hanging="720"/>
      </w:pPr>
      <w:rPr>
        <w:rFonts w:hint="default"/>
        <w:color w:val="006100"/>
        <w:sz w:val="18"/>
        <w:szCs w:val="18"/>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9404C2"/>
    <w:multiLevelType w:val="hybridMultilevel"/>
    <w:tmpl w:val="4888F43E"/>
    <w:lvl w:ilvl="0" w:tplc="C828330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2862737E"/>
    <w:multiLevelType w:val="hybridMultilevel"/>
    <w:tmpl w:val="6128C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9F20F6"/>
    <w:multiLevelType w:val="hybridMultilevel"/>
    <w:tmpl w:val="6812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0B4A7A"/>
    <w:multiLevelType w:val="hybridMultilevel"/>
    <w:tmpl w:val="D41842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2CD05BB1"/>
    <w:multiLevelType w:val="hybridMultilevel"/>
    <w:tmpl w:val="DF902C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2CD116E7"/>
    <w:multiLevelType w:val="multilevel"/>
    <w:tmpl w:val="C2607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2" w15:restartNumberingAfterBreak="0">
    <w:nsid w:val="300D3194"/>
    <w:multiLevelType w:val="multilevel"/>
    <w:tmpl w:val="8368A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37A0803"/>
    <w:multiLevelType w:val="hybridMultilevel"/>
    <w:tmpl w:val="7EDE79A4"/>
    <w:lvl w:ilvl="0" w:tplc="98E2A8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382E7287"/>
    <w:multiLevelType w:val="hybridMultilevel"/>
    <w:tmpl w:val="DFC8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203A5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A800118"/>
    <w:multiLevelType w:val="hybridMultilevel"/>
    <w:tmpl w:val="B2C4AB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3C066981"/>
    <w:multiLevelType w:val="hybridMultilevel"/>
    <w:tmpl w:val="612650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400A7B18"/>
    <w:multiLevelType w:val="multilevel"/>
    <w:tmpl w:val="2DB03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1080531"/>
    <w:multiLevelType w:val="hybridMultilevel"/>
    <w:tmpl w:val="9AE829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2016359"/>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3" w15:restartNumberingAfterBreak="0">
    <w:nsid w:val="444248FB"/>
    <w:multiLevelType w:val="hybridMultilevel"/>
    <w:tmpl w:val="0B04F2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5" w15:restartNumberingAfterBreak="0">
    <w:nsid w:val="46EE6E57"/>
    <w:multiLevelType w:val="hybridMultilevel"/>
    <w:tmpl w:val="9A38D79A"/>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47CE62D2"/>
    <w:multiLevelType w:val="hybridMultilevel"/>
    <w:tmpl w:val="89DE6B22"/>
    <w:lvl w:ilvl="0" w:tplc="A4B2B7E6">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15:restartNumberingAfterBreak="0">
    <w:nsid w:val="4B054A94"/>
    <w:multiLevelType w:val="hybridMultilevel"/>
    <w:tmpl w:val="8F0E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E2717E"/>
    <w:multiLevelType w:val="hybridMultilevel"/>
    <w:tmpl w:val="4FB0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3B34F7"/>
    <w:multiLevelType w:val="multilevel"/>
    <w:tmpl w:val="50DED8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0" w15:restartNumberingAfterBreak="0">
    <w:nsid w:val="4F4F6024"/>
    <w:multiLevelType w:val="hybridMultilevel"/>
    <w:tmpl w:val="2B281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6B06BC"/>
    <w:multiLevelType w:val="hybridMultilevel"/>
    <w:tmpl w:val="DA9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2B6C49"/>
    <w:multiLevelType w:val="hybridMultilevel"/>
    <w:tmpl w:val="108AE942"/>
    <w:lvl w:ilvl="0" w:tplc="1616BC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7906D9"/>
    <w:multiLevelType w:val="hybridMultilevel"/>
    <w:tmpl w:val="BEAEAED8"/>
    <w:lvl w:ilvl="0" w:tplc="2ABE0FB2">
      <w:start w:val="1"/>
      <w:numFmt w:val="decimal"/>
      <w:lvlText w:val="%1."/>
      <w:lvlJc w:val="left"/>
      <w:pPr>
        <w:ind w:left="360" w:hanging="360"/>
      </w:pPr>
      <w:rPr>
        <w:rFonts w:ascii="Times New Roman" w:hAnsi="Times New Roman" w:cs="Times New Roman" w:hint="default"/>
        <w:i/>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3EE1BB8"/>
    <w:multiLevelType w:val="hybridMultilevel"/>
    <w:tmpl w:val="04604954"/>
    <w:lvl w:ilvl="0" w:tplc="E87431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6" w15:restartNumberingAfterBreak="0">
    <w:nsid w:val="55B679E1"/>
    <w:multiLevelType w:val="hybridMultilevel"/>
    <w:tmpl w:val="1F22A3BC"/>
    <w:lvl w:ilvl="0" w:tplc="78D0560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55C10E65"/>
    <w:multiLevelType w:val="multilevel"/>
    <w:tmpl w:val="466AA280"/>
    <w:lvl w:ilvl="0">
      <w:start w:val="1"/>
      <w:numFmt w:val="decimal"/>
      <w:pStyle w:val="LegalNumPar"/>
      <w:lvlText w:val="%1."/>
      <w:lvlJc w:val="left"/>
      <w:pPr>
        <w:ind w:left="476" w:hanging="476"/>
      </w:pPr>
      <w:rPr>
        <w:rFonts w:hint="default"/>
        <w:b/>
        <w:bCs/>
        <w:lang w:val="de-DE"/>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69A0DCB"/>
    <w:multiLevelType w:val="hybridMultilevel"/>
    <w:tmpl w:val="EB48C94C"/>
    <w:lvl w:ilvl="0" w:tplc="FFFFFFFF">
      <w:start w:val="19"/>
      <w:numFmt w:val="bullet"/>
      <w:lvlText w:val="-"/>
      <w:lvlJc w:val="left"/>
      <w:pPr>
        <w:ind w:left="408" w:hanging="360"/>
      </w:pPr>
      <w:rPr>
        <w:rFonts w:ascii="Times New Roman" w:hAnsi="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9" w15:restartNumberingAfterBreak="0">
    <w:nsid w:val="56B10038"/>
    <w:multiLevelType w:val="hybridMultilevel"/>
    <w:tmpl w:val="94E2346C"/>
    <w:lvl w:ilvl="0" w:tplc="0E1A79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7A47275"/>
    <w:multiLevelType w:val="hybridMultilevel"/>
    <w:tmpl w:val="A8B0F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7E44920"/>
    <w:multiLevelType w:val="hybridMultilevel"/>
    <w:tmpl w:val="C4FEE898"/>
    <w:lvl w:ilvl="0" w:tplc="8F9A74A8">
      <w:start w:val="1"/>
      <w:numFmt w:val="decimal"/>
      <w:lvlText w:val="%1."/>
      <w:lvlJc w:val="left"/>
      <w:pPr>
        <w:ind w:left="720" w:hanging="360"/>
      </w:pPr>
    </w:lvl>
    <w:lvl w:ilvl="1" w:tplc="C83C3CD6">
      <w:start w:val="1"/>
      <w:numFmt w:val="lowerLetter"/>
      <w:lvlText w:val="%2."/>
      <w:lvlJc w:val="left"/>
      <w:pPr>
        <w:ind w:left="1440" w:hanging="360"/>
      </w:pPr>
    </w:lvl>
    <w:lvl w:ilvl="2" w:tplc="67523E22">
      <w:start w:val="1"/>
      <w:numFmt w:val="lowerRoman"/>
      <w:lvlText w:val="%3."/>
      <w:lvlJc w:val="right"/>
      <w:pPr>
        <w:ind w:left="2160" w:hanging="180"/>
      </w:pPr>
    </w:lvl>
    <w:lvl w:ilvl="3" w:tplc="02E434DE">
      <w:start w:val="1"/>
      <w:numFmt w:val="decimal"/>
      <w:lvlText w:val="%4."/>
      <w:lvlJc w:val="left"/>
      <w:pPr>
        <w:ind w:left="2880" w:hanging="360"/>
      </w:pPr>
    </w:lvl>
    <w:lvl w:ilvl="4" w:tplc="8BDE5CFA">
      <w:start w:val="1"/>
      <w:numFmt w:val="lowerLetter"/>
      <w:lvlText w:val="%5."/>
      <w:lvlJc w:val="left"/>
      <w:pPr>
        <w:ind w:left="3600" w:hanging="360"/>
      </w:pPr>
    </w:lvl>
    <w:lvl w:ilvl="5" w:tplc="39BA1CD6">
      <w:start w:val="1"/>
      <w:numFmt w:val="lowerRoman"/>
      <w:lvlText w:val="%6."/>
      <w:lvlJc w:val="right"/>
      <w:pPr>
        <w:ind w:left="4320" w:hanging="180"/>
      </w:pPr>
    </w:lvl>
    <w:lvl w:ilvl="6" w:tplc="820C8938">
      <w:start w:val="1"/>
      <w:numFmt w:val="decimal"/>
      <w:lvlText w:val="%7."/>
      <w:lvlJc w:val="left"/>
      <w:pPr>
        <w:ind w:left="5040" w:hanging="360"/>
      </w:pPr>
    </w:lvl>
    <w:lvl w:ilvl="7" w:tplc="916EC56C">
      <w:start w:val="1"/>
      <w:numFmt w:val="lowerLetter"/>
      <w:lvlText w:val="%8."/>
      <w:lvlJc w:val="left"/>
      <w:pPr>
        <w:ind w:left="5760" w:hanging="360"/>
      </w:pPr>
    </w:lvl>
    <w:lvl w:ilvl="8" w:tplc="7DE668F2">
      <w:start w:val="1"/>
      <w:numFmt w:val="lowerRoman"/>
      <w:lvlText w:val="%9."/>
      <w:lvlJc w:val="right"/>
      <w:pPr>
        <w:ind w:left="6480" w:hanging="180"/>
      </w:pPr>
    </w:lvl>
  </w:abstractNum>
  <w:abstractNum w:abstractNumId="62" w15:restartNumberingAfterBreak="0">
    <w:nsid w:val="59F422D7"/>
    <w:multiLevelType w:val="multilevel"/>
    <w:tmpl w:val="7618F6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5" w15:restartNumberingAfterBreak="0">
    <w:nsid w:val="5C184A6A"/>
    <w:multiLevelType w:val="hybridMultilevel"/>
    <w:tmpl w:val="20F8182E"/>
    <w:lvl w:ilvl="0" w:tplc="782E153C">
      <w:start w:val="1"/>
      <w:numFmt w:val="upperLetter"/>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111E8D"/>
    <w:multiLevelType w:val="hybridMultilevel"/>
    <w:tmpl w:val="6730273A"/>
    <w:lvl w:ilvl="0" w:tplc="AE28AF10">
      <w:start w:val="5"/>
      <w:numFmt w:val="upperLetter"/>
      <w:lvlText w:val="%1."/>
      <w:lvlJc w:val="left"/>
      <w:pPr>
        <w:ind w:left="366" w:hanging="360"/>
      </w:pPr>
      <w:rPr>
        <w:rFonts w:hint="default"/>
      </w:rPr>
    </w:lvl>
    <w:lvl w:ilvl="1" w:tplc="18090019" w:tentative="1">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68" w15:restartNumberingAfterBreak="0">
    <w:nsid w:val="5DCC1A5E"/>
    <w:multiLevelType w:val="multilevel"/>
    <w:tmpl w:val="64044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F1446F8"/>
    <w:multiLevelType w:val="hybridMultilevel"/>
    <w:tmpl w:val="CBCA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FCB40F2"/>
    <w:multiLevelType w:val="hybridMultilevel"/>
    <w:tmpl w:val="9E5A62F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63C14204"/>
    <w:multiLevelType w:val="hybridMultilevel"/>
    <w:tmpl w:val="FD265596"/>
    <w:lvl w:ilvl="0" w:tplc="8EB40B82">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3C42873"/>
    <w:multiLevelType w:val="multilevel"/>
    <w:tmpl w:val="1746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4A12FA4"/>
    <w:multiLevelType w:val="multilevel"/>
    <w:tmpl w:val="BC1C158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7121A1F"/>
    <w:multiLevelType w:val="multilevel"/>
    <w:tmpl w:val="5682450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6" w15:restartNumberingAfterBreak="0">
    <w:nsid w:val="6D367641"/>
    <w:multiLevelType w:val="hybridMultilevel"/>
    <w:tmpl w:val="2B744C64"/>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7" w15:restartNumberingAfterBreak="0">
    <w:nsid w:val="6E184B22"/>
    <w:multiLevelType w:val="multilevel"/>
    <w:tmpl w:val="1A34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FD63E69"/>
    <w:multiLevelType w:val="hybridMultilevel"/>
    <w:tmpl w:val="9E722B94"/>
    <w:lvl w:ilvl="0" w:tplc="3014CE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9" w15:restartNumberingAfterBreak="0">
    <w:nsid w:val="70140041"/>
    <w:multiLevelType w:val="multilevel"/>
    <w:tmpl w:val="817E2E62"/>
    <w:lvl w:ilvl="0">
      <w:start w:val="3"/>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80" w15:restartNumberingAfterBreak="0">
    <w:nsid w:val="702E54AB"/>
    <w:multiLevelType w:val="hybridMultilevel"/>
    <w:tmpl w:val="99862E8E"/>
    <w:lvl w:ilvl="0" w:tplc="0809001B">
      <w:start w:val="1"/>
      <w:numFmt w:val="lowerRoman"/>
      <w:lvlText w:val="%1."/>
      <w:lvlJc w:val="right"/>
      <w:pPr>
        <w:ind w:left="719"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2B7264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7412391E"/>
    <w:multiLevelType w:val="hybridMultilevel"/>
    <w:tmpl w:val="FF46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2436E5"/>
    <w:multiLevelType w:val="hybridMultilevel"/>
    <w:tmpl w:val="650AC2E6"/>
    <w:lvl w:ilvl="0" w:tplc="080C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4" w15:restartNumberingAfterBreak="0">
    <w:nsid w:val="75C14FE6"/>
    <w:multiLevelType w:val="hybridMultilevel"/>
    <w:tmpl w:val="E848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D06977"/>
    <w:multiLevelType w:val="hybridMultilevel"/>
    <w:tmpl w:val="42E4798A"/>
    <w:lvl w:ilvl="0" w:tplc="991C3E1E">
      <w:start w:val="1"/>
      <w:numFmt w:val="bullet"/>
      <w:lvlText w:val="-"/>
      <w:lvlJc w:val="left"/>
      <w:pPr>
        <w:ind w:left="1080" w:hanging="720"/>
      </w:pPr>
      <w:rPr>
        <w:rFonts w:ascii="Calibri" w:hAnsi="Calibri" w:hint="default"/>
      </w:rPr>
    </w:lvl>
    <w:lvl w:ilvl="1" w:tplc="548ABFEE">
      <w:start w:val="1"/>
      <w:numFmt w:val="decimal"/>
      <w:lvlText w:val="%2."/>
      <w:lvlJc w:val="left"/>
      <w:pPr>
        <w:ind w:left="1440" w:hanging="360"/>
      </w:pPr>
      <w:rPr>
        <w:rFonts w:hint="default"/>
      </w:rPr>
    </w:lvl>
    <w:lvl w:ilvl="2" w:tplc="450EA25E">
      <w:start w:val="1"/>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6" w15:restartNumberingAfterBreak="0">
    <w:nsid w:val="77566D51"/>
    <w:multiLevelType w:val="hybridMultilevel"/>
    <w:tmpl w:val="334A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816483B"/>
    <w:multiLevelType w:val="hybridMultilevel"/>
    <w:tmpl w:val="14569A86"/>
    <w:lvl w:ilvl="0" w:tplc="B22E0E3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8" w15:restartNumberingAfterBreak="0">
    <w:nsid w:val="7BF94956"/>
    <w:multiLevelType w:val="hybridMultilevel"/>
    <w:tmpl w:val="26F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90" w15:restartNumberingAfterBreak="0">
    <w:nsid w:val="7CD26665"/>
    <w:multiLevelType w:val="multilevel"/>
    <w:tmpl w:val="13DA1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F010CB7"/>
    <w:multiLevelType w:val="multilevel"/>
    <w:tmpl w:val="08ECA5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2" w15:restartNumberingAfterBreak="0">
    <w:nsid w:val="7F332538"/>
    <w:multiLevelType w:val="multilevel"/>
    <w:tmpl w:val="209439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3" w15:restartNumberingAfterBreak="0">
    <w:nsid w:val="7F830756"/>
    <w:multiLevelType w:val="hybridMultilevel"/>
    <w:tmpl w:val="8A4CF84E"/>
    <w:lvl w:ilvl="0" w:tplc="F96681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21"/>
  </w:num>
  <w:num w:numId="3">
    <w:abstractNumId w:val="66"/>
  </w:num>
  <w:num w:numId="4">
    <w:abstractNumId w:val="41"/>
  </w:num>
  <w:num w:numId="5">
    <w:abstractNumId w:val="75"/>
  </w:num>
  <w:num w:numId="6">
    <w:abstractNumId w:val="31"/>
  </w:num>
  <w:num w:numId="7">
    <w:abstractNumId w:val="42"/>
  </w:num>
  <w:num w:numId="8">
    <w:abstractNumId w:val="23"/>
  </w:num>
  <w:num w:numId="9">
    <w:abstractNumId w:val="73"/>
  </w:num>
  <w:num w:numId="10">
    <w:abstractNumId w:val="20"/>
  </w:num>
  <w:num w:numId="11">
    <w:abstractNumId w:val="44"/>
  </w:num>
  <w:num w:numId="12">
    <w:abstractNumId w:val="63"/>
  </w:num>
  <w:num w:numId="13">
    <w:abstractNumId w:val="64"/>
  </w:num>
  <w:num w:numId="14">
    <w:abstractNumId w:val="28"/>
  </w:num>
  <w:num w:numId="15">
    <w:abstractNumId w:val="55"/>
  </w:num>
  <w:num w:numId="16">
    <w:abstractNumId w:val="89"/>
  </w:num>
  <w:num w:numId="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
  </w:num>
  <w:num w:numId="21">
    <w:abstractNumId w:val="0"/>
  </w:num>
  <w:num w:numId="22">
    <w:abstractNumId w:val="38"/>
  </w:num>
  <w:num w:numId="23">
    <w:abstractNumId w:val="72"/>
  </w:num>
  <w:num w:numId="24">
    <w:abstractNumId w:val="14"/>
  </w:num>
  <w:num w:numId="25">
    <w:abstractNumId w:val="79"/>
  </w:num>
  <w:num w:numId="26">
    <w:abstractNumId w:val="35"/>
  </w:num>
  <w:num w:numId="27">
    <w:abstractNumId w:val="30"/>
  </w:num>
  <w:num w:numId="28">
    <w:abstractNumId w:val="18"/>
  </w:num>
  <w:num w:numId="29">
    <w:abstractNumId w:val="50"/>
  </w:num>
  <w:num w:numId="30">
    <w:abstractNumId w:val="90"/>
  </w:num>
  <w:num w:numId="31">
    <w:abstractNumId w:val="5"/>
  </w:num>
  <w:num w:numId="32">
    <w:abstractNumId w:val="32"/>
  </w:num>
  <w:num w:numId="33">
    <w:abstractNumId w:val="7"/>
  </w:num>
  <w:num w:numId="34">
    <w:abstractNumId w:val="68"/>
  </w:num>
  <w:num w:numId="35">
    <w:abstractNumId w:val="77"/>
  </w:num>
  <w:num w:numId="36">
    <w:abstractNumId w:val="4"/>
  </w:num>
  <w:num w:numId="37">
    <w:abstractNumId w:val="49"/>
  </w:num>
  <w:num w:numId="38">
    <w:abstractNumId w:val="19"/>
  </w:num>
  <w:num w:numId="39">
    <w:abstractNumId w:val="13"/>
  </w:num>
  <w:num w:numId="40">
    <w:abstractNumId w:val="92"/>
  </w:num>
  <w:num w:numId="41">
    <w:abstractNumId w:val="10"/>
  </w:num>
  <w:num w:numId="42">
    <w:abstractNumId w:val="15"/>
  </w:num>
  <w:num w:numId="43">
    <w:abstractNumId w:val="62"/>
  </w:num>
  <w:num w:numId="44">
    <w:abstractNumId w:val="91"/>
  </w:num>
  <w:num w:numId="45">
    <w:abstractNumId w:val="52"/>
  </w:num>
  <w:num w:numId="46">
    <w:abstractNumId w:val="47"/>
  </w:num>
  <w:num w:numId="47">
    <w:abstractNumId w:val="22"/>
  </w:num>
  <w:num w:numId="48">
    <w:abstractNumId w:val="51"/>
  </w:num>
  <w:num w:numId="49">
    <w:abstractNumId w:val="48"/>
  </w:num>
  <w:num w:numId="50">
    <w:abstractNumId w:val="88"/>
  </w:num>
  <w:num w:numId="51">
    <w:abstractNumId w:val="25"/>
  </w:num>
  <w:num w:numId="52">
    <w:abstractNumId w:val="84"/>
  </w:num>
  <w:num w:numId="53">
    <w:abstractNumId w:val="93"/>
  </w:num>
  <w:num w:numId="54">
    <w:abstractNumId w:val="11"/>
  </w:num>
  <w:num w:numId="55">
    <w:abstractNumId w:val="81"/>
  </w:num>
  <w:num w:numId="56">
    <w:abstractNumId w:val="69"/>
  </w:num>
  <w:num w:numId="57">
    <w:abstractNumId w:val="33"/>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29"/>
  </w:num>
  <w:num w:numId="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5"/>
  </w:num>
  <w:num w:numId="65">
    <w:abstractNumId w:val="46"/>
  </w:num>
  <w:num w:numId="66">
    <w:abstractNumId w:val="9"/>
  </w:num>
  <w:num w:numId="67">
    <w:abstractNumId w:val="40"/>
  </w:num>
  <w:num w:numId="68">
    <w:abstractNumId w:val="83"/>
  </w:num>
  <w:num w:numId="69">
    <w:abstractNumId w:val="12"/>
  </w:num>
  <w:num w:numId="70">
    <w:abstractNumId w:val="80"/>
  </w:num>
  <w:num w:numId="71">
    <w:abstractNumId w:val="53"/>
  </w:num>
  <w:num w:numId="72">
    <w:abstractNumId w:val="37"/>
  </w:num>
  <w:num w:numId="73">
    <w:abstractNumId w:val="26"/>
  </w:num>
  <w:num w:numId="74">
    <w:abstractNumId w:val="58"/>
  </w:num>
  <w:num w:numId="75">
    <w:abstractNumId w:val="34"/>
  </w:num>
  <w:num w:numId="76">
    <w:abstractNumId w:val="60"/>
  </w:num>
  <w:num w:numId="77">
    <w:abstractNumId w:val="59"/>
  </w:num>
  <w:num w:numId="78">
    <w:abstractNumId w:val="6"/>
  </w:num>
  <w:num w:numId="79">
    <w:abstractNumId w:val="82"/>
  </w:num>
  <w:num w:numId="80">
    <w:abstractNumId w:val="86"/>
  </w:num>
  <w:num w:numId="81">
    <w:abstractNumId w:val="16"/>
  </w:num>
  <w:num w:numId="82">
    <w:abstractNumId w:val="87"/>
  </w:num>
  <w:num w:numId="83">
    <w:abstractNumId w:val="74"/>
  </w:num>
  <w:num w:numId="84">
    <w:abstractNumId w:val="27"/>
  </w:num>
  <w:num w:numId="85">
    <w:abstractNumId w:val="56"/>
  </w:num>
  <w:num w:numId="86">
    <w:abstractNumId w:val="24"/>
  </w:num>
  <w:num w:numId="87">
    <w:abstractNumId w:val="39"/>
  </w:num>
  <w:num w:numId="88">
    <w:abstractNumId w:val="70"/>
  </w:num>
  <w:num w:numId="89">
    <w:abstractNumId w:val="54"/>
  </w:num>
  <w:num w:numId="90">
    <w:abstractNumId w:val="65"/>
  </w:num>
  <w:num w:numId="91">
    <w:abstractNumId w:val="67"/>
  </w:num>
  <w:num w:numId="92">
    <w:abstractNumId w:val="71"/>
  </w:num>
  <w:num w:numId="93">
    <w:abstractNumId w:val="57"/>
  </w:num>
  <w:num w:numId="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num>
  <w:num w:numId="96">
    <w:abstractNumId w:val="17"/>
  </w:num>
  <w:num w:numId="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fr-BE" w:vendorID="64" w:dllVersion="0" w:nlCheck="1" w:checkStyle="0"/>
  <w:activeWritingStyle w:appName="MSWord" w:lang="de-D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false"/>
    <w:docVar w:name="DocStatus" w:val="Green"/>
    <w:docVar w:name="DocuWriteMetaData" w:val="&lt;metadataset docuwriteversion=&quot;4.9.1&quot; technicalblockguid=&quot;555604132896311099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7-09&lt;/text&gt;_x000d__x000a_  &lt;/metadata&gt;_x000d__x000a_  &lt;metadata key=&quot;md_Prefix&quot;&gt;_x000d__x000a_    &lt;text&gt;&lt;/text&gt;_x000d__x000a_  &lt;/metadata&gt;_x000d__x000a_  &lt;metadata key=&quot;md_DocumentNumber&quot;&gt;_x000d__x000a_    &lt;text&gt;11858&lt;/text&gt;_x000d__x000a_  &lt;/metadata&gt;_x000d__x000a_  &lt;metadata key=&quot;md_YearDocumentNumber&quot;&gt;_x000d__x000a_    &lt;text&gt;2024&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820&lt;/text&gt;_x000d__x000a_      &lt;text&gt;UEM 229&lt;/text&gt;_x000d__x000a_      &lt;text&gt;FIN 650&lt;/text&gt;_x000d__x000a_      &lt;text&gt;CADREFIN 12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157(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4) 283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 to the COUNCIL IMPLEMENTING DECISION amending Implementing Decision of 13 July 2021 on the approval of the assessment of the recovery and resilience plan for Greece&quot;&gt;&amp;lt;FlowDocument FontFamily=&quot;Segoe UI&quot; FontSize=&quot;12&quot; LineHeight=&quot;6&quot; PageWidth=&quot;329&quot; PagePadding=&quot;2,2,2,2&quot; AllowDrop=&quot;False&quot; xmlns=&quot;http://schemas.microsoft.com/winfx/2006/xaml/presentation&quot;&amp;gt;&amp;lt;Paragraph&amp;gt;ANNEX to the COUNCIL IMPLEMENTING DECISION amending Implementing Decision of 13 July 2021 on the approval of the assessment of the recovery and resilience plan for Greece&amp;lt;/Paragraph&amp;gt;&amp;lt;/FlowDocument&amp;gt;&lt;/xaml&gt;_x000d__x000a_  &lt;/metadata&gt;_x000d__x000a_  &lt;metadata key=&quot;md_SubjectFootnote&quot; /&gt;_x000d__x000a_  &lt;metadata key=&quot;md_DG&quot;&gt;_x000d__x000a_    &lt;text&gt;ECOFIN 1A&lt;/text&gt;_x000d__x000a_  &lt;/metadata&gt;_x000d__x000a_  &lt;metadata key=&quot;md_Initials&quot;&gt;_x000d__x000a_    &lt;text&gt;LEB/sr&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DE&lt;/text&gt;_x000d__x000a_  &lt;/metadata&gt;_x000d__x000a_  &lt;metadata key=&quot;md_SourceDocType&quot;&gt;_x000d__x000a_    &lt;text&gt;ANNEX&lt;/text&gt;_x000d__x000a_  &lt;/metadata&gt;_x000d__x000a_  &lt;metadata key=&quot;md_SourceDocTitle&quot;&gt;_x000d__x000a_    &lt;text&gt;to the _x000d__x000a_Proposal for a COUNCIL IMPLEMENTING DECISION _x000d__x000a_amending Implementing Decision (EU) (ST 10152/21; ST 10152/2021 ADD 1) of 13 July 2021 on the approval of the assessment of the recovery and resilience plan for Greece&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Normal"/>
    <w:docVar w:name="DW_KeepCompatibilityMode" w:val="true"/>
    <w:docVar w:name="EPKit_DocumentHasBeenSaved" w:val="true"/>
    <w:docVar w:name="LW_ACCOMPAGNANT.CP" w:val="järgmise dokumendi juurde:"/>
    <w:docVar w:name="LW_ANNEX_NBR_FIRST" w:val="1"/>
    <w:docVar w:name="LW_ANNEX_NBR_LAST" w:val="1"/>
    <w:docVar w:name="LW_ANNEX_UNIQUE" w:val="1"/>
    <w:docVar w:name="LW_CORRIGENDUM" w:val="&lt;UNUSED&gt;"/>
    <w:docVar w:name="LW_COVERPAGE_EXISTS" w:val="True"/>
    <w:docVar w:name="LW_COVERPAGE_GUID" w:val="E62AD35D-F27D-4603-AAA9-03B936813663"/>
    <w:docVar w:name="LW_COVERPAGE_TYPE" w:val="1"/>
    <w:docVar w:name="LW_CROSSREFERENCE" w:val="{SWD(2024) 288 final}"/>
    <w:docVar w:name="LW_DocType" w:val="NORMAL"/>
    <w:docVar w:name="LW_EMISSION" w:val="18.12.2024"/>
    <w:docVar w:name="LW_EMISSION_ISODATE" w:val="2024-12-18"/>
    <w:docVar w:name="LW_EMISSION_LOCATION" w:val="BRX"/>
    <w:docVar w:name="LW_EMISSION_PREFIX" w:val="Brüssel,"/>
    <w:docVar w:name="LW_EMISSION_SUFFIX" w:val=" "/>
    <w:docVar w:name="LW_ID_DOCTYPE_NONLW" w:val="CP-036"/>
    <w:docVar w:name="LW_LANGUE" w:val="ET"/>
    <w:docVar w:name="LW_LEVEL_OF_SENSITIVITY" w:val="Standard treatment"/>
    <w:docVar w:name="LW_NOM.INST" w:val="EUROOPA KOMISJON"/>
    <w:docVar w:name="LW_NOM.INST_JOINTDOC" w:val="&lt;EMPTY&gt;"/>
    <w:docVar w:name="LW_OBJETACTEPRINCIPAL.CP" w:val="millega muudetakse 13. juuli 2021. aasta rakendusotsust (EL) (ST 10152/2021; ST10152/2021 ADD1) Kreeka taaste- ja vastupidavuskavale antud hinnangu heakskiitmise kohta"/>
    <w:docVar w:name="LW_PART_NBR" w:val="1"/>
    <w:docVar w:name="LW_PART_NBR_TOTAL" w:val="1"/>
    <w:docVar w:name="LW_REF.INST.NEW" w:val="COM"/>
    <w:docVar w:name="LW_REF.INST.NEW_ADOPTED" w:val="final"/>
    <w:docVar w:name="LW_REF.INST.NEW_TEXT" w:val="(2024) 5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LISA_x000b_"/>
    <w:docVar w:name="LW_TYPEACTEPRINCIPAL.CP" w:val="Ettepanek: NÕUKOGU RAKENDUSOTSUS,"/>
    <w:docVar w:name="LwApiVersions" w:val="LW4CoDe 1.24.5.0; LW 9.0, Build 20240221"/>
  </w:docVars>
  <w:rsids>
    <w:rsidRoot w:val="002A7953"/>
    <w:rsid w:val="000001B6"/>
    <w:rsid w:val="00000317"/>
    <w:rsid w:val="000003D0"/>
    <w:rsid w:val="00000800"/>
    <w:rsid w:val="00000D94"/>
    <w:rsid w:val="0000109B"/>
    <w:rsid w:val="00001360"/>
    <w:rsid w:val="000015C8"/>
    <w:rsid w:val="00001CFE"/>
    <w:rsid w:val="00001D3C"/>
    <w:rsid w:val="00001DDF"/>
    <w:rsid w:val="00002155"/>
    <w:rsid w:val="000023A2"/>
    <w:rsid w:val="00002468"/>
    <w:rsid w:val="000029F9"/>
    <w:rsid w:val="00002AF0"/>
    <w:rsid w:val="0000300C"/>
    <w:rsid w:val="000030CB"/>
    <w:rsid w:val="00003218"/>
    <w:rsid w:val="00003220"/>
    <w:rsid w:val="00003506"/>
    <w:rsid w:val="000039B2"/>
    <w:rsid w:val="00003F94"/>
    <w:rsid w:val="00004678"/>
    <w:rsid w:val="000047C2"/>
    <w:rsid w:val="000049DB"/>
    <w:rsid w:val="00004F1A"/>
    <w:rsid w:val="0000520D"/>
    <w:rsid w:val="000062BE"/>
    <w:rsid w:val="00007150"/>
    <w:rsid w:val="000072C8"/>
    <w:rsid w:val="00007355"/>
    <w:rsid w:val="00007444"/>
    <w:rsid w:val="000076FD"/>
    <w:rsid w:val="0000777A"/>
    <w:rsid w:val="0001003F"/>
    <w:rsid w:val="000101F7"/>
    <w:rsid w:val="000105B1"/>
    <w:rsid w:val="0001065D"/>
    <w:rsid w:val="00010AC5"/>
    <w:rsid w:val="0001152D"/>
    <w:rsid w:val="000115BB"/>
    <w:rsid w:val="00011821"/>
    <w:rsid w:val="00011951"/>
    <w:rsid w:val="00011C70"/>
    <w:rsid w:val="00011E43"/>
    <w:rsid w:val="0001231A"/>
    <w:rsid w:val="000125EF"/>
    <w:rsid w:val="000126BD"/>
    <w:rsid w:val="0001296C"/>
    <w:rsid w:val="00012D74"/>
    <w:rsid w:val="00013335"/>
    <w:rsid w:val="000133E8"/>
    <w:rsid w:val="0001364F"/>
    <w:rsid w:val="0001365F"/>
    <w:rsid w:val="00013B24"/>
    <w:rsid w:val="00013C1E"/>
    <w:rsid w:val="00013FEE"/>
    <w:rsid w:val="00014337"/>
    <w:rsid w:val="00014543"/>
    <w:rsid w:val="0001462A"/>
    <w:rsid w:val="000147F0"/>
    <w:rsid w:val="00014CE0"/>
    <w:rsid w:val="00014D99"/>
    <w:rsid w:val="00015527"/>
    <w:rsid w:val="000155E3"/>
    <w:rsid w:val="000158A5"/>
    <w:rsid w:val="000159E4"/>
    <w:rsid w:val="00015B94"/>
    <w:rsid w:val="00015BAD"/>
    <w:rsid w:val="00015CD6"/>
    <w:rsid w:val="00015E16"/>
    <w:rsid w:val="00015F96"/>
    <w:rsid w:val="00016144"/>
    <w:rsid w:val="000161D0"/>
    <w:rsid w:val="000169AB"/>
    <w:rsid w:val="000169C2"/>
    <w:rsid w:val="00016D95"/>
    <w:rsid w:val="000170CC"/>
    <w:rsid w:val="000171FA"/>
    <w:rsid w:val="000174E2"/>
    <w:rsid w:val="00017C0A"/>
    <w:rsid w:val="00020519"/>
    <w:rsid w:val="00020767"/>
    <w:rsid w:val="00020783"/>
    <w:rsid w:val="0002095C"/>
    <w:rsid w:val="00020DD8"/>
    <w:rsid w:val="00020DFB"/>
    <w:rsid w:val="00021A8A"/>
    <w:rsid w:val="00021E02"/>
    <w:rsid w:val="00021F9C"/>
    <w:rsid w:val="00022ADA"/>
    <w:rsid w:val="00022CC4"/>
    <w:rsid w:val="000231B5"/>
    <w:rsid w:val="0002339C"/>
    <w:rsid w:val="0002341E"/>
    <w:rsid w:val="00023676"/>
    <w:rsid w:val="00023CCF"/>
    <w:rsid w:val="00023EA5"/>
    <w:rsid w:val="00023FF1"/>
    <w:rsid w:val="000249AA"/>
    <w:rsid w:val="000249C6"/>
    <w:rsid w:val="00024C48"/>
    <w:rsid w:val="00024F16"/>
    <w:rsid w:val="000257D7"/>
    <w:rsid w:val="000257DE"/>
    <w:rsid w:val="00025838"/>
    <w:rsid w:val="000265A8"/>
    <w:rsid w:val="000269B5"/>
    <w:rsid w:val="00026AE6"/>
    <w:rsid w:val="000272D1"/>
    <w:rsid w:val="0002730C"/>
    <w:rsid w:val="0002751F"/>
    <w:rsid w:val="00027E9F"/>
    <w:rsid w:val="0003022C"/>
    <w:rsid w:val="00030490"/>
    <w:rsid w:val="000304EC"/>
    <w:rsid w:val="00030852"/>
    <w:rsid w:val="00030871"/>
    <w:rsid w:val="00030D15"/>
    <w:rsid w:val="000311F6"/>
    <w:rsid w:val="00031535"/>
    <w:rsid w:val="00031A33"/>
    <w:rsid w:val="00031CFC"/>
    <w:rsid w:val="00031DC1"/>
    <w:rsid w:val="00031F1F"/>
    <w:rsid w:val="00032105"/>
    <w:rsid w:val="00032152"/>
    <w:rsid w:val="00032165"/>
    <w:rsid w:val="00032849"/>
    <w:rsid w:val="000329A7"/>
    <w:rsid w:val="00032C4A"/>
    <w:rsid w:val="000331DE"/>
    <w:rsid w:val="00033260"/>
    <w:rsid w:val="000342D5"/>
    <w:rsid w:val="000345C7"/>
    <w:rsid w:val="00034847"/>
    <w:rsid w:val="00035678"/>
    <w:rsid w:val="000359FD"/>
    <w:rsid w:val="00036142"/>
    <w:rsid w:val="0003670C"/>
    <w:rsid w:val="000369B4"/>
    <w:rsid w:val="00036C62"/>
    <w:rsid w:val="00036D00"/>
    <w:rsid w:val="000370B0"/>
    <w:rsid w:val="000370D5"/>
    <w:rsid w:val="000373A8"/>
    <w:rsid w:val="00037494"/>
    <w:rsid w:val="00037637"/>
    <w:rsid w:val="00037753"/>
    <w:rsid w:val="00037775"/>
    <w:rsid w:val="00037A74"/>
    <w:rsid w:val="00037AE7"/>
    <w:rsid w:val="00037B93"/>
    <w:rsid w:val="00037E4E"/>
    <w:rsid w:val="0004002E"/>
    <w:rsid w:val="0004045F"/>
    <w:rsid w:val="000407B4"/>
    <w:rsid w:val="000409BE"/>
    <w:rsid w:val="0004154E"/>
    <w:rsid w:val="000415CE"/>
    <w:rsid w:val="000415FA"/>
    <w:rsid w:val="00041FE5"/>
    <w:rsid w:val="000427C4"/>
    <w:rsid w:val="000427F0"/>
    <w:rsid w:val="00042A3A"/>
    <w:rsid w:val="00042A56"/>
    <w:rsid w:val="00042AB8"/>
    <w:rsid w:val="00042C17"/>
    <w:rsid w:val="000430FE"/>
    <w:rsid w:val="00043276"/>
    <w:rsid w:val="00043367"/>
    <w:rsid w:val="0004369F"/>
    <w:rsid w:val="0004388E"/>
    <w:rsid w:val="000438D2"/>
    <w:rsid w:val="0004397B"/>
    <w:rsid w:val="00043A74"/>
    <w:rsid w:val="00043C04"/>
    <w:rsid w:val="00044161"/>
    <w:rsid w:val="000442D4"/>
    <w:rsid w:val="000444A6"/>
    <w:rsid w:val="000446F8"/>
    <w:rsid w:val="00044B4F"/>
    <w:rsid w:val="00044C64"/>
    <w:rsid w:val="00044D77"/>
    <w:rsid w:val="00044E5A"/>
    <w:rsid w:val="00045066"/>
    <w:rsid w:val="00045738"/>
    <w:rsid w:val="00045B77"/>
    <w:rsid w:val="00046023"/>
    <w:rsid w:val="0004655F"/>
    <w:rsid w:val="000465FC"/>
    <w:rsid w:val="00046B83"/>
    <w:rsid w:val="00046E65"/>
    <w:rsid w:val="000472CA"/>
    <w:rsid w:val="000472E1"/>
    <w:rsid w:val="0004794D"/>
    <w:rsid w:val="00047E90"/>
    <w:rsid w:val="00047FCF"/>
    <w:rsid w:val="00050177"/>
    <w:rsid w:val="000501DB"/>
    <w:rsid w:val="000502C9"/>
    <w:rsid w:val="00050332"/>
    <w:rsid w:val="00050428"/>
    <w:rsid w:val="00050675"/>
    <w:rsid w:val="000507B0"/>
    <w:rsid w:val="00051326"/>
    <w:rsid w:val="000514B0"/>
    <w:rsid w:val="00051522"/>
    <w:rsid w:val="00051666"/>
    <w:rsid w:val="00051855"/>
    <w:rsid w:val="000521EB"/>
    <w:rsid w:val="000522CD"/>
    <w:rsid w:val="000523CD"/>
    <w:rsid w:val="00052A32"/>
    <w:rsid w:val="00052B12"/>
    <w:rsid w:val="00053881"/>
    <w:rsid w:val="00053B34"/>
    <w:rsid w:val="00054282"/>
    <w:rsid w:val="0005477B"/>
    <w:rsid w:val="00054906"/>
    <w:rsid w:val="00054A2E"/>
    <w:rsid w:val="00054EE5"/>
    <w:rsid w:val="00054FB1"/>
    <w:rsid w:val="00055881"/>
    <w:rsid w:val="000559F0"/>
    <w:rsid w:val="00055C26"/>
    <w:rsid w:val="0005609A"/>
    <w:rsid w:val="000565A6"/>
    <w:rsid w:val="000565F4"/>
    <w:rsid w:val="00056856"/>
    <w:rsid w:val="000569BD"/>
    <w:rsid w:val="00056DDA"/>
    <w:rsid w:val="00056F52"/>
    <w:rsid w:val="0005715B"/>
    <w:rsid w:val="000579C3"/>
    <w:rsid w:val="00057A1D"/>
    <w:rsid w:val="00057BD5"/>
    <w:rsid w:val="00060093"/>
    <w:rsid w:val="00060152"/>
    <w:rsid w:val="00060233"/>
    <w:rsid w:val="000608CA"/>
    <w:rsid w:val="00060E67"/>
    <w:rsid w:val="00060F6E"/>
    <w:rsid w:val="00061431"/>
    <w:rsid w:val="000617B1"/>
    <w:rsid w:val="0006188D"/>
    <w:rsid w:val="00061BCA"/>
    <w:rsid w:val="00061BE7"/>
    <w:rsid w:val="000622AE"/>
    <w:rsid w:val="00062459"/>
    <w:rsid w:val="000627F6"/>
    <w:rsid w:val="00062A4A"/>
    <w:rsid w:val="00062B61"/>
    <w:rsid w:val="00062BE4"/>
    <w:rsid w:val="00062DDF"/>
    <w:rsid w:val="000630E4"/>
    <w:rsid w:val="000637F9"/>
    <w:rsid w:val="00063953"/>
    <w:rsid w:val="0006398D"/>
    <w:rsid w:val="00064810"/>
    <w:rsid w:val="00064817"/>
    <w:rsid w:val="000648A1"/>
    <w:rsid w:val="00064AA4"/>
    <w:rsid w:val="00065001"/>
    <w:rsid w:val="0006515F"/>
    <w:rsid w:val="00065380"/>
    <w:rsid w:val="000659E1"/>
    <w:rsid w:val="000659E8"/>
    <w:rsid w:val="00066352"/>
    <w:rsid w:val="0006691C"/>
    <w:rsid w:val="00066B1A"/>
    <w:rsid w:val="00066CF4"/>
    <w:rsid w:val="00066D6B"/>
    <w:rsid w:val="000672EB"/>
    <w:rsid w:val="000673DE"/>
    <w:rsid w:val="00067406"/>
    <w:rsid w:val="0006751B"/>
    <w:rsid w:val="00067FCD"/>
    <w:rsid w:val="00070934"/>
    <w:rsid w:val="00070BB7"/>
    <w:rsid w:val="00070E0F"/>
    <w:rsid w:val="000712E3"/>
    <w:rsid w:val="0007130A"/>
    <w:rsid w:val="0007140E"/>
    <w:rsid w:val="0007181E"/>
    <w:rsid w:val="00071C16"/>
    <w:rsid w:val="00071E1A"/>
    <w:rsid w:val="0007208A"/>
    <w:rsid w:val="0007231A"/>
    <w:rsid w:val="00072762"/>
    <w:rsid w:val="000728EB"/>
    <w:rsid w:val="00072D1A"/>
    <w:rsid w:val="00072D3A"/>
    <w:rsid w:val="00072DEB"/>
    <w:rsid w:val="00072F66"/>
    <w:rsid w:val="000730FD"/>
    <w:rsid w:val="000732DD"/>
    <w:rsid w:val="0007357E"/>
    <w:rsid w:val="00073B85"/>
    <w:rsid w:val="00073C28"/>
    <w:rsid w:val="0007469B"/>
    <w:rsid w:val="00074ABB"/>
    <w:rsid w:val="00074B42"/>
    <w:rsid w:val="00075085"/>
    <w:rsid w:val="0007524F"/>
    <w:rsid w:val="000754C0"/>
    <w:rsid w:val="000755F1"/>
    <w:rsid w:val="00075814"/>
    <w:rsid w:val="00076077"/>
    <w:rsid w:val="000766C5"/>
    <w:rsid w:val="0007676C"/>
    <w:rsid w:val="00076A6F"/>
    <w:rsid w:val="00076DF8"/>
    <w:rsid w:val="00076DFC"/>
    <w:rsid w:val="00077234"/>
    <w:rsid w:val="0007732E"/>
    <w:rsid w:val="00077556"/>
    <w:rsid w:val="000779A5"/>
    <w:rsid w:val="000779C0"/>
    <w:rsid w:val="00077BB0"/>
    <w:rsid w:val="00080D00"/>
    <w:rsid w:val="00080F9C"/>
    <w:rsid w:val="0008102A"/>
    <w:rsid w:val="000810AA"/>
    <w:rsid w:val="000810EF"/>
    <w:rsid w:val="0008125D"/>
    <w:rsid w:val="00081271"/>
    <w:rsid w:val="000816E4"/>
    <w:rsid w:val="000823E5"/>
    <w:rsid w:val="00082AFE"/>
    <w:rsid w:val="00082C2E"/>
    <w:rsid w:val="00082C43"/>
    <w:rsid w:val="00082EE7"/>
    <w:rsid w:val="00083477"/>
    <w:rsid w:val="00083911"/>
    <w:rsid w:val="00083C7D"/>
    <w:rsid w:val="000841D7"/>
    <w:rsid w:val="0008420E"/>
    <w:rsid w:val="000842DF"/>
    <w:rsid w:val="000846AA"/>
    <w:rsid w:val="00084962"/>
    <w:rsid w:val="00084A0D"/>
    <w:rsid w:val="00084FFE"/>
    <w:rsid w:val="00085355"/>
    <w:rsid w:val="00085498"/>
    <w:rsid w:val="00085524"/>
    <w:rsid w:val="000856A3"/>
    <w:rsid w:val="0008571C"/>
    <w:rsid w:val="00085737"/>
    <w:rsid w:val="0008580A"/>
    <w:rsid w:val="00085905"/>
    <w:rsid w:val="0008590E"/>
    <w:rsid w:val="00086394"/>
    <w:rsid w:val="000866C1"/>
    <w:rsid w:val="000867A7"/>
    <w:rsid w:val="000867B8"/>
    <w:rsid w:val="00086885"/>
    <w:rsid w:val="00086CDE"/>
    <w:rsid w:val="0008714E"/>
    <w:rsid w:val="0008748D"/>
    <w:rsid w:val="00087A51"/>
    <w:rsid w:val="00087CC2"/>
    <w:rsid w:val="00087D43"/>
    <w:rsid w:val="00087DA8"/>
    <w:rsid w:val="00087E41"/>
    <w:rsid w:val="0009038D"/>
    <w:rsid w:val="00090481"/>
    <w:rsid w:val="00090BED"/>
    <w:rsid w:val="0009142F"/>
    <w:rsid w:val="000917AB"/>
    <w:rsid w:val="000919EB"/>
    <w:rsid w:val="00091CBB"/>
    <w:rsid w:val="00091E25"/>
    <w:rsid w:val="000920A3"/>
    <w:rsid w:val="00092683"/>
    <w:rsid w:val="00092CF1"/>
    <w:rsid w:val="00092D6A"/>
    <w:rsid w:val="00092FD0"/>
    <w:rsid w:val="000931F1"/>
    <w:rsid w:val="00093214"/>
    <w:rsid w:val="0009394D"/>
    <w:rsid w:val="00093C0B"/>
    <w:rsid w:val="00093E1C"/>
    <w:rsid w:val="00094455"/>
    <w:rsid w:val="0009489C"/>
    <w:rsid w:val="00094A8F"/>
    <w:rsid w:val="000955BD"/>
    <w:rsid w:val="000968FC"/>
    <w:rsid w:val="00096C38"/>
    <w:rsid w:val="00096DE9"/>
    <w:rsid w:val="0009722F"/>
    <w:rsid w:val="0009738F"/>
    <w:rsid w:val="00097418"/>
    <w:rsid w:val="000976C6"/>
    <w:rsid w:val="00097C90"/>
    <w:rsid w:val="00097F1D"/>
    <w:rsid w:val="000A0520"/>
    <w:rsid w:val="000A05B1"/>
    <w:rsid w:val="000A05B9"/>
    <w:rsid w:val="000A064D"/>
    <w:rsid w:val="000A0721"/>
    <w:rsid w:val="000A08F0"/>
    <w:rsid w:val="000A1220"/>
    <w:rsid w:val="000A13D9"/>
    <w:rsid w:val="000A14F7"/>
    <w:rsid w:val="000A1D42"/>
    <w:rsid w:val="000A2038"/>
    <w:rsid w:val="000A22EB"/>
    <w:rsid w:val="000A284D"/>
    <w:rsid w:val="000A2B53"/>
    <w:rsid w:val="000A3A84"/>
    <w:rsid w:val="000A3E87"/>
    <w:rsid w:val="000A3FDF"/>
    <w:rsid w:val="000A4B69"/>
    <w:rsid w:val="000A4C05"/>
    <w:rsid w:val="000A4D62"/>
    <w:rsid w:val="000A4E7C"/>
    <w:rsid w:val="000A4F30"/>
    <w:rsid w:val="000A5246"/>
    <w:rsid w:val="000A5402"/>
    <w:rsid w:val="000A55CC"/>
    <w:rsid w:val="000A5E91"/>
    <w:rsid w:val="000A6621"/>
    <w:rsid w:val="000A66D2"/>
    <w:rsid w:val="000A670B"/>
    <w:rsid w:val="000A69AB"/>
    <w:rsid w:val="000A6C32"/>
    <w:rsid w:val="000A6C4A"/>
    <w:rsid w:val="000A7245"/>
    <w:rsid w:val="000A73AC"/>
    <w:rsid w:val="000A74A9"/>
    <w:rsid w:val="000A7D5F"/>
    <w:rsid w:val="000B03DF"/>
    <w:rsid w:val="000B064A"/>
    <w:rsid w:val="000B0754"/>
    <w:rsid w:val="000B0D72"/>
    <w:rsid w:val="000B118A"/>
    <w:rsid w:val="000B11A8"/>
    <w:rsid w:val="000B138F"/>
    <w:rsid w:val="000B144F"/>
    <w:rsid w:val="000B1465"/>
    <w:rsid w:val="000B191D"/>
    <w:rsid w:val="000B1D06"/>
    <w:rsid w:val="000B200D"/>
    <w:rsid w:val="000B20DC"/>
    <w:rsid w:val="000B220D"/>
    <w:rsid w:val="000B26AD"/>
    <w:rsid w:val="000B2A8B"/>
    <w:rsid w:val="000B2B19"/>
    <w:rsid w:val="000B2EF3"/>
    <w:rsid w:val="000B305C"/>
    <w:rsid w:val="000B3387"/>
    <w:rsid w:val="000B4464"/>
    <w:rsid w:val="000B509C"/>
    <w:rsid w:val="000B5495"/>
    <w:rsid w:val="000B5841"/>
    <w:rsid w:val="000B58FA"/>
    <w:rsid w:val="000B5BFB"/>
    <w:rsid w:val="000B6376"/>
    <w:rsid w:val="000B63DF"/>
    <w:rsid w:val="000B6887"/>
    <w:rsid w:val="000B692F"/>
    <w:rsid w:val="000B6969"/>
    <w:rsid w:val="000B6BC0"/>
    <w:rsid w:val="000B71CF"/>
    <w:rsid w:val="000B728D"/>
    <w:rsid w:val="000B74CA"/>
    <w:rsid w:val="000B74D0"/>
    <w:rsid w:val="000B7B71"/>
    <w:rsid w:val="000B7C10"/>
    <w:rsid w:val="000B7C9B"/>
    <w:rsid w:val="000B7DE6"/>
    <w:rsid w:val="000C004C"/>
    <w:rsid w:val="000C01EC"/>
    <w:rsid w:val="000C0266"/>
    <w:rsid w:val="000C077E"/>
    <w:rsid w:val="000C08B8"/>
    <w:rsid w:val="000C12F8"/>
    <w:rsid w:val="000C1325"/>
    <w:rsid w:val="000C1570"/>
    <w:rsid w:val="000C17D5"/>
    <w:rsid w:val="000C2167"/>
    <w:rsid w:val="000C230B"/>
    <w:rsid w:val="000C2A69"/>
    <w:rsid w:val="000C3009"/>
    <w:rsid w:val="000C3140"/>
    <w:rsid w:val="000C3350"/>
    <w:rsid w:val="000C33EC"/>
    <w:rsid w:val="000C372C"/>
    <w:rsid w:val="000C39CB"/>
    <w:rsid w:val="000C3A75"/>
    <w:rsid w:val="000C3CE2"/>
    <w:rsid w:val="000C3F60"/>
    <w:rsid w:val="000C4941"/>
    <w:rsid w:val="000C4D35"/>
    <w:rsid w:val="000C5439"/>
    <w:rsid w:val="000C5C9C"/>
    <w:rsid w:val="000C5D61"/>
    <w:rsid w:val="000C61A7"/>
    <w:rsid w:val="000C620E"/>
    <w:rsid w:val="000C648A"/>
    <w:rsid w:val="000C66B3"/>
    <w:rsid w:val="000C6A68"/>
    <w:rsid w:val="000C6AF0"/>
    <w:rsid w:val="000C6E4A"/>
    <w:rsid w:val="000C6ED8"/>
    <w:rsid w:val="000C71FE"/>
    <w:rsid w:val="000C75B6"/>
    <w:rsid w:val="000C7749"/>
    <w:rsid w:val="000C779A"/>
    <w:rsid w:val="000C7B56"/>
    <w:rsid w:val="000C7FB7"/>
    <w:rsid w:val="000D02DF"/>
    <w:rsid w:val="000D0339"/>
    <w:rsid w:val="000D0427"/>
    <w:rsid w:val="000D04BD"/>
    <w:rsid w:val="000D0812"/>
    <w:rsid w:val="000D08A1"/>
    <w:rsid w:val="000D09EF"/>
    <w:rsid w:val="000D0E0F"/>
    <w:rsid w:val="000D0E79"/>
    <w:rsid w:val="000D0FCC"/>
    <w:rsid w:val="000D1A7F"/>
    <w:rsid w:val="000D1C23"/>
    <w:rsid w:val="000D1E97"/>
    <w:rsid w:val="000D288A"/>
    <w:rsid w:val="000D28ED"/>
    <w:rsid w:val="000D2C20"/>
    <w:rsid w:val="000D3AC6"/>
    <w:rsid w:val="000D3C9B"/>
    <w:rsid w:val="000D3DC1"/>
    <w:rsid w:val="000D3FDB"/>
    <w:rsid w:val="000D4AD3"/>
    <w:rsid w:val="000D4B86"/>
    <w:rsid w:val="000D5017"/>
    <w:rsid w:val="000D5432"/>
    <w:rsid w:val="000D59FB"/>
    <w:rsid w:val="000D5BF6"/>
    <w:rsid w:val="000D6114"/>
    <w:rsid w:val="000D616E"/>
    <w:rsid w:val="000D630A"/>
    <w:rsid w:val="000D6647"/>
    <w:rsid w:val="000D6943"/>
    <w:rsid w:val="000D6CBE"/>
    <w:rsid w:val="000D722F"/>
    <w:rsid w:val="000D7402"/>
    <w:rsid w:val="000D7A63"/>
    <w:rsid w:val="000D7D91"/>
    <w:rsid w:val="000E0465"/>
    <w:rsid w:val="000E056C"/>
    <w:rsid w:val="000E05CF"/>
    <w:rsid w:val="000E071D"/>
    <w:rsid w:val="000E105A"/>
    <w:rsid w:val="000E1777"/>
    <w:rsid w:val="000E1865"/>
    <w:rsid w:val="000E22E1"/>
    <w:rsid w:val="000E2642"/>
    <w:rsid w:val="000E2822"/>
    <w:rsid w:val="000E2868"/>
    <w:rsid w:val="000E29E4"/>
    <w:rsid w:val="000E2C22"/>
    <w:rsid w:val="000E2C62"/>
    <w:rsid w:val="000E2E5D"/>
    <w:rsid w:val="000E42AE"/>
    <w:rsid w:val="000E42D0"/>
    <w:rsid w:val="000E465E"/>
    <w:rsid w:val="000E4BFA"/>
    <w:rsid w:val="000E4E5E"/>
    <w:rsid w:val="000E5575"/>
    <w:rsid w:val="000E55F8"/>
    <w:rsid w:val="000E5A95"/>
    <w:rsid w:val="000E5D3C"/>
    <w:rsid w:val="000E602A"/>
    <w:rsid w:val="000E6313"/>
    <w:rsid w:val="000E678A"/>
    <w:rsid w:val="000E7924"/>
    <w:rsid w:val="000F0512"/>
    <w:rsid w:val="000F0C2D"/>
    <w:rsid w:val="000F0FDB"/>
    <w:rsid w:val="000F1B62"/>
    <w:rsid w:val="000F2080"/>
    <w:rsid w:val="000F2556"/>
    <w:rsid w:val="000F296F"/>
    <w:rsid w:val="000F29D2"/>
    <w:rsid w:val="000F3281"/>
    <w:rsid w:val="000F366F"/>
    <w:rsid w:val="000F3B23"/>
    <w:rsid w:val="000F3DF1"/>
    <w:rsid w:val="000F4003"/>
    <w:rsid w:val="000F4078"/>
    <w:rsid w:val="000F4782"/>
    <w:rsid w:val="000F4B64"/>
    <w:rsid w:val="000F4F19"/>
    <w:rsid w:val="000F5208"/>
    <w:rsid w:val="000F54DE"/>
    <w:rsid w:val="000F5636"/>
    <w:rsid w:val="000F5711"/>
    <w:rsid w:val="000F5796"/>
    <w:rsid w:val="000F597D"/>
    <w:rsid w:val="000F59D9"/>
    <w:rsid w:val="000F5C89"/>
    <w:rsid w:val="000F6194"/>
    <w:rsid w:val="000F620C"/>
    <w:rsid w:val="000F626F"/>
    <w:rsid w:val="000F6306"/>
    <w:rsid w:val="000F66BB"/>
    <w:rsid w:val="000F6765"/>
    <w:rsid w:val="000F7990"/>
    <w:rsid w:val="000F7E2A"/>
    <w:rsid w:val="00100931"/>
    <w:rsid w:val="00100B7C"/>
    <w:rsid w:val="00100C17"/>
    <w:rsid w:val="00100F2D"/>
    <w:rsid w:val="0010103E"/>
    <w:rsid w:val="001010EA"/>
    <w:rsid w:val="0010167B"/>
    <w:rsid w:val="001017F6"/>
    <w:rsid w:val="0010192E"/>
    <w:rsid w:val="00101D7F"/>
    <w:rsid w:val="00102117"/>
    <w:rsid w:val="00102700"/>
    <w:rsid w:val="0010275D"/>
    <w:rsid w:val="0010293F"/>
    <w:rsid w:val="00102CEE"/>
    <w:rsid w:val="00102DC7"/>
    <w:rsid w:val="00103092"/>
    <w:rsid w:val="00103358"/>
    <w:rsid w:val="001036EA"/>
    <w:rsid w:val="0010374F"/>
    <w:rsid w:val="00103B1B"/>
    <w:rsid w:val="00103E02"/>
    <w:rsid w:val="00103E0F"/>
    <w:rsid w:val="001042AF"/>
    <w:rsid w:val="00104BD0"/>
    <w:rsid w:val="00105022"/>
    <w:rsid w:val="0010572D"/>
    <w:rsid w:val="00105806"/>
    <w:rsid w:val="00105830"/>
    <w:rsid w:val="0010586F"/>
    <w:rsid w:val="00105AA0"/>
    <w:rsid w:val="00105B66"/>
    <w:rsid w:val="00105BE0"/>
    <w:rsid w:val="00105D87"/>
    <w:rsid w:val="00105EA0"/>
    <w:rsid w:val="00106259"/>
    <w:rsid w:val="00106993"/>
    <w:rsid w:val="00106DB8"/>
    <w:rsid w:val="00106F55"/>
    <w:rsid w:val="0010767E"/>
    <w:rsid w:val="00107E0E"/>
    <w:rsid w:val="001101FB"/>
    <w:rsid w:val="001102BE"/>
    <w:rsid w:val="001105E8"/>
    <w:rsid w:val="0011061D"/>
    <w:rsid w:val="00110BFE"/>
    <w:rsid w:val="00110F38"/>
    <w:rsid w:val="00110F9A"/>
    <w:rsid w:val="0011133C"/>
    <w:rsid w:val="00111A9E"/>
    <w:rsid w:val="00111F21"/>
    <w:rsid w:val="00111FB2"/>
    <w:rsid w:val="001121FE"/>
    <w:rsid w:val="001123A8"/>
    <w:rsid w:val="001126DB"/>
    <w:rsid w:val="00112CE4"/>
    <w:rsid w:val="00112F63"/>
    <w:rsid w:val="001131F2"/>
    <w:rsid w:val="0011336D"/>
    <w:rsid w:val="0011348D"/>
    <w:rsid w:val="0011371D"/>
    <w:rsid w:val="001141DA"/>
    <w:rsid w:val="00114612"/>
    <w:rsid w:val="00114740"/>
    <w:rsid w:val="0011496A"/>
    <w:rsid w:val="00114CDE"/>
    <w:rsid w:val="001152CC"/>
    <w:rsid w:val="00115757"/>
    <w:rsid w:val="00115A6E"/>
    <w:rsid w:val="00115BE7"/>
    <w:rsid w:val="00115F7F"/>
    <w:rsid w:val="0011616A"/>
    <w:rsid w:val="001161C7"/>
    <w:rsid w:val="00116C34"/>
    <w:rsid w:val="00116EC3"/>
    <w:rsid w:val="00116F00"/>
    <w:rsid w:val="00117001"/>
    <w:rsid w:val="00117230"/>
    <w:rsid w:val="0011726C"/>
    <w:rsid w:val="0011774B"/>
    <w:rsid w:val="00117B0C"/>
    <w:rsid w:val="00117C1E"/>
    <w:rsid w:val="00120186"/>
    <w:rsid w:val="0012024A"/>
    <w:rsid w:val="001203E9"/>
    <w:rsid w:val="00120552"/>
    <w:rsid w:val="001205D5"/>
    <w:rsid w:val="00120605"/>
    <w:rsid w:val="001206AD"/>
    <w:rsid w:val="00120737"/>
    <w:rsid w:val="00120B0C"/>
    <w:rsid w:val="00120B16"/>
    <w:rsid w:val="00120BCD"/>
    <w:rsid w:val="0012130A"/>
    <w:rsid w:val="0012148D"/>
    <w:rsid w:val="00121564"/>
    <w:rsid w:val="001216B5"/>
    <w:rsid w:val="00121BC5"/>
    <w:rsid w:val="00121DC6"/>
    <w:rsid w:val="0012215C"/>
    <w:rsid w:val="001222F3"/>
    <w:rsid w:val="0012250C"/>
    <w:rsid w:val="001228B6"/>
    <w:rsid w:val="001228C2"/>
    <w:rsid w:val="00122EBA"/>
    <w:rsid w:val="00123093"/>
    <w:rsid w:val="0012366C"/>
    <w:rsid w:val="001238C9"/>
    <w:rsid w:val="00123DE6"/>
    <w:rsid w:val="00123F47"/>
    <w:rsid w:val="0012435C"/>
    <w:rsid w:val="001243BA"/>
    <w:rsid w:val="001243F3"/>
    <w:rsid w:val="00124426"/>
    <w:rsid w:val="001244E1"/>
    <w:rsid w:val="001245F0"/>
    <w:rsid w:val="0012480A"/>
    <w:rsid w:val="00125090"/>
    <w:rsid w:val="001251EC"/>
    <w:rsid w:val="00125558"/>
    <w:rsid w:val="0012568E"/>
    <w:rsid w:val="00125783"/>
    <w:rsid w:val="00125B56"/>
    <w:rsid w:val="00125BF2"/>
    <w:rsid w:val="00125C8A"/>
    <w:rsid w:val="001264A3"/>
    <w:rsid w:val="00126CBC"/>
    <w:rsid w:val="001271A4"/>
    <w:rsid w:val="00127212"/>
    <w:rsid w:val="0012722E"/>
    <w:rsid w:val="00127681"/>
    <w:rsid w:val="00127724"/>
    <w:rsid w:val="00127A92"/>
    <w:rsid w:val="00127A93"/>
    <w:rsid w:val="00130187"/>
    <w:rsid w:val="00130260"/>
    <w:rsid w:val="0013040D"/>
    <w:rsid w:val="00130A56"/>
    <w:rsid w:val="00130CD4"/>
    <w:rsid w:val="00130EF4"/>
    <w:rsid w:val="00130FAC"/>
    <w:rsid w:val="001315B3"/>
    <w:rsid w:val="0013168F"/>
    <w:rsid w:val="001321D6"/>
    <w:rsid w:val="001323CA"/>
    <w:rsid w:val="00132A5F"/>
    <w:rsid w:val="00132AA9"/>
    <w:rsid w:val="00132B09"/>
    <w:rsid w:val="0013336B"/>
    <w:rsid w:val="001338F8"/>
    <w:rsid w:val="00133CC9"/>
    <w:rsid w:val="00133EA2"/>
    <w:rsid w:val="00133F27"/>
    <w:rsid w:val="00133F3F"/>
    <w:rsid w:val="001343E9"/>
    <w:rsid w:val="001346CE"/>
    <w:rsid w:val="00134858"/>
    <w:rsid w:val="0013496E"/>
    <w:rsid w:val="00134DD9"/>
    <w:rsid w:val="00134EC9"/>
    <w:rsid w:val="00134FA6"/>
    <w:rsid w:val="001352EE"/>
    <w:rsid w:val="001355C5"/>
    <w:rsid w:val="001358EC"/>
    <w:rsid w:val="00135FF4"/>
    <w:rsid w:val="001361CD"/>
    <w:rsid w:val="001365C3"/>
    <w:rsid w:val="00136882"/>
    <w:rsid w:val="00136DAB"/>
    <w:rsid w:val="00136DB1"/>
    <w:rsid w:val="0013744A"/>
    <w:rsid w:val="00137B09"/>
    <w:rsid w:val="00137D6B"/>
    <w:rsid w:val="00140438"/>
    <w:rsid w:val="001404E8"/>
    <w:rsid w:val="00140D47"/>
    <w:rsid w:val="001410A5"/>
    <w:rsid w:val="001416BE"/>
    <w:rsid w:val="00141B6B"/>
    <w:rsid w:val="00141FB7"/>
    <w:rsid w:val="00142168"/>
    <w:rsid w:val="001424B5"/>
    <w:rsid w:val="00142BAB"/>
    <w:rsid w:val="00142BE7"/>
    <w:rsid w:val="00142BEF"/>
    <w:rsid w:val="00142C67"/>
    <w:rsid w:val="00142D68"/>
    <w:rsid w:val="0014300D"/>
    <w:rsid w:val="0014321E"/>
    <w:rsid w:val="001434B8"/>
    <w:rsid w:val="0014359C"/>
    <w:rsid w:val="00143A77"/>
    <w:rsid w:val="00143A9B"/>
    <w:rsid w:val="00143AA2"/>
    <w:rsid w:val="00143B0D"/>
    <w:rsid w:val="00143D0B"/>
    <w:rsid w:val="00143D87"/>
    <w:rsid w:val="00144A9D"/>
    <w:rsid w:val="00144BA3"/>
    <w:rsid w:val="00144DBA"/>
    <w:rsid w:val="001458D5"/>
    <w:rsid w:val="00145B4B"/>
    <w:rsid w:val="001467AF"/>
    <w:rsid w:val="0014688D"/>
    <w:rsid w:val="001469E3"/>
    <w:rsid w:val="00147748"/>
    <w:rsid w:val="0014774B"/>
    <w:rsid w:val="00147B1B"/>
    <w:rsid w:val="00147C95"/>
    <w:rsid w:val="00147E96"/>
    <w:rsid w:val="00150017"/>
    <w:rsid w:val="0015028C"/>
    <w:rsid w:val="00152148"/>
    <w:rsid w:val="0015259A"/>
    <w:rsid w:val="00152648"/>
    <w:rsid w:val="00152D3A"/>
    <w:rsid w:val="00152F06"/>
    <w:rsid w:val="001532A7"/>
    <w:rsid w:val="001534D9"/>
    <w:rsid w:val="0015368D"/>
    <w:rsid w:val="001539C9"/>
    <w:rsid w:val="0015497B"/>
    <w:rsid w:val="00154A24"/>
    <w:rsid w:val="00154B7C"/>
    <w:rsid w:val="00154FD8"/>
    <w:rsid w:val="001552B7"/>
    <w:rsid w:val="0015538D"/>
    <w:rsid w:val="00155474"/>
    <w:rsid w:val="00155677"/>
    <w:rsid w:val="001560DE"/>
    <w:rsid w:val="00156233"/>
    <w:rsid w:val="00156870"/>
    <w:rsid w:val="00156AFA"/>
    <w:rsid w:val="00156DC2"/>
    <w:rsid w:val="00156F04"/>
    <w:rsid w:val="00157364"/>
    <w:rsid w:val="00157366"/>
    <w:rsid w:val="001579BF"/>
    <w:rsid w:val="00157B78"/>
    <w:rsid w:val="001601AC"/>
    <w:rsid w:val="00160300"/>
    <w:rsid w:val="00160400"/>
    <w:rsid w:val="00160685"/>
    <w:rsid w:val="0016074E"/>
    <w:rsid w:val="001609E8"/>
    <w:rsid w:val="00160B10"/>
    <w:rsid w:val="00160BA0"/>
    <w:rsid w:val="00160DC4"/>
    <w:rsid w:val="001610DE"/>
    <w:rsid w:val="001617BD"/>
    <w:rsid w:val="00161869"/>
    <w:rsid w:val="00161E53"/>
    <w:rsid w:val="00162BC9"/>
    <w:rsid w:val="00162C04"/>
    <w:rsid w:val="00162D57"/>
    <w:rsid w:val="00162FA8"/>
    <w:rsid w:val="0016304A"/>
    <w:rsid w:val="00163216"/>
    <w:rsid w:val="0016328C"/>
    <w:rsid w:val="0016390A"/>
    <w:rsid w:val="00163F99"/>
    <w:rsid w:val="00164336"/>
    <w:rsid w:val="00164902"/>
    <w:rsid w:val="00164962"/>
    <w:rsid w:val="001650A0"/>
    <w:rsid w:val="0016594E"/>
    <w:rsid w:val="00165F92"/>
    <w:rsid w:val="001660B5"/>
    <w:rsid w:val="001665BB"/>
    <w:rsid w:val="001665C5"/>
    <w:rsid w:val="00166618"/>
    <w:rsid w:val="00166966"/>
    <w:rsid w:val="001675D2"/>
    <w:rsid w:val="00167770"/>
    <w:rsid w:val="00167858"/>
    <w:rsid w:val="0016785B"/>
    <w:rsid w:val="00167E1F"/>
    <w:rsid w:val="00170745"/>
    <w:rsid w:val="00170A2A"/>
    <w:rsid w:val="00170B70"/>
    <w:rsid w:val="00170BF0"/>
    <w:rsid w:val="00171790"/>
    <w:rsid w:val="00171E4D"/>
    <w:rsid w:val="00171F5C"/>
    <w:rsid w:val="00172640"/>
    <w:rsid w:val="0017267E"/>
    <w:rsid w:val="0017295D"/>
    <w:rsid w:val="00172BF1"/>
    <w:rsid w:val="001731E6"/>
    <w:rsid w:val="001732F6"/>
    <w:rsid w:val="00173541"/>
    <w:rsid w:val="00173B8C"/>
    <w:rsid w:val="00173CE9"/>
    <w:rsid w:val="00174054"/>
    <w:rsid w:val="00174613"/>
    <w:rsid w:val="00174BFB"/>
    <w:rsid w:val="00174D5B"/>
    <w:rsid w:val="00174D74"/>
    <w:rsid w:val="001758C2"/>
    <w:rsid w:val="00175925"/>
    <w:rsid w:val="00175C39"/>
    <w:rsid w:val="00175CF2"/>
    <w:rsid w:val="00175DED"/>
    <w:rsid w:val="00176AAE"/>
    <w:rsid w:val="00176CCB"/>
    <w:rsid w:val="0017776D"/>
    <w:rsid w:val="001778B5"/>
    <w:rsid w:val="00177BA9"/>
    <w:rsid w:val="001806C3"/>
    <w:rsid w:val="0018089B"/>
    <w:rsid w:val="00180947"/>
    <w:rsid w:val="00180BD8"/>
    <w:rsid w:val="00180C9F"/>
    <w:rsid w:val="00180DDE"/>
    <w:rsid w:val="00181FD8"/>
    <w:rsid w:val="0018202E"/>
    <w:rsid w:val="00182424"/>
    <w:rsid w:val="00182C58"/>
    <w:rsid w:val="00182D00"/>
    <w:rsid w:val="00182E5F"/>
    <w:rsid w:val="0018328F"/>
    <w:rsid w:val="00183396"/>
    <w:rsid w:val="00183510"/>
    <w:rsid w:val="001836C9"/>
    <w:rsid w:val="00183753"/>
    <w:rsid w:val="0018379B"/>
    <w:rsid w:val="001837CA"/>
    <w:rsid w:val="0018383A"/>
    <w:rsid w:val="00183CCE"/>
    <w:rsid w:val="00183F16"/>
    <w:rsid w:val="0018430B"/>
    <w:rsid w:val="00184788"/>
    <w:rsid w:val="00184E03"/>
    <w:rsid w:val="00184FFF"/>
    <w:rsid w:val="001852D6"/>
    <w:rsid w:val="00185858"/>
    <w:rsid w:val="00185974"/>
    <w:rsid w:val="0018607D"/>
    <w:rsid w:val="0018610F"/>
    <w:rsid w:val="00186230"/>
    <w:rsid w:val="001869DD"/>
    <w:rsid w:val="00187114"/>
    <w:rsid w:val="0018724B"/>
    <w:rsid w:val="0018761F"/>
    <w:rsid w:val="00187815"/>
    <w:rsid w:val="001879A5"/>
    <w:rsid w:val="00187BEF"/>
    <w:rsid w:val="00187C71"/>
    <w:rsid w:val="00190986"/>
    <w:rsid w:val="00190C65"/>
    <w:rsid w:val="00190C9D"/>
    <w:rsid w:val="00191106"/>
    <w:rsid w:val="0019128E"/>
    <w:rsid w:val="001919C1"/>
    <w:rsid w:val="00191AE3"/>
    <w:rsid w:val="001922E1"/>
    <w:rsid w:val="00192356"/>
    <w:rsid w:val="00192B7C"/>
    <w:rsid w:val="00193406"/>
    <w:rsid w:val="001938AA"/>
    <w:rsid w:val="001940F0"/>
    <w:rsid w:val="001949CA"/>
    <w:rsid w:val="0019500B"/>
    <w:rsid w:val="001950C3"/>
    <w:rsid w:val="001951E0"/>
    <w:rsid w:val="00195558"/>
    <w:rsid w:val="001955F6"/>
    <w:rsid w:val="0019586D"/>
    <w:rsid w:val="00195B4A"/>
    <w:rsid w:val="00196064"/>
    <w:rsid w:val="001962AE"/>
    <w:rsid w:val="001967CD"/>
    <w:rsid w:val="00196831"/>
    <w:rsid w:val="0019696A"/>
    <w:rsid w:val="00196AF1"/>
    <w:rsid w:val="00196B83"/>
    <w:rsid w:val="00196BD6"/>
    <w:rsid w:val="00197352"/>
    <w:rsid w:val="00197876"/>
    <w:rsid w:val="00197923"/>
    <w:rsid w:val="001979C7"/>
    <w:rsid w:val="00197AAD"/>
    <w:rsid w:val="00197C10"/>
    <w:rsid w:val="00197D13"/>
    <w:rsid w:val="00197DD9"/>
    <w:rsid w:val="0019A335"/>
    <w:rsid w:val="001A035C"/>
    <w:rsid w:val="001A039D"/>
    <w:rsid w:val="001A0471"/>
    <w:rsid w:val="001A0836"/>
    <w:rsid w:val="001A0B70"/>
    <w:rsid w:val="001A0C25"/>
    <w:rsid w:val="001A0D54"/>
    <w:rsid w:val="001A1033"/>
    <w:rsid w:val="001A148D"/>
    <w:rsid w:val="001A1A88"/>
    <w:rsid w:val="001A1B11"/>
    <w:rsid w:val="001A25EE"/>
    <w:rsid w:val="001A29E0"/>
    <w:rsid w:val="001A35DA"/>
    <w:rsid w:val="001A3825"/>
    <w:rsid w:val="001A3B7F"/>
    <w:rsid w:val="001A3BF6"/>
    <w:rsid w:val="001A482D"/>
    <w:rsid w:val="001A49B0"/>
    <w:rsid w:val="001A4A57"/>
    <w:rsid w:val="001A50E0"/>
    <w:rsid w:val="001A519B"/>
    <w:rsid w:val="001A5438"/>
    <w:rsid w:val="001A5476"/>
    <w:rsid w:val="001A5BFC"/>
    <w:rsid w:val="001A5D1F"/>
    <w:rsid w:val="001A5D61"/>
    <w:rsid w:val="001A5FCA"/>
    <w:rsid w:val="001A6194"/>
    <w:rsid w:val="001A61CC"/>
    <w:rsid w:val="001A61FD"/>
    <w:rsid w:val="001A6373"/>
    <w:rsid w:val="001A66A2"/>
    <w:rsid w:val="001A6C2E"/>
    <w:rsid w:val="001A7389"/>
    <w:rsid w:val="001A7647"/>
    <w:rsid w:val="001A7B1C"/>
    <w:rsid w:val="001A7CEC"/>
    <w:rsid w:val="001A7E77"/>
    <w:rsid w:val="001A7F96"/>
    <w:rsid w:val="001A7FEB"/>
    <w:rsid w:val="001B0A13"/>
    <w:rsid w:val="001B1486"/>
    <w:rsid w:val="001B1F9D"/>
    <w:rsid w:val="001B257A"/>
    <w:rsid w:val="001B300A"/>
    <w:rsid w:val="001B305B"/>
    <w:rsid w:val="001B31CD"/>
    <w:rsid w:val="001B3407"/>
    <w:rsid w:val="001B3812"/>
    <w:rsid w:val="001B385D"/>
    <w:rsid w:val="001B38E1"/>
    <w:rsid w:val="001B3B1A"/>
    <w:rsid w:val="001B3DBE"/>
    <w:rsid w:val="001B4008"/>
    <w:rsid w:val="001B4261"/>
    <w:rsid w:val="001B42E9"/>
    <w:rsid w:val="001B436E"/>
    <w:rsid w:val="001B46D6"/>
    <w:rsid w:val="001B51A8"/>
    <w:rsid w:val="001B53B3"/>
    <w:rsid w:val="001B57E1"/>
    <w:rsid w:val="001B591C"/>
    <w:rsid w:val="001B62F0"/>
    <w:rsid w:val="001B638D"/>
    <w:rsid w:val="001B66FF"/>
    <w:rsid w:val="001B6C03"/>
    <w:rsid w:val="001B76AC"/>
    <w:rsid w:val="001B77A7"/>
    <w:rsid w:val="001B7C35"/>
    <w:rsid w:val="001C06F4"/>
    <w:rsid w:val="001C0A26"/>
    <w:rsid w:val="001C0E78"/>
    <w:rsid w:val="001C0FFB"/>
    <w:rsid w:val="001C11A6"/>
    <w:rsid w:val="001C1A71"/>
    <w:rsid w:val="001C238A"/>
    <w:rsid w:val="001C246D"/>
    <w:rsid w:val="001C2540"/>
    <w:rsid w:val="001C2CC3"/>
    <w:rsid w:val="001C2F8E"/>
    <w:rsid w:val="001C319D"/>
    <w:rsid w:val="001C33E0"/>
    <w:rsid w:val="001C3548"/>
    <w:rsid w:val="001C36F2"/>
    <w:rsid w:val="001C3D21"/>
    <w:rsid w:val="001C3D6F"/>
    <w:rsid w:val="001C3E71"/>
    <w:rsid w:val="001C3F61"/>
    <w:rsid w:val="001C463C"/>
    <w:rsid w:val="001C4CAF"/>
    <w:rsid w:val="001C4E8A"/>
    <w:rsid w:val="001C4FC4"/>
    <w:rsid w:val="001C55DB"/>
    <w:rsid w:val="001C5D1F"/>
    <w:rsid w:val="001C5DC9"/>
    <w:rsid w:val="001C5E25"/>
    <w:rsid w:val="001C692D"/>
    <w:rsid w:val="001C6C7C"/>
    <w:rsid w:val="001C6D07"/>
    <w:rsid w:val="001C6F53"/>
    <w:rsid w:val="001C7621"/>
    <w:rsid w:val="001C7941"/>
    <w:rsid w:val="001C797B"/>
    <w:rsid w:val="001C7C51"/>
    <w:rsid w:val="001C7E0B"/>
    <w:rsid w:val="001D0042"/>
    <w:rsid w:val="001D0293"/>
    <w:rsid w:val="001D04F8"/>
    <w:rsid w:val="001D0916"/>
    <w:rsid w:val="001D0A1B"/>
    <w:rsid w:val="001D0B46"/>
    <w:rsid w:val="001D0FFC"/>
    <w:rsid w:val="001D1013"/>
    <w:rsid w:val="001D13F6"/>
    <w:rsid w:val="001D1DC6"/>
    <w:rsid w:val="001D1EDC"/>
    <w:rsid w:val="001D26A1"/>
    <w:rsid w:val="001D2930"/>
    <w:rsid w:val="001D2B5B"/>
    <w:rsid w:val="001D3137"/>
    <w:rsid w:val="001D3409"/>
    <w:rsid w:val="001D3A99"/>
    <w:rsid w:val="001D3AF8"/>
    <w:rsid w:val="001D3B0E"/>
    <w:rsid w:val="001D3B3F"/>
    <w:rsid w:val="001D455A"/>
    <w:rsid w:val="001D5710"/>
    <w:rsid w:val="001D5768"/>
    <w:rsid w:val="001D5DF3"/>
    <w:rsid w:val="001D5FBB"/>
    <w:rsid w:val="001D6525"/>
    <w:rsid w:val="001D683C"/>
    <w:rsid w:val="001D6853"/>
    <w:rsid w:val="001D71A0"/>
    <w:rsid w:val="001D7346"/>
    <w:rsid w:val="001D7607"/>
    <w:rsid w:val="001D788F"/>
    <w:rsid w:val="001E00BD"/>
    <w:rsid w:val="001E04E6"/>
    <w:rsid w:val="001E0B78"/>
    <w:rsid w:val="001E0BA4"/>
    <w:rsid w:val="001E146A"/>
    <w:rsid w:val="001E15EA"/>
    <w:rsid w:val="001E191B"/>
    <w:rsid w:val="001E1A80"/>
    <w:rsid w:val="001E1BE9"/>
    <w:rsid w:val="001E1F3E"/>
    <w:rsid w:val="001E2028"/>
    <w:rsid w:val="001E2BC2"/>
    <w:rsid w:val="001E2D6A"/>
    <w:rsid w:val="001E3235"/>
    <w:rsid w:val="001E3595"/>
    <w:rsid w:val="001E377C"/>
    <w:rsid w:val="001E3DCA"/>
    <w:rsid w:val="001E4050"/>
    <w:rsid w:val="001E54F3"/>
    <w:rsid w:val="001E560A"/>
    <w:rsid w:val="001E592D"/>
    <w:rsid w:val="001E5DF0"/>
    <w:rsid w:val="001E5F2C"/>
    <w:rsid w:val="001E604C"/>
    <w:rsid w:val="001E619A"/>
    <w:rsid w:val="001E636E"/>
    <w:rsid w:val="001E64BE"/>
    <w:rsid w:val="001E669F"/>
    <w:rsid w:val="001E66EC"/>
    <w:rsid w:val="001E67AF"/>
    <w:rsid w:val="001E6BF7"/>
    <w:rsid w:val="001E7073"/>
    <w:rsid w:val="001E7356"/>
    <w:rsid w:val="001E75BF"/>
    <w:rsid w:val="001E7734"/>
    <w:rsid w:val="001E7A95"/>
    <w:rsid w:val="001E7CB6"/>
    <w:rsid w:val="001E7D13"/>
    <w:rsid w:val="001E7E95"/>
    <w:rsid w:val="001F04DD"/>
    <w:rsid w:val="001F0655"/>
    <w:rsid w:val="001F082E"/>
    <w:rsid w:val="001F14D1"/>
    <w:rsid w:val="001F1B02"/>
    <w:rsid w:val="001F1FB4"/>
    <w:rsid w:val="001F2050"/>
    <w:rsid w:val="001F22A1"/>
    <w:rsid w:val="001F365F"/>
    <w:rsid w:val="001F397D"/>
    <w:rsid w:val="001F3A95"/>
    <w:rsid w:val="001F4384"/>
    <w:rsid w:val="001F470C"/>
    <w:rsid w:val="001F4853"/>
    <w:rsid w:val="001F5845"/>
    <w:rsid w:val="001F5ACE"/>
    <w:rsid w:val="001F5B2B"/>
    <w:rsid w:val="001F5CB6"/>
    <w:rsid w:val="001F5D6B"/>
    <w:rsid w:val="001F65E0"/>
    <w:rsid w:val="001F6611"/>
    <w:rsid w:val="001F707C"/>
    <w:rsid w:val="001F7428"/>
    <w:rsid w:val="001F75BD"/>
    <w:rsid w:val="001F79DE"/>
    <w:rsid w:val="001F7FC5"/>
    <w:rsid w:val="00200052"/>
    <w:rsid w:val="00200111"/>
    <w:rsid w:val="002001BC"/>
    <w:rsid w:val="0020046A"/>
    <w:rsid w:val="00200F29"/>
    <w:rsid w:val="00201221"/>
    <w:rsid w:val="0020192D"/>
    <w:rsid w:val="00201AA8"/>
    <w:rsid w:val="00201B21"/>
    <w:rsid w:val="00201B3C"/>
    <w:rsid w:val="00201BC4"/>
    <w:rsid w:val="00201F02"/>
    <w:rsid w:val="00201FF4"/>
    <w:rsid w:val="0020220C"/>
    <w:rsid w:val="0020245C"/>
    <w:rsid w:val="00202BD6"/>
    <w:rsid w:val="002030D7"/>
    <w:rsid w:val="002034F8"/>
    <w:rsid w:val="002038EA"/>
    <w:rsid w:val="00203D62"/>
    <w:rsid w:val="00203D67"/>
    <w:rsid w:val="00203EEB"/>
    <w:rsid w:val="002041C6"/>
    <w:rsid w:val="00204286"/>
    <w:rsid w:val="002046D6"/>
    <w:rsid w:val="00204A90"/>
    <w:rsid w:val="00204AA5"/>
    <w:rsid w:val="00204BF3"/>
    <w:rsid w:val="00204C3F"/>
    <w:rsid w:val="00204FDC"/>
    <w:rsid w:val="00205133"/>
    <w:rsid w:val="00205436"/>
    <w:rsid w:val="0020566F"/>
    <w:rsid w:val="0020573B"/>
    <w:rsid w:val="00205914"/>
    <w:rsid w:val="0020601B"/>
    <w:rsid w:val="002064D6"/>
    <w:rsid w:val="00207105"/>
    <w:rsid w:val="002076CE"/>
    <w:rsid w:val="00207890"/>
    <w:rsid w:val="002078EC"/>
    <w:rsid w:val="00210293"/>
    <w:rsid w:val="00210363"/>
    <w:rsid w:val="00210ABE"/>
    <w:rsid w:val="002110DB"/>
    <w:rsid w:val="002117D1"/>
    <w:rsid w:val="0021182B"/>
    <w:rsid w:val="00211AC9"/>
    <w:rsid w:val="00211B46"/>
    <w:rsid w:val="00212B67"/>
    <w:rsid w:val="00212E90"/>
    <w:rsid w:val="0021354E"/>
    <w:rsid w:val="0021356F"/>
    <w:rsid w:val="00213B02"/>
    <w:rsid w:val="00213B7E"/>
    <w:rsid w:val="002146DA"/>
    <w:rsid w:val="00214ADD"/>
    <w:rsid w:val="0021501A"/>
    <w:rsid w:val="00215464"/>
    <w:rsid w:val="0021596B"/>
    <w:rsid w:val="002160B6"/>
    <w:rsid w:val="0021644E"/>
    <w:rsid w:val="00216854"/>
    <w:rsid w:val="0021745D"/>
    <w:rsid w:val="00217736"/>
    <w:rsid w:val="00217740"/>
    <w:rsid w:val="002178C3"/>
    <w:rsid w:val="00217E3B"/>
    <w:rsid w:val="00217F6C"/>
    <w:rsid w:val="00220551"/>
    <w:rsid w:val="002209BB"/>
    <w:rsid w:val="00220D23"/>
    <w:rsid w:val="00220DE1"/>
    <w:rsid w:val="00221E29"/>
    <w:rsid w:val="00221EE2"/>
    <w:rsid w:val="002221F9"/>
    <w:rsid w:val="002222E9"/>
    <w:rsid w:val="002223D2"/>
    <w:rsid w:val="002225D4"/>
    <w:rsid w:val="00222EF5"/>
    <w:rsid w:val="00222FA8"/>
    <w:rsid w:val="002237B9"/>
    <w:rsid w:val="00223A25"/>
    <w:rsid w:val="00223D6F"/>
    <w:rsid w:val="00224011"/>
    <w:rsid w:val="00224A7C"/>
    <w:rsid w:val="002251CF"/>
    <w:rsid w:val="0022574E"/>
    <w:rsid w:val="002267D2"/>
    <w:rsid w:val="00226EBB"/>
    <w:rsid w:val="00227D39"/>
    <w:rsid w:val="00227DA3"/>
    <w:rsid w:val="00230154"/>
    <w:rsid w:val="002301B9"/>
    <w:rsid w:val="00230374"/>
    <w:rsid w:val="002304DD"/>
    <w:rsid w:val="00230EEB"/>
    <w:rsid w:val="00230F85"/>
    <w:rsid w:val="0023119A"/>
    <w:rsid w:val="002313A2"/>
    <w:rsid w:val="002313E5"/>
    <w:rsid w:val="00231808"/>
    <w:rsid w:val="002327AB"/>
    <w:rsid w:val="0023288D"/>
    <w:rsid w:val="00232B06"/>
    <w:rsid w:val="00232E73"/>
    <w:rsid w:val="00232F9E"/>
    <w:rsid w:val="00233222"/>
    <w:rsid w:val="002336D4"/>
    <w:rsid w:val="00233B00"/>
    <w:rsid w:val="002340CB"/>
    <w:rsid w:val="002341C0"/>
    <w:rsid w:val="002343D2"/>
    <w:rsid w:val="00234500"/>
    <w:rsid w:val="00234781"/>
    <w:rsid w:val="00234D0A"/>
    <w:rsid w:val="00234E56"/>
    <w:rsid w:val="0023500A"/>
    <w:rsid w:val="002354A7"/>
    <w:rsid w:val="002355FA"/>
    <w:rsid w:val="00235B3B"/>
    <w:rsid w:val="00235BCD"/>
    <w:rsid w:val="00235CA4"/>
    <w:rsid w:val="00235F4D"/>
    <w:rsid w:val="00236001"/>
    <w:rsid w:val="00236D0B"/>
    <w:rsid w:val="002372A5"/>
    <w:rsid w:val="002377F0"/>
    <w:rsid w:val="00237840"/>
    <w:rsid w:val="00237965"/>
    <w:rsid w:val="00237BCD"/>
    <w:rsid w:val="00237D94"/>
    <w:rsid w:val="00240158"/>
    <w:rsid w:val="00240335"/>
    <w:rsid w:val="002405F3"/>
    <w:rsid w:val="002406AA"/>
    <w:rsid w:val="00240DA9"/>
    <w:rsid w:val="00241890"/>
    <w:rsid w:val="002420CF"/>
    <w:rsid w:val="0024261E"/>
    <w:rsid w:val="00242CF2"/>
    <w:rsid w:val="00242E7F"/>
    <w:rsid w:val="00242FFC"/>
    <w:rsid w:val="00243002"/>
    <w:rsid w:val="0024338B"/>
    <w:rsid w:val="00243421"/>
    <w:rsid w:val="00243986"/>
    <w:rsid w:val="00243F7B"/>
    <w:rsid w:val="00243FD5"/>
    <w:rsid w:val="002450EE"/>
    <w:rsid w:val="002453D1"/>
    <w:rsid w:val="002459A9"/>
    <w:rsid w:val="00245E48"/>
    <w:rsid w:val="00246176"/>
    <w:rsid w:val="0024620E"/>
    <w:rsid w:val="0024627C"/>
    <w:rsid w:val="00246605"/>
    <w:rsid w:val="002468ED"/>
    <w:rsid w:val="0024705D"/>
    <w:rsid w:val="002473E8"/>
    <w:rsid w:val="0024756E"/>
    <w:rsid w:val="00247639"/>
    <w:rsid w:val="002476CE"/>
    <w:rsid w:val="00250113"/>
    <w:rsid w:val="002502A7"/>
    <w:rsid w:val="0025063B"/>
    <w:rsid w:val="002506F0"/>
    <w:rsid w:val="00250C56"/>
    <w:rsid w:val="00250DC2"/>
    <w:rsid w:val="00250F7F"/>
    <w:rsid w:val="00251125"/>
    <w:rsid w:val="00251182"/>
    <w:rsid w:val="00251A48"/>
    <w:rsid w:val="002520A8"/>
    <w:rsid w:val="00252643"/>
    <w:rsid w:val="002528AE"/>
    <w:rsid w:val="002528EB"/>
    <w:rsid w:val="0025298E"/>
    <w:rsid w:val="00252A4F"/>
    <w:rsid w:val="00253578"/>
    <w:rsid w:val="00253942"/>
    <w:rsid w:val="00253BCA"/>
    <w:rsid w:val="00253C5A"/>
    <w:rsid w:val="00253DEF"/>
    <w:rsid w:val="0025410F"/>
    <w:rsid w:val="00254426"/>
    <w:rsid w:val="0025453E"/>
    <w:rsid w:val="0025468E"/>
    <w:rsid w:val="00255014"/>
    <w:rsid w:val="002551D4"/>
    <w:rsid w:val="00255839"/>
    <w:rsid w:val="00255F56"/>
    <w:rsid w:val="002560D9"/>
    <w:rsid w:val="00256265"/>
    <w:rsid w:val="00256485"/>
    <w:rsid w:val="00256A95"/>
    <w:rsid w:val="00256B4E"/>
    <w:rsid w:val="00256D60"/>
    <w:rsid w:val="002576F6"/>
    <w:rsid w:val="002577F8"/>
    <w:rsid w:val="00257800"/>
    <w:rsid w:val="00257958"/>
    <w:rsid w:val="00257BF0"/>
    <w:rsid w:val="0026005F"/>
    <w:rsid w:val="00260338"/>
    <w:rsid w:val="00260378"/>
    <w:rsid w:val="00260849"/>
    <w:rsid w:val="0026086F"/>
    <w:rsid w:val="00260A79"/>
    <w:rsid w:val="00260DCC"/>
    <w:rsid w:val="0026118B"/>
    <w:rsid w:val="00261823"/>
    <w:rsid w:val="002618D9"/>
    <w:rsid w:val="00261D89"/>
    <w:rsid w:val="002625F4"/>
    <w:rsid w:val="0026280F"/>
    <w:rsid w:val="00262D08"/>
    <w:rsid w:val="00262E3D"/>
    <w:rsid w:val="00262E56"/>
    <w:rsid w:val="002636CA"/>
    <w:rsid w:val="00263900"/>
    <w:rsid w:val="002645FB"/>
    <w:rsid w:val="00264620"/>
    <w:rsid w:val="00264643"/>
    <w:rsid w:val="002649EE"/>
    <w:rsid w:val="00264A2D"/>
    <w:rsid w:val="00264A8E"/>
    <w:rsid w:val="00264CB8"/>
    <w:rsid w:val="002655A3"/>
    <w:rsid w:val="00266033"/>
    <w:rsid w:val="002660D3"/>
    <w:rsid w:val="002662F6"/>
    <w:rsid w:val="00267205"/>
    <w:rsid w:val="00267498"/>
    <w:rsid w:val="00267661"/>
    <w:rsid w:val="00267A2A"/>
    <w:rsid w:val="00267DEA"/>
    <w:rsid w:val="00270644"/>
    <w:rsid w:val="00270B9F"/>
    <w:rsid w:val="00270CA9"/>
    <w:rsid w:val="002712E5"/>
    <w:rsid w:val="002716C5"/>
    <w:rsid w:val="0027183E"/>
    <w:rsid w:val="00271C84"/>
    <w:rsid w:val="00271CC5"/>
    <w:rsid w:val="00271D33"/>
    <w:rsid w:val="00271FAB"/>
    <w:rsid w:val="002720B3"/>
    <w:rsid w:val="00272A22"/>
    <w:rsid w:val="00272A36"/>
    <w:rsid w:val="00272F36"/>
    <w:rsid w:val="00272F39"/>
    <w:rsid w:val="00273248"/>
    <w:rsid w:val="002734A0"/>
    <w:rsid w:val="002736BE"/>
    <w:rsid w:val="0027383D"/>
    <w:rsid w:val="002738A2"/>
    <w:rsid w:val="00273C10"/>
    <w:rsid w:val="00273F81"/>
    <w:rsid w:val="00273FC5"/>
    <w:rsid w:val="00273FF1"/>
    <w:rsid w:val="002747C4"/>
    <w:rsid w:val="002747CA"/>
    <w:rsid w:val="002749CA"/>
    <w:rsid w:val="00274C0A"/>
    <w:rsid w:val="00274CD9"/>
    <w:rsid w:val="00275093"/>
    <w:rsid w:val="00275295"/>
    <w:rsid w:val="0027531A"/>
    <w:rsid w:val="00275658"/>
    <w:rsid w:val="00275928"/>
    <w:rsid w:val="00275DFC"/>
    <w:rsid w:val="002762E0"/>
    <w:rsid w:val="002765C0"/>
    <w:rsid w:val="00276614"/>
    <w:rsid w:val="0027674A"/>
    <w:rsid w:val="00276A98"/>
    <w:rsid w:val="00276B4B"/>
    <w:rsid w:val="002771DB"/>
    <w:rsid w:val="002773B2"/>
    <w:rsid w:val="00277412"/>
    <w:rsid w:val="00277474"/>
    <w:rsid w:val="00277924"/>
    <w:rsid w:val="002800D4"/>
    <w:rsid w:val="0028029A"/>
    <w:rsid w:val="00280451"/>
    <w:rsid w:val="0028056B"/>
    <w:rsid w:val="002808B6"/>
    <w:rsid w:val="00280D46"/>
    <w:rsid w:val="00280D5A"/>
    <w:rsid w:val="00280E03"/>
    <w:rsid w:val="00280E58"/>
    <w:rsid w:val="002817F4"/>
    <w:rsid w:val="00281BD6"/>
    <w:rsid w:val="00281FA5"/>
    <w:rsid w:val="00282025"/>
    <w:rsid w:val="00282728"/>
    <w:rsid w:val="00282851"/>
    <w:rsid w:val="00282C42"/>
    <w:rsid w:val="0028343E"/>
    <w:rsid w:val="00283498"/>
    <w:rsid w:val="002834DF"/>
    <w:rsid w:val="00283C85"/>
    <w:rsid w:val="00284451"/>
    <w:rsid w:val="00284D7B"/>
    <w:rsid w:val="00284E28"/>
    <w:rsid w:val="00284E4A"/>
    <w:rsid w:val="00285A65"/>
    <w:rsid w:val="00285D1D"/>
    <w:rsid w:val="002860C5"/>
    <w:rsid w:val="00286372"/>
    <w:rsid w:val="002864E0"/>
    <w:rsid w:val="00286D01"/>
    <w:rsid w:val="00286D0F"/>
    <w:rsid w:val="002871E9"/>
    <w:rsid w:val="00287231"/>
    <w:rsid w:val="002878D0"/>
    <w:rsid w:val="00287A28"/>
    <w:rsid w:val="00287D4C"/>
    <w:rsid w:val="0029054F"/>
    <w:rsid w:val="002909FF"/>
    <w:rsid w:val="00290BB3"/>
    <w:rsid w:val="00291045"/>
    <w:rsid w:val="00291943"/>
    <w:rsid w:val="00291CC3"/>
    <w:rsid w:val="00292031"/>
    <w:rsid w:val="0029204C"/>
    <w:rsid w:val="002921F5"/>
    <w:rsid w:val="00292363"/>
    <w:rsid w:val="0029241E"/>
    <w:rsid w:val="00292473"/>
    <w:rsid w:val="0029248E"/>
    <w:rsid w:val="002924D0"/>
    <w:rsid w:val="00292B05"/>
    <w:rsid w:val="00292D4B"/>
    <w:rsid w:val="0029309E"/>
    <w:rsid w:val="00293384"/>
    <w:rsid w:val="002934E4"/>
    <w:rsid w:val="002935F6"/>
    <w:rsid w:val="00293A7F"/>
    <w:rsid w:val="00293C7C"/>
    <w:rsid w:val="00293D3D"/>
    <w:rsid w:val="0029420E"/>
    <w:rsid w:val="002942A4"/>
    <w:rsid w:val="00294B07"/>
    <w:rsid w:val="00294D0D"/>
    <w:rsid w:val="0029530F"/>
    <w:rsid w:val="002954D5"/>
    <w:rsid w:val="0029559B"/>
    <w:rsid w:val="00295ADB"/>
    <w:rsid w:val="00295E86"/>
    <w:rsid w:val="00295F3C"/>
    <w:rsid w:val="00296417"/>
    <w:rsid w:val="00296944"/>
    <w:rsid w:val="00296D84"/>
    <w:rsid w:val="0029721C"/>
    <w:rsid w:val="0029787D"/>
    <w:rsid w:val="00297BB0"/>
    <w:rsid w:val="00297D26"/>
    <w:rsid w:val="002A0382"/>
    <w:rsid w:val="002A0387"/>
    <w:rsid w:val="002A039F"/>
    <w:rsid w:val="002A0416"/>
    <w:rsid w:val="002A0AD9"/>
    <w:rsid w:val="002A129C"/>
    <w:rsid w:val="002A14B1"/>
    <w:rsid w:val="002A1533"/>
    <w:rsid w:val="002A1B0C"/>
    <w:rsid w:val="002A2297"/>
    <w:rsid w:val="002A2486"/>
    <w:rsid w:val="002A26A0"/>
    <w:rsid w:val="002A2A2D"/>
    <w:rsid w:val="002A2B24"/>
    <w:rsid w:val="002A30B7"/>
    <w:rsid w:val="002A4084"/>
    <w:rsid w:val="002A4835"/>
    <w:rsid w:val="002A4FF2"/>
    <w:rsid w:val="002A529C"/>
    <w:rsid w:val="002A52B4"/>
    <w:rsid w:val="002A567D"/>
    <w:rsid w:val="002A5A6A"/>
    <w:rsid w:val="002A5B6F"/>
    <w:rsid w:val="002A5BC5"/>
    <w:rsid w:val="002A5E9A"/>
    <w:rsid w:val="002A5F45"/>
    <w:rsid w:val="002A64DD"/>
    <w:rsid w:val="002A686E"/>
    <w:rsid w:val="002A6BDD"/>
    <w:rsid w:val="002A7198"/>
    <w:rsid w:val="002A7953"/>
    <w:rsid w:val="002A7B7F"/>
    <w:rsid w:val="002A7D3C"/>
    <w:rsid w:val="002B026D"/>
    <w:rsid w:val="002B03EE"/>
    <w:rsid w:val="002B04EB"/>
    <w:rsid w:val="002B165D"/>
    <w:rsid w:val="002B23E7"/>
    <w:rsid w:val="002B2741"/>
    <w:rsid w:val="002B283F"/>
    <w:rsid w:val="002B2BF8"/>
    <w:rsid w:val="002B338E"/>
    <w:rsid w:val="002B34B7"/>
    <w:rsid w:val="002B3D14"/>
    <w:rsid w:val="002B3ED7"/>
    <w:rsid w:val="002B3FB0"/>
    <w:rsid w:val="002B4287"/>
    <w:rsid w:val="002B4418"/>
    <w:rsid w:val="002B4E33"/>
    <w:rsid w:val="002B5434"/>
    <w:rsid w:val="002B5741"/>
    <w:rsid w:val="002B57AD"/>
    <w:rsid w:val="002B6006"/>
    <w:rsid w:val="002B6354"/>
    <w:rsid w:val="002B65C6"/>
    <w:rsid w:val="002B6768"/>
    <w:rsid w:val="002B6F26"/>
    <w:rsid w:val="002B7794"/>
    <w:rsid w:val="002B7A6C"/>
    <w:rsid w:val="002B7BFF"/>
    <w:rsid w:val="002C00D4"/>
    <w:rsid w:val="002C0191"/>
    <w:rsid w:val="002C04C6"/>
    <w:rsid w:val="002C06B5"/>
    <w:rsid w:val="002C092A"/>
    <w:rsid w:val="002C0964"/>
    <w:rsid w:val="002C0BFF"/>
    <w:rsid w:val="002C0C6C"/>
    <w:rsid w:val="002C147D"/>
    <w:rsid w:val="002C16B5"/>
    <w:rsid w:val="002C16F7"/>
    <w:rsid w:val="002C16FE"/>
    <w:rsid w:val="002C1856"/>
    <w:rsid w:val="002C1DC5"/>
    <w:rsid w:val="002C25DC"/>
    <w:rsid w:val="002C27B3"/>
    <w:rsid w:val="002C2884"/>
    <w:rsid w:val="002C2953"/>
    <w:rsid w:val="002C2FA1"/>
    <w:rsid w:val="002C33FA"/>
    <w:rsid w:val="002C38E8"/>
    <w:rsid w:val="002C3A63"/>
    <w:rsid w:val="002C4CF8"/>
    <w:rsid w:val="002C4EA6"/>
    <w:rsid w:val="002C521D"/>
    <w:rsid w:val="002C5686"/>
    <w:rsid w:val="002C5F51"/>
    <w:rsid w:val="002C61D8"/>
    <w:rsid w:val="002C653B"/>
    <w:rsid w:val="002C668C"/>
    <w:rsid w:val="002C6775"/>
    <w:rsid w:val="002C6F15"/>
    <w:rsid w:val="002C710A"/>
    <w:rsid w:val="002C7580"/>
    <w:rsid w:val="002C7C88"/>
    <w:rsid w:val="002CF241"/>
    <w:rsid w:val="002D03D4"/>
    <w:rsid w:val="002D0417"/>
    <w:rsid w:val="002D0433"/>
    <w:rsid w:val="002D0636"/>
    <w:rsid w:val="002D0EC0"/>
    <w:rsid w:val="002D12AB"/>
    <w:rsid w:val="002D17DC"/>
    <w:rsid w:val="002D1BF7"/>
    <w:rsid w:val="002D1D6F"/>
    <w:rsid w:val="002D1F96"/>
    <w:rsid w:val="002D22A5"/>
    <w:rsid w:val="002D23AB"/>
    <w:rsid w:val="002D2870"/>
    <w:rsid w:val="002D2E0E"/>
    <w:rsid w:val="002D2E3D"/>
    <w:rsid w:val="002D2EA4"/>
    <w:rsid w:val="002D2EFB"/>
    <w:rsid w:val="002D31F0"/>
    <w:rsid w:val="002D33AD"/>
    <w:rsid w:val="002D3992"/>
    <w:rsid w:val="002D39E3"/>
    <w:rsid w:val="002D3D51"/>
    <w:rsid w:val="002D4146"/>
    <w:rsid w:val="002D47EE"/>
    <w:rsid w:val="002D48FB"/>
    <w:rsid w:val="002D495A"/>
    <w:rsid w:val="002D5501"/>
    <w:rsid w:val="002D55A4"/>
    <w:rsid w:val="002D5AA9"/>
    <w:rsid w:val="002D5CEA"/>
    <w:rsid w:val="002D5EF0"/>
    <w:rsid w:val="002D5FEA"/>
    <w:rsid w:val="002D644A"/>
    <w:rsid w:val="002D75C3"/>
    <w:rsid w:val="002D7C94"/>
    <w:rsid w:val="002E0AA4"/>
    <w:rsid w:val="002E0E2D"/>
    <w:rsid w:val="002E0FDE"/>
    <w:rsid w:val="002E10BA"/>
    <w:rsid w:val="002E19A7"/>
    <w:rsid w:val="002E1A2D"/>
    <w:rsid w:val="002E20BE"/>
    <w:rsid w:val="002E23F0"/>
    <w:rsid w:val="002E2404"/>
    <w:rsid w:val="002E2478"/>
    <w:rsid w:val="002E27C6"/>
    <w:rsid w:val="002E281D"/>
    <w:rsid w:val="002E29DF"/>
    <w:rsid w:val="002E2DD2"/>
    <w:rsid w:val="002E3035"/>
    <w:rsid w:val="002E364F"/>
    <w:rsid w:val="002E37C9"/>
    <w:rsid w:val="002E3848"/>
    <w:rsid w:val="002E3C07"/>
    <w:rsid w:val="002E3E49"/>
    <w:rsid w:val="002E48D4"/>
    <w:rsid w:val="002E4A43"/>
    <w:rsid w:val="002E4A9B"/>
    <w:rsid w:val="002E4B75"/>
    <w:rsid w:val="002E4DEB"/>
    <w:rsid w:val="002E51DF"/>
    <w:rsid w:val="002E5569"/>
    <w:rsid w:val="002E565B"/>
    <w:rsid w:val="002E5E8B"/>
    <w:rsid w:val="002E6476"/>
    <w:rsid w:val="002E652D"/>
    <w:rsid w:val="002E68BD"/>
    <w:rsid w:val="002E73DC"/>
    <w:rsid w:val="002E78A2"/>
    <w:rsid w:val="002E7CAA"/>
    <w:rsid w:val="002E7F65"/>
    <w:rsid w:val="002F0186"/>
    <w:rsid w:val="002F01DE"/>
    <w:rsid w:val="002F03BD"/>
    <w:rsid w:val="002F070A"/>
    <w:rsid w:val="002F07DD"/>
    <w:rsid w:val="002F0999"/>
    <w:rsid w:val="002F0A24"/>
    <w:rsid w:val="002F0A36"/>
    <w:rsid w:val="002F0E07"/>
    <w:rsid w:val="002F141B"/>
    <w:rsid w:val="002F14CC"/>
    <w:rsid w:val="002F162C"/>
    <w:rsid w:val="002F1891"/>
    <w:rsid w:val="002F1C7F"/>
    <w:rsid w:val="002F1E79"/>
    <w:rsid w:val="002F266B"/>
    <w:rsid w:val="002F26BE"/>
    <w:rsid w:val="002F2A7C"/>
    <w:rsid w:val="002F2AFC"/>
    <w:rsid w:val="002F31F2"/>
    <w:rsid w:val="002F3755"/>
    <w:rsid w:val="002F3DC7"/>
    <w:rsid w:val="002F3DF6"/>
    <w:rsid w:val="002F3E07"/>
    <w:rsid w:val="002F3ED1"/>
    <w:rsid w:val="002F3F9D"/>
    <w:rsid w:val="002F4291"/>
    <w:rsid w:val="002F4B83"/>
    <w:rsid w:val="002F4C1D"/>
    <w:rsid w:val="002F4CD9"/>
    <w:rsid w:val="002F538A"/>
    <w:rsid w:val="002F5397"/>
    <w:rsid w:val="002F5577"/>
    <w:rsid w:val="002F5884"/>
    <w:rsid w:val="002F5FA5"/>
    <w:rsid w:val="002F6038"/>
    <w:rsid w:val="002F60A0"/>
    <w:rsid w:val="002F6546"/>
    <w:rsid w:val="002F66C6"/>
    <w:rsid w:val="002F6829"/>
    <w:rsid w:val="002F6A03"/>
    <w:rsid w:val="002F6B38"/>
    <w:rsid w:val="002F6D53"/>
    <w:rsid w:val="002F6EFC"/>
    <w:rsid w:val="002F76DF"/>
    <w:rsid w:val="002F7745"/>
    <w:rsid w:val="002F7783"/>
    <w:rsid w:val="002F78F3"/>
    <w:rsid w:val="002F7902"/>
    <w:rsid w:val="002F79E1"/>
    <w:rsid w:val="002F7AAA"/>
    <w:rsid w:val="002F7AD6"/>
    <w:rsid w:val="00300395"/>
    <w:rsid w:val="00300685"/>
    <w:rsid w:val="0030076B"/>
    <w:rsid w:val="003008FB"/>
    <w:rsid w:val="00300C05"/>
    <w:rsid w:val="00301388"/>
    <w:rsid w:val="00301B05"/>
    <w:rsid w:val="00301CE1"/>
    <w:rsid w:val="00301DDA"/>
    <w:rsid w:val="0030238F"/>
    <w:rsid w:val="003024AC"/>
    <w:rsid w:val="00302516"/>
    <w:rsid w:val="00302675"/>
    <w:rsid w:val="0030278B"/>
    <w:rsid w:val="00302C8A"/>
    <w:rsid w:val="00303A20"/>
    <w:rsid w:val="00303A90"/>
    <w:rsid w:val="00303C8B"/>
    <w:rsid w:val="00304216"/>
    <w:rsid w:val="003043DE"/>
    <w:rsid w:val="0030467F"/>
    <w:rsid w:val="003046FD"/>
    <w:rsid w:val="00304AE5"/>
    <w:rsid w:val="00304E7E"/>
    <w:rsid w:val="00304EBE"/>
    <w:rsid w:val="00304ECB"/>
    <w:rsid w:val="0030515C"/>
    <w:rsid w:val="00305431"/>
    <w:rsid w:val="003055BC"/>
    <w:rsid w:val="00305963"/>
    <w:rsid w:val="0030599A"/>
    <w:rsid w:val="00305D83"/>
    <w:rsid w:val="00305DB9"/>
    <w:rsid w:val="00305ED4"/>
    <w:rsid w:val="00306069"/>
    <w:rsid w:val="003066B4"/>
    <w:rsid w:val="00306867"/>
    <w:rsid w:val="00306BFB"/>
    <w:rsid w:val="003071D9"/>
    <w:rsid w:val="0030730E"/>
    <w:rsid w:val="003077DA"/>
    <w:rsid w:val="00307999"/>
    <w:rsid w:val="00307A5B"/>
    <w:rsid w:val="00310158"/>
    <w:rsid w:val="00310251"/>
    <w:rsid w:val="0031073C"/>
    <w:rsid w:val="003107F5"/>
    <w:rsid w:val="00311057"/>
    <w:rsid w:val="003111F9"/>
    <w:rsid w:val="00311B3A"/>
    <w:rsid w:val="00311BA1"/>
    <w:rsid w:val="00311E7A"/>
    <w:rsid w:val="00312009"/>
    <w:rsid w:val="003125BB"/>
    <w:rsid w:val="00312A7E"/>
    <w:rsid w:val="00312B54"/>
    <w:rsid w:val="00312B8A"/>
    <w:rsid w:val="00312FEF"/>
    <w:rsid w:val="00314293"/>
    <w:rsid w:val="003144DA"/>
    <w:rsid w:val="00314583"/>
    <w:rsid w:val="00314C54"/>
    <w:rsid w:val="00314D7A"/>
    <w:rsid w:val="00315150"/>
    <w:rsid w:val="00315297"/>
    <w:rsid w:val="00315628"/>
    <w:rsid w:val="00315B7B"/>
    <w:rsid w:val="00315E95"/>
    <w:rsid w:val="00315F30"/>
    <w:rsid w:val="003161F2"/>
    <w:rsid w:val="003164D3"/>
    <w:rsid w:val="00316614"/>
    <w:rsid w:val="003167D9"/>
    <w:rsid w:val="0031681E"/>
    <w:rsid w:val="00316F33"/>
    <w:rsid w:val="00316F8E"/>
    <w:rsid w:val="003175ED"/>
    <w:rsid w:val="003176C8"/>
    <w:rsid w:val="003177E5"/>
    <w:rsid w:val="00317861"/>
    <w:rsid w:val="00317BBC"/>
    <w:rsid w:val="00317D5F"/>
    <w:rsid w:val="0032003A"/>
    <w:rsid w:val="00320067"/>
    <w:rsid w:val="003202F6"/>
    <w:rsid w:val="00320431"/>
    <w:rsid w:val="00320797"/>
    <w:rsid w:val="003207B4"/>
    <w:rsid w:val="00320AE0"/>
    <w:rsid w:val="00320F77"/>
    <w:rsid w:val="003210B8"/>
    <w:rsid w:val="00321101"/>
    <w:rsid w:val="00321759"/>
    <w:rsid w:val="00321897"/>
    <w:rsid w:val="0032196C"/>
    <w:rsid w:val="00321F08"/>
    <w:rsid w:val="00322A33"/>
    <w:rsid w:val="0032371E"/>
    <w:rsid w:val="00323EB0"/>
    <w:rsid w:val="00323FD3"/>
    <w:rsid w:val="00324214"/>
    <w:rsid w:val="00324A48"/>
    <w:rsid w:val="00324ABF"/>
    <w:rsid w:val="0032532E"/>
    <w:rsid w:val="0032560B"/>
    <w:rsid w:val="00325687"/>
    <w:rsid w:val="003256DB"/>
    <w:rsid w:val="0032573E"/>
    <w:rsid w:val="00325B84"/>
    <w:rsid w:val="00325F0D"/>
    <w:rsid w:val="00325F75"/>
    <w:rsid w:val="00326640"/>
    <w:rsid w:val="00326991"/>
    <w:rsid w:val="00326CAE"/>
    <w:rsid w:val="00326CCD"/>
    <w:rsid w:val="00326E3D"/>
    <w:rsid w:val="003276DC"/>
    <w:rsid w:val="00330010"/>
    <w:rsid w:val="003305B1"/>
    <w:rsid w:val="003305EC"/>
    <w:rsid w:val="00330633"/>
    <w:rsid w:val="003306AA"/>
    <w:rsid w:val="00330FDD"/>
    <w:rsid w:val="003314B0"/>
    <w:rsid w:val="00331511"/>
    <w:rsid w:val="00331B7F"/>
    <w:rsid w:val="00331CC3"/>
    <w:rsid w:val="003323EA"/>
    <w:rsid w:val="00332439"/>
    <w:rsid w:val="003324BF"/>
    <w:rsid w:val="003324F9"/>
    <w:rsid w:val="0033283C"/>
    <w:rsid w:val="00332BDD"/>
    <w:rsid w:val="00332C35"/>
    <w:rsid w:val="00332D33"/>
    <w:rsid w:val="0033380C"/>
    <w:rsid w:val="00333FE0"/>
    <w:rsid w:val="0033455C"/>
    <w:rsid w:val="00334A4D"/>
    <w:rsid w:val="00334CAA"/>
    <w:rsid w:val="00334F19"/>
    <w:rsid w:val="00335CF2"/>
    <w:rsid w:val="003362EE"/>
    <w:rsid w:val="003366F8"/>
    <w:rsid w:val="003369C1"/>
    <w:rsid w:val="003369CD"/>
    <w:rsid w:val="00336E91"/>
    <w:rsid w:val="0033719B"/>
    <w:rsid w:val="00337401"/>
    <w:rsid w:val="00337AF6"/>
    <w:rsid w:val="00337AFE"/>
    <w:rsid w:val="003401D8"/>
    <w:rsid w:val="00340573"/>
    <w:rsid w:val="00340BE5"/>
    <w:rsid w:val="00340CF1"/>
    <w:rsid w:val="00340E38"/>
    <w:rsid w:val="003414EF"/>
    <w:rsid w:val="00341810"/>
    <w:rsid w:val="003419FC"/>
    <w:rsid w:val="00341F45"/>
    <w:rsid w:val="00341F9E"/>
    <w:rsid w:val="00342049"/>
    <w:rsid w:val="003424F1"/>
    <w:rsid w:val="00342701"/>
    <w:rsid w:val="003431EA"/>
    <w:rsid w:val="003431F5"/>
    <w:rsid w:val="0034393A"/>
    <w:rsid w:val="003439C6"/>
    <w:rsid w:val="00343A06"/>
    <w:rsid w:val="00343ADD"/>
    <w:rsid w:val="00343E6E"/>
    <w:rsid w:val="00344330"/>
    <w:rsid w:val="003445C3"/>
    <w:rsid w:val="00344B0F"/>
    <w:rsid w:val="00344C8A"/>
    <w:rsid w:val="00344E62"/>
    <w:rsid w:val="003453EB"/>
    <w:rsid w:val="00345413"/>
    <w:rsid w:val="0034552F"/>
    <w:rsid w:val="00345557"/>
    <w:rsid w:val="003455A1"/>
    <w:rsid w:val="00345B1C"/>
    <w:rsid w:val="00345CB9"/>
    <w:rsid w:val="00345F25"/>
    <w:rsid w:val="003461F9"/>
    <w:rsid w:val="0034629C"/>
    <w:rsid w:val="0034634D"/>
    <w:rsid w:val="00346420"/>
    <w:rsid w:val="00346571"/>
    <w:rsid w:val="00346A29"/>
    <w:rsid w:val="00346BAB"/>
    <w:rsid w:val="00346DE6"/>
    <w:rsid w:val="00346F93"/>
    <w:rsid w:val="003470E3"/>
    <w:rsid w:val="0034736F"/>
    <w:rsid w:val="00347399"/>
    <w:rsid w:val="00347413"/>
    <w:rsid w:val="0034745D"/>
    <w:rsid w:val="00347894"/>
    <w:rsid w:val="00347D46"/>
    <w:rsid w:val="00347FD2"/>
    <w:rsid w:val="00350206"/>
    <w:rsid w:val="00350294"/>
    <w:rsid w:val="003502BA"/>
    <w:rsid w:val="0035071E"/>
    <w:rsid w:val="00350F71"/>
    <w:rsid w:val="0035107A"/>
    <w:rsid w:val="00351087"/>
    <w:rsid w:val="0035112A"/>
    <w:rsid w:val="003513D5"/>
    <w:rsid w:val="00351552"/>
    <w:rsid w:val="00351D06"/>
    <w:rsid w:val="00351EB5"/>
    <w:rsid w:val="003522B2"/>
    <w:rsid w:val="003524A8"/>
    <w:rsid w:val="00352601"/>
    <w:rsid w:val="00352E83"/>
    <w:rsid w:val="003532AF"/>
    <w:rsid w:val="00353496"/>
    <w:rsid w:val="00353682"/>
    <w:rsid w:val="00353A3C"/>
    <w:rsid w:val="00353B38"/>
    <w:rsid w:val="00353D42"/>
    <w:rsid w:val="00353D90"/>
    <w:rsid w:val="00354105"/>
    <w:rsid w:val="003542CA"/>
    <w:rsid w:val="0035446A"/>
    <w:rsid w:val="003546D9"/>
    <w:rsid w:val="00354936"/>
    <w:rsid w:val="00354A0C"/>
    <w:rsid w:val="00354DD8"/>
    <w:rsid w:val="00354E84"/>
    <w:rsid w:val="00355020"/>
    <w:rsid w:val="003554EB"/>
    <w:rsid w:val="00355714"/>
    <w:rsid w:val="00355BA3"/>
    <w:rsid w:val="0035609E"/>
    <w:rsid w:val="003562D8"/>
    <w:rsid w:val="00356304"/>
    <w:rsid w:val="0035637E"/>
    <w:rsid w:val="003567DE"/>
    <w:rsid w:val="003568E5"/>
    <w:rsid w:val="003568EA"/>
    <w:rsid w:val="00356CBA"/>
    <w:rsid w:val="003576D7"/>
    <w:rsid w:val="00357791"/>
    <w:rsid w:val="00357878"/>
    <w:rsid w:val="00357EBF"/>
    <w:rsid w:val="00357ECA"/>
    <w:rsid w:val="00360027"/>
    <w:rsid w:val="00360278"/>
    <w:rsid w:val="0036039F"/>
    <w:rsid w:val="0036047B"/>
    <w:rsid w:val="00360FEC"/>
    <w:rsid w:val="00360FF6"/>
    <w:rsid w:val="0036101B"/>
    <w:rsid w:val="00361768"/>
    <w:rsid w:val="00361A1B"/>
    <w:rsid w:val="00361CF2"/>
    <w:rsid w:val="00361D81"/>
    <w:rsid w:val="00361E3B"/>
    <w:rsid w:val="00361F85"/>
    <w:rsid w:val="00362720"/>
    <w:rsid w:val="003628A9"/>
    <w:rsid w:val="0036326A"/>
    <w:rsid w:val="003634A5"/>
    <w:rsid w:val="003634D6"/>
    <w:rsid w:val="003637B1"/>
    <w:rsid w:val="003637DF"/>
    <w:rsid w:val="00363C0E"/>
    <w:rsid w:val="003640B4"/>
    <w:rsid w:val="00364B2B"/>
    <w:rsid w:val="00364B74"/>
    <w:rsid w:val="00364F15"/>
    <w:rsid w:val="0036558D"/>
    <w:rsid w:val="003656FE"/>
    <w:rsid w:val="003659E1"/>
    <w:rsid w:val="00365FE0"/>
    <w:rsid w:val="003660AA"/>
    <w:rsid w:val="003662EF"/>
    <w:rsid w:val="0036640B"/>
    <w:rsid w:val="00366480"/>
    <w:rsid w:val="003664EB"/>
    <w:rsid w:val="00366C79"/>
    <w:rsid w:val="00366F02"/>
    <w:rsid w:val="00366FFF"/>
    <w:rsid w:val="003676B0"/>
    <w:rsid w:val="00367E13"/>
    <w:rsid w:val="00367FE1"/>
    <w:rsid w:val="00370365"/>
    <w:rsid w:val="003703BC"/>
    <w:rsid w:val="003705F7"/>
    <w:rsid w:val="003707AC"/>
    <w:rsid w:val="00370D87"/>
    <w:rsid w:val="00370F43"/>
    <w:rsid w:val="00371151"/>
    <w:rsid w:val="0037121E"/>
    <w:rsid w:val="00371237"/>
    <w:rsid w:val="0037126B"/>
    <w:rsid w:val="00371BFE"/>
    <w:rsid w:val="00372002"/>
    <w:rsid w:val="003722D6"/>
    <w:rsid w:val="003724D8"/>
    <w:rsid w:val="00372651"/>
    <w:rsid w:val="00372706"/>
    <w:rsid w:val="00372A58"/>
    <w:rsid w:val="003734B4"/>
    <w:rsid w:val="0037350C"/>
    <w:rsid w:val="003736C3"/>
    <w:rsid w:val="003738D2"/>
    <w:rsid w:val="00373968"/>
    <w:rsid w:val="00373C6C"/>
    <w:rsid w:val="003745A3"/>
    <w:rsid w:val="003746E8"/>
    <w:rsid w:val="00374C11"/>
    <w:rsid w:val="00374C36"/>
    <w:rsid w:val="00374D23"/>
    <w:rsid w:val="00374FD6"/>
    <w:rsid w:val="003756C7"/>
    <w:rsid w:val="00375784"/>
    <w:rsid w:val="003757F8"/>
    <w:rsid w:val="00375BAD"/>
    <w:rsid w:val="00375EFF"/>
    <w:rsid w:val="003763C1"/>
    <w:rsid w:val="0037658E"/>
    <w:rsid w:val="0037681F"/>
    <w:rsid w:val="00376835"/>
    <w:rsid w:val="00376951"/>
    <w:rsid w:val="00376FBA"/>
    <w:rsid w:val="003771A9"/>
    <w:rsid w:val="00377472"/>
    <w:rsid w:val="003775EE"/>
    <w:rsid w:val="00377992"/>
    <w:rsid w:val="00377999"/>
    <w:rsid w:val="00377D10"/>
    <w:rsid w:val="00377E9D"/>
    <w:rsid w:val="0038041E"/>
    <w:rsid w:val="00380528"/>
    <w:rsid w:val="00380DFA"/>
    <w:rsid w:val="003810D7"/>
    <w:rsid w:val="00381562"/>
    <w:rsid w:val="0038186D"/>
    <w:rsid w:val="00381CEC"/>
    <w:rsid w:val="00382682"/>
    <w:rsid w:val="00382703"/>
    <w:rsid w:val="00382A78"/>
    <w:rsid w:val="00382B3C"/>
    <w:rsid w:val="00382F4A"/>
    <w:rsid w:val="00382FF0"/>
    <w:rsid w:val="003830D0"/>
    <w:rsid w:val="003832EC"/>
    <w:rsid w:val="0038375C"/>
    <w:rsid w:val="00384199"/>
    <w:rsid w:val="0038592E"/>
    <w:rsid w:val="003859F7"/>
    <w:rsid w:val="00385A1A"/>
    <w:rsid w:val="00385D4F"/>
    <w:rsid w:val="00385E8E"/>
    <w:rsid w:val="00386055"/>
    <w:rsid w:val="003860E7"/>
    <w:rsid w:val="0038632D"/>
    <w:rsid w:val="003864CE"/>
    <w:rsid w:val="00386FE1"/>
    <w:rsid w:val="0038722B"/>
    <w:rsid w:val="0038752B"/>
    <w:rsid w:val="0038757B"/>
    <w:rsid w:val="00387774"/>
    <w:rsid w:val="00387B15"/>
    <w:rsid w:val="00387D12"/>
    <w:rsid w:val="0039026A"/>
    <w:rsid w:val="00390373"/>
    <w:rsid w:val="003905FF"/>
    <w:rsid w:val="00390738"/>
    <w:rsid w:val="00390B1A"/>
    <w:rsid w:val="00390B6C"/>
    <w:rsid w:val="003911CA"/>
    <w:rsid w:val="00391B17"/>
    <w:rsid w:val="00391D73"/>
    <w:rsid w:val="00391DE8"/>
    <w:rsid w:val="0039212B"/>
    <w:rsid w:val="0039212D"/>
    <w:rsid w:val="0039230D"/>
    <w:rsid w:val="00392A6E"/>
    <w:rsid w:val="00392E99"/>
    <w:rsid w:val="00393338"/>
    <w:rsid w:val="00393393"/>
    <w:rsid w:val="003936EC"/>
    <w:rsid w:val="00393BB9"/>
    <w:rsid w:val="00393CE1"/>
    <w:rsid w:val="00393EA4"/>
    <w:rsid w:val="00393FA0"/>
    <w:rsid w:val="00394129"/>
    <w:rsid w:val="00394261"/>
    <w:rsid w:val="0039430A"/>
    <w:rsid w:val="0039495E"/>
    <w:rsid w:val="0039557A"/>
    <w:rsid w:val="0039589A"/>
    <w:rsid w:val="003958F7"/>
    <w:rsid w:val="0039592E"/>
    <w:rsid w:val="00395A1E"/>
    <w:rsid w:val="00395E8E"/>
    <w:rsid w:val="003963D5"/>
    <w:rsid w:val="00396BFF"/>
    <w:rsid w:val="00396DF8"/>
    <w:rsid w:val="00396DF9"/>
    <w:rsid w:val="00396FD5"/>
    <w:rsid w:val="003974D2"/>
    <w:rsid w:val="00397518"/>
    <w:rsid w:val="0039782E"/>
    <w:rsid w:val="00397A61"/>
    <w:rsid w:val="00397AA3"/>
    <w:rsid w:val="003A021B"/>
    <w:rsid w:val="003A0621"/>
    <w:rsid w:val="003A06B9"/>
    <w:rsid w:val="003A0A5E"/>
    <w:rsid w:val="003A0A87"/>
    <w:rsid w:val="003A0B8A"/>
    <w:rsid w:val="003A0DB7"/>
    <w:rsid w:val="003A14EF"/>
    <w:rsid w:val="003A1500"/>
    <w:rsid w:val="003A1564"/>
    <w:rsid w:val="003A1926"/>
    <w:rsid w:val="003A2065"/>
    <w:rsid w:val="003A20B0"/>
    <w:rsid w:val="003A2843"/>
    <w:rsid w:val="003A2C27"/>
    <w:rsid w:val="003A2DA5"/>
    <w:rsid w:val="003A2DA6"/>
    <w:rsid w:val="003A3036"/>
    <w:rsid w:val="003A33A6"/>
    <w:rsid w:val="003A35C6"/>
    <w:rsid w:val="003A4136"/>
    <w:rsid w:val="003A441B"/>
    <w:rsid w:val="003A4494"/>
    <w:rsid w:val="003A4605"/>
    <w:rsid w:val="003A47FD"/>
    <w:rsid w:val="003A4989"/>
    <w:rsid w:val="003A4C4B"/>
    <w:rsid w:val="003A4D59"/>
    <w:rsid w:val="003A522D"/>
    <w:rsid w:val="003A534E"/>
    <w:rsid w:val="003A5607"/>
    <w:rsid w:val="003A5622"/>
    <w:rsid w:val="003A5891"/>
    <w:rsid w:val="003A5D30"/>
    <w:rsid w:val="003A6084"/>
    <w:rsid w:val="003A627E"/>
    <w:rsid w:val="003A6958"/>
    <w:rsid w:val="003A6A47"/>
    <w:rsid w:val="003A6F39"/>
    <w:rsid w:val="003A724A"/>
    <w:rsid w:val="003A7CAB"/>
    <w:rsid w:val="003A7D66"/>
    <w:rsid w:val="003A7E93"/>
    <w:rsid w:val="003B0066"/>
    <w:rsid w:val="003B0BF7"/>
    <w:rsid w:val="003B132A"/>
    <w:rsid w:val="003B145D"/>
    <w:rsid w:val="003B14F4"/>
    <w:rsid w:val="003B1556"/>
    <w:rsid w:val="003B1A28"/>
    <w:rsid w:val="003B1B0F"/>
    <w:rsid w:val="003B1E9F"/>
    <w:rsid w:val="003B242D"/>
    <w:rsid w:val="003B2627"/>
    <w:rsid w:val="003B2CFA"/>
    <w:rsid w:val="003B303F"/>
    <w:rsid w:val="003B3A3F"/>
    <w:rsid w:val="003B478D"/>
    <w:rsid w:val="003B4B30"/>
    <w:rsid w:val="003B54A6"/>
    <w:rsid w:val="003B5780"/>
    <w:rsid w:val="003B66E8"/>
    <w:rsid w:val="003B682F"/>
    <w:rsid w:val="003B6AD8"/>
    <w:rsid w:val="003B6FC8"/>
    <w:rsid w:val="003B7059"/>
    <w:rsid w:val="003B7656"/>
    <w:rsid w:val="003B76DF"/>
    <w:rsid w:val="003B7ABB"/>
    <w:rsid w:val="003B7B87"/>
    <w:rsid w:val="003B7D9C"/>
    <w:rsid w:val="003B7E2D"/>
    <w:rsid w:val="003B7FE3"/>
    <w:rsid w:val="003C006C"/>
    <w:rsid w:val="003C08DD"/>
    <w:rsid w:val="003C08EA"/>
    <w:rsid w:val="003C0B25"/>
    <w:rsid w:val="003C0C33"/>
    <w:rsid w:val="003C0D4D"/>
    <w:rsid w:val="003C0FB2"/>
    <w:rsid w:val="003C152B"/>
    <w:rsid w:val="003C1843"/>
    <w:rsid w:val="003C1CE1"/>
    <w:rsid w:val="003C1DCC"/>
    <w:rsid w:val="003C22D5"/>
    <w:rsid w:val="003C2469"/>
    <w:rsid w:val="003C25CD"/>
    <w:rsid w:val="003C2CEA"/>
    <w:rsid w:val="003C3218"/>
    <w:rsid w:val="003C35D3"/>
    <w:rsid w:val="003C3955"/>
    <w:rsid w:val="003C3B42"/>
    <w:rsid w:val="003C3CBC"/>
    <w:rsid w:val="003C3D50"/>
    <w:rsid w:val="003C3F67"/>
    <w:rsid w:val="003C4171"/>
    <w:rsid w:val="003C497F"/>
    <w:rsid w:val="003C4C92"/>
    <w:rsid w:val="003C50F3"/>
    <w:rsid w:val="003C5E15"/>
    <w:rsid w:val="003C6519"/>
    <w:rsid w:val="003C69B6"/>
    <w:rsid w:val="003C69C6"/>
    <w:rsid w:val="003C69CF"/>
    <w:rsid w:val="003C6BB2"/>
    <w:rsid w:val="003C6CC5"/>
    <w:rsid w:val="003C6EEF"/>
    <w:rsid w:val="003C70AB"/>
    <w:rsid w:val="003C717A"/>
    <w:rsid w:val="003C73ED"/>
    <w:rsid w:val="003C7657"/>
    <w:rsid w:val="003C783A"/>
    <w:rsid w:val="003C7910"/>
    <w:rsid w:val="003D0357"/>
    <w:rsid w:val="003D08D3"/>
    <w:rsid w:val="003D1088"/>
    <w:rsid w:val="003D124C"/>
    <w:rsid w:val="003D1522"/>
    <w:rsid w:val="003D1677"/>
    <w:rsid w:val="003D1DD0"/>
    <w:rsid w:val="003D2177"/>
    <w:rsid w:val="003D21F9"/>
    <w:rsid w:val="003D2481"/>
    <w:rsid w:val="003D28A4"/>
    <w:rsid w:val="003D2A84"/>
    <w:rsid w:val="003D2BB6"/>
    <w:rsid w:val="003D2C24"/>
    <w:rsid w:val="003D32BC"/>
    <w:rsid w:val="003D38CA"/>
    <w:rsid w:val="003D3D71"/>
    <w:rsid w:val="003D3FB2"/>
    <w:rsid w:val="003D4750"/>
    <w:rsid w:val="003D4A2B"/>
    <w:rsid w:val="003D4ED9"/>
    <w:rsid w:val="003D521F"/>
    <w:rsid w:val="003D5478"/>
    <w:rsid w:val="003D54DC"/>
    <w:rsid w:val="003D5AEB"/>
    <w:rsid w:val="003D66DF"/>
    <w:rsid w:val="003D6973"/>
    <w:rsid w:val="003D7704"/>
    <w:rsid w:val="003D7A9B"/>
    <w:rsid w:val="003E01A3"/>
    <w:rsid w:val="003E0450"/>
    <w:rsid w:val="003E07CC"/>
    <w:rsid w:val="003E0ED0"/>
    <w:rsid w:val="003E11D5"/>
    <w:rsid w:val="003E1375"/>
    <w:rsid w:val="003E1457"/>
    <w:rsid w:val="003E1A3F"/>
    <w:rsid w:val="003E1F77"/>
    <w:rsid w:val="003E2585"/>
    <w:rsid w:val="003E2DAF"/>
    <w:rsid w:val="003E3693"/>
    <w:rsid w:val="003E36F6"/>
    <w:rsid w:val="003E3899"/>
    <w:rsid w:val="003E391C"/>
    <w:rsid w:val="003E3A81"/>
    <w:rsid w:val="003E3CA8"/>
    <w:rsid w:val="003E3E1D"/>
    <w:rsid w:val="003E4635"/>
    <w:rsid w:val="003E573A"/>
    <w:rsid w:val="003E57AD"/>
    <w:rsid w:val="003E5B1E"/>
    <w:rsid w:val="003E5C08"/>
    <w:rsid w:val="003E5C18"/>
    <w:rsid w:val="003E5D61"/>
    <w:rsid w:val="003E6C1D"/>
    <w:rsid w:val="003E6E91"/>
    <w:rsid w:val="003E7011"/>
    <w:rsid w:val="003E7101"/>
    <w:rsid w:val="003E7750"/>
    <w:rsid w:val="003E7A6A"/>
    <w:rsid w:val="003E7B2A"/>
    <w:rsid w:val="003F06B3"/>
    <w:rsid w:val="003F0707"/>
    <w:rsid w:val="003F0935"/>
    <w:rsid w:val="003F0DD9"/>
    <w:rsid w:val="003F1633"/>
    <w:rsid w:val="003F191E"/>
    <w:rsid w:val="003F268B"/>
    <w:rsid w:val="003F2B88"/>
    <w:rsid w:val="003F2D05"/>
    <w:rsid w:val="003F2DC7"/>
    <w:rsid w:val="003F3141"/>
    <w:rsid w:val="003F3405"/>
    <w:rsid w:val="003F3BA6"/>
    <w:rsid w:val="003F3C1D"/>
    <w:rsid w:val="003F3D55"/>
    <w:rsid w:val="003F3E3E"/>
    <w:rsid w:val="003F41BA"/>
    <w:rsid w:val="003F4290"/>
    <w:rsid w:val="003F4671"/>
    <w:rsid w:val="003F4759"/>
    <w:rsid w:val="003F4A28"/>
    <w:rsid w:val="003F4DAC"/>
    <w:rsid w:val="003F4EC9"/>
    <w:rsid w:val="003F51DE"/>
    <w:rsid w:val="003F54ED"/>
    <w:rsid w:val="003F5644"/>
    <w:rsid w:val="003F56D8"/>
    <w:rsid w:val="003F580F"/>
    <w:rsid w:val="003F590C"/>
    <w:rsid w:val="003F6655"/>
    <w:rsid w:val="003F6971"/>
    <w:rsid w:val="003F6AC1"/>
    <w:rsid w:val="003F6CBA"/>
    <w:rsid w:val="003F6CEE"/>
    <w:rsid w:val="003F6D1C"/>
    <w:rsid w:val="003F6DA3"/>
    <w:rsid w:val="003F6EAC"/>
    <w:rsid w:val="003F6F18"/>
    <w:rsid w:val="003F6F82"/>
    <w:rsid w:val="003F700C"/>
    <w:rsid w:val="003F75D8"/>
    <w:rsid w:val="003F7997"/>
    <w:rsid w:val="0040006B"/>
    <w:rsid w:val="00400196"/>
    <w:rsid w:val="004009A1"/>
    <w:rsid w:val="00400C50"/>
    <w:rsid w:val="00401967"/>
    <w:rsid w:val="00401A38"/>
    <w:rsid w:val="00401B44"/>
    <w:rsid w:val="00401C0C"/>
    <w:rsid w:val="00401DCE"/>
    <w:rsid w:val="004026AC"/>
    <w:rsid w:val="0040285E"/>
    <w:rsid w:val="004028BF"/>
    <w:rsid w:val="00403060"/>
    <w:rsid w:val="004032B5"/>
    <w:rsid w:val="004032DE"/>
    <w:rsid w:val="00403539"/>
    <w:rsid w:val="00403585"/>
    <w:rsid w:val="004036F0"/>
    <w:rsid w:val="00403857"/>
    <w:rsid w:val="0040396D"/>
    <w:rsid w:val="00404A7E"/>
    <w:rsid w:val="00404D32"/>
    <w:rsid w:val="00405442"/>
    <w:rsid w:val="004054D8"/>
    <w:rsid w:val="00405907"/>
    <w:rsid w:val="004059F8"/>
    <w:rsid w:val="00405A68"/>
    <w:rsid w:val="00405E22"/>
    <w:rsid w:val="00405FFD"/>
    <w:rsid w:val="004060A3"/>
    <w:rsid w:val="00406269"/>
    <w:rsid w:val="0040632D"/>
    <w:rsid w:val="004068AF"/>
    <w:rsid w:val="00406A3D"/>
    <w:rsid w:val="00406B31"/>
    <w:rsid w:val="00406D7E"/>
    <w:rsid w:val="004071F6"/>
    <w:rsid w:val="00407797"/>
    <w:rsid w:val="00407927"/>
    <w:rsid w:val="00407B35"/>
    <w:rsid w:val="00407D93"/>
    <w:rsid w:val="00407E42"/>
    <w:rsid w:val="00407E79"/>
    <w:rsid w:val="0041055A"/>
    <w:rsid w:val="004105F1"/>
    <w:rsid w:val="00410678"/>
    <w:rsid w:val="00410729"/>
    <w:rsid w:val="0041082D"/>
    <w:rsid w:val="0041109C"/>
    <w:rsid w:val="004111F6"/>
    <w:rsid w:val="004114A3"/>
    <w:rsid w:val="00411C70"/>
    <w:rsid w:val="004124BA"/>
    <w:rsid w:val="00412548"/>
    <w:rsid w:val="0041258F"/>
    <w:rsid w:val="004126AF"/>
    <w:rsid w:val="004126E1"/>
    <w:rsid w:val="004129CE"/>
    <w:rsid w:val="00412A33"/>
    <w:rsid w:val="00412C49"/>
    <w:rsid w:val="0041302D"/>
    <w:rsid w:val="0041339F"/>
    <w:rsid w:val="004133B9"/>
    <w:rsid w:val="00413644"/>
    <w:rsid w:val="00413ACE"/>
    <w:rsid w:val="00413CFA"/>
    <w:rsid w:val="004141F4"/>
    <w:rsid w:val="0041423E"/>
    <w:rsid w:val="00414302"/>
    <w:rsid w:val="004143C1"/>
    <w:rsid w:val="00414468"/>
    <w:rsid w:val="00414917"/>
    <w:rsid w:val="004149C0"/>
    <w:rsid w:val="004153CA"/>
    <w:rsid w:val="00415498"/>
    <w:rsid w:val="00415C37"/>
    <w:rsid w:val="00416069"/>
    <w:rsid w:val="00416258"/>
    <w:rsid w:val="00416522"/>
    <w:rsid w:val="004168C3"/>
    <w:rsid w:val="00416BD2"/>
    <w:rsid w:val="00417205"/>
    <w:rsid w:val="004175A7"/>
    <w:rsid w:val="004176EA"/>
    <w:rsid w:val="00417B45"/>
    <w:rsid w:val="00417BF8"/>
    <w:rsid w:val="00417CB1"/>
    <w:rsid w:val="004203A7"/>
    <w:rsid w:val="00420E7B"/>
    <w:rsid w:val="00420EC0"/>
    <w:rsid w:val="004212D3"/>
    <w:rsid w:val="0042155E"/>
    <w:rsid w:val="00421E26"/>
    <w:rsid w:val="00421F6A"/>
    <w:rsid w:val="004221E7"/>
    <w:rsid w:val="00422250"/>
    <w:rsid w:val="00422277"/>
    <w:rsid w:val="004223B7"/>
    <w:rsid w:val="00422555"/>
    <w:rsid w:val="0042260B"/>
    <w:rsid w:val="00422935"/>
    <w:rsid w:val="00422B01"/>
    <w:rsid w:val="00422BCD"/>
    <w:rsid w:val="004232B0"/>
    <w:rsid w:val="004234F0"/>
    <w:rsid w:val="00423C23"/>
    <w:rsid w:val="00423C64"/>
    <w:rsid w:val="00423D8C"/>
    <w:rsid w:val="00423DB2"/>
    <w:rsid w:val="00423F64"/>
    <w:rsid w:val="00423F71"/>
    <w:rsid w:val="004243B6"/>
    <w:rsid w:val="00424B49"/>
    <w:rsid w:val="00424BE8"/>
    <w:rsid w:val="00424C65"/>
    <w:rsid w:val="00424E88"/>
    <w:rsid w:val="00424EC0"/>
    <w:rsid w:val="00424F0C"/>
    <w:rsid w:val="0042578F"/>
    <w:rsid w:val="00425791"/>
    <w:rsid w:val="004258F1"/>
    <w:rsid w:val="00425C5F"/>
    <w:rsid w:val="00425DDF"/>
    <w:rsid w:val="00425E7E"/>
    <w:rsid w:val="00426392"/>
    <w:rsid w:val="00426548"/>
    <w:rsid w:val="00426898"/>
    <w:rsid w:val="00426C11"/>
    <w:rsid w:val="00426C40"/>
    <w:rsid w:val="00426EA3"/>
    <w:rsid w:val="00426EF1"/>
    <w:rsid w:val="0042700F"/>
    <w:rsid w:val="0042745C"/>
    <w:rsid w:val="00427572"/>
    <w:rsid w:val="0042792F"/>
    <w:rsid w:val="00427A24"/>
    <w:rsid w:val="0043010F"/>
    <w:rsid w:val="004301B4"/>
    <w:rsid w:val="00430366"/>
    <w:rsid w:val="004304E4"/>
    <w:rsid w:val="00430C0A"/>
    <w:rsid w:val="00430F37"/>
    <w:rsid w:val="004310AB"/>
    <w:rsid w:val="004312B3"/>
    <w:rsid w:val="00431340"/>
    <w:rsid w:val="00431501"/>
    <w:rsid w:val="004315AB"/>
    <w:rsid w:val="004316EA"/>
    <w:rsid w:val="00431913"/>
    <w:rsid w:val="00431B5A"/>
    <w:rsid w:val="00431E50"/>
    <w:rsid w:val="0043252B"/>
    <w:rsid w:val="00432E3B"/>
    <w:rsid w:val="004330D7"/>
    <w:rsid w:val="00433386"/>
    <w:rsid w:val="0043339C"/>
    <w:rsid w:val="00433D5A"/>
    <w:rsid w:val="004344E5"/>
    <w:rsid w:val="004345AB"/>
    <w:rsid w:val="0043482F"/>
    <w:rsid w:val="00435280"/>
    <w:rsid w:val="00435291"/>
    <w:rsid w:val="00435542"/>
    <w:rsid w:val="00435607"/>
    <w:rsid w:val="0043594F"/>
    <w:rsid w:val="00435C6B"/>
    <w:rsid w:val="00435C80"/>
    <w:rsid w:val="00435C9E"/>
    <w:rsid w:val="00435CBF"/>
    <w:rsid w:val="00435EC3"/>
    <w:rsid w:val="00435EE1"/>
    <w:rsid w:val="00436220"/>
    <w:rsid w:val="00436377"/>
    <w:rsid w:val="004367A4"/>
    <w:rsid w:val="00436882"/>
    <w:rsid w:val="004369E4"/>
    <w:rsid w:val="00436B92"/>
    <w:rsid w:val="00436CA6"/>
    <w:rsid w:val="00436E13"/>
    <w:rsid w:val="00437214"/>
    <w:rsid w:val="00437278"/>
    <w:rsid w:val="004379DE"/>
    <w:rsid w:val="0044021F"/>
    <w:rsid w:val="00440681"/>
    <w:rsid w:val="00440DA9"/>
    <w:rsid w:val="00440DCE"/>
    <w:rsid w:val="004415BA"/>
    <w:rsid w:val="00441795"/>
    <w:rsid w:val="0044195E"/>
    <w:rsid w:val="00441AD4"/>
    <w:rsid w:val="00441B47"/>
    <w:rsid w:val="00441E46"/>
    <w:rsid w:val="004425F7"/>
    <w:rsid w:val="00442D1D"/>
    <w:rsid w:val="00442E32"/>
    <w:rsid w:val="00442EA9"/>
    <w:rsid w:val="00443248"/>
    <w:rsid w:val="00443453"/>
    <w:rsid w:val="004436AC"/>
    <w:rsid w:val="00443755"/>
    <w:rsid w:val="004439F6"/>
    <w:rsid w:val="00443B76"/>
    <w:rsid w:val="00443DD5"/>
    <w:rsid w:val="00444603"/>
    <w:rsid w:val="0044478E"/>
    <w:rsid w:val="004447DC"/>
    <w:rsid w:val="00444F9B"/>
    <w:rsid w:val="0044507A"/>
    <w:rsid w:val="004453BE"/>
    <w:rsid w:val="004454D5"/>
    <w:rsid w:val="0044566C"/>
    <w:rsid w:val="00445A7D"/>
    <w:rsid w:val="00445CFA"/>
    <w:rsid w:val="00445D84"/>
    <w:rsid w:val="004461FF"/>
    <w:rsid w:val="004468FE"/>
    <w:rsid w:val="004475CC"/>
    <w:rsid w:val="0044765D"/>
    <w:rsid w:val="00447806"/>
    <w:rsid w:val="00447808"/>
    <w:rsid w:val="0044782E"/>
    <w:rsid w:val="00447CFD"/>
    <w:rsid w:val="00450346"/>
    <w:rsid w:val="0045046D"/>
    <w:rsid w:val="00451383"/>
    <w:rsid w:val="0045172D"/>
    <w:rsid w:val="00451A8A"/>
    <w:rsid w:val="00451DB9"/>
    <w:rsid w:val="00451EAE"/>
    <w:rsid w:val="0045212B"/>
    <w:rsid w:val="004521F0"/>
    <w:rsid w:val="0045232B"/>
    <w:rsid w:val="004525CC"/>
    <w:rsid w:val="00452BF9"/>
    <w:rsid w:val="004536F0"/>
    <w:rsid w:val="004538CC"/>
    <w:rsid w:val="00453B2C"/>
    <w:rsid w:val="00453B2F"/>
    <w:rsid w:val="00453F4A"/>
    <w:rsid w:val="0045417D"/>
    <w:rsid w:val="004543BE"/>
    <w:rsid w:val="004545AC"/>
    <w:rsid w:val="00454689"/>
    <w:rsid w:val="004546C4"/>
    <w:rsid w:val="0045484A"/>
    <w:rsid w:val="00454956"/>
    <w:rsid w:val="00454D32"/>
    <w:rsid w:val="0045532F"/>
    <w:rsid w:val="004553F9"/>
    <w:rsid w:val="004554BE"/>
    <w:rsid w:val="00455680"/>
    <w:rsid w:val="00456E58"/>
    <w:rsid w:val="00457829"/>
    <w:rsid w:val="004578C8"/>
    <w:rsid w:val="004578D0"/>
    <w:rsid w:val="00457933"/>
    <w:rsid w:val="004579C7"/>
    <w:rsid w:val="00457AF1"/>
    <w:rsid w:val="00460070"/>
    <w:rsid w:val="00460216"/>
    <w:rsid w:val="0046037D"/>
    <w:rsid w:val="004603CA"/>
    <w:rsid w:val="004604FA"/>
    <w:rsid w:val="00461036"/>
    <w:rsid w:val="004611E5"/>
    <w:rsid w:val="0046120D"/>
    <w:rsid w:val="00461237"/>
    <w:rsid w:val="0046125A"/>
    <w:rsid w:val="00461F77"/>
    <w:rsid w:val="004620F7"/>
    <w:rsid w:val="0046263F"/>
    <w:rsid w:val="004627A8"/>
    <w:rsid w:val="00462B34"/>
    <w:rsid w:val="00462DA0"/>
    <w:rsid w:val="00462EA7"/>
    <w:rsid w:val="004633E7"/>
    <w:rsid w:val="0046356C"/>
    <w:rsid w:val="00465258"/>
    <w:rsid w:val="004659A3"/>
    <w:rsid w:val="00465A83"/>
    <w:rsid w:val="00466059"/>
    <w:rsid w:val="00466089"/>
    <w:rsid w:val="004662E6"/>
    <w:rsid w:val="004663B2"/>
    <w:rsid w:val="0046677B"/>
    <w:rsid w:val="00466E76"/>
    <w:rsid w:val="00466EFE"/>
    <w:rsid w:val="0046753C"/>
    <w:rsid w:val="004677AA"/>
    <w:rsid w:val="00467AF4"/>
    <w:rsid w:val="00467C68"/>
    <w:rsid w:val="00467E3A"/>
    <w:rsid w:val="00470550"/>
    <w:rsid w:val="0047174D"/>
    <w:rsid w:val="004717E5"/>
    <w:rsid w:val="004717E9"/>
    <w:rsid w:val="00471A94"/>
    <w:rsid w:val="00471B56"/>
    <w:rsid w:val="00471B9F"/>
    <w:rsid w:val="00472040"/>
    <w:rsid w:val="004729E7"/>
    <w:rsid w:val="00472AEE"/>
    <w:rsid w:val="00472B26"/>
    <w:rsid w:val="0047334B"/>
    <w:rsid w:val="00473560"/>
    <w:rsid w:val="00473D07"/>
    <w:rsid w:val="00473DFD"/>
    <w:rsid w:val="00474066"/>
    <w:rsid w:val="0047437E"/>
    <w:rsid w:val="004743E2"/>
    <w:rsid w:val="004744FD"/>
    <w:rsid w:val="00474671"/>
    <w:rsid w:val="00474FF6"/>
    <w:rsid w:val="0047561F"/>
    <w:rsid w:val="00475D8D"/>
    <w:rsid w:val="00475E77"/>
    <w:rsid w:val="004762DA"/>
    <w:rsid w:val="004765A1"/>
    <w:rsid w:val="004772DC"/>
    <w:rsid w:val="00477568"/>
    <w:rsid w:val="00477630"/>
    <w:rsid w:val="00477A25"/>
    <w:rsid w:val="00477BDD"/>
    <w:rsid w:val="00477BF4"/>
    <w:rsid w:val="00477D0B"/>
    <w:rsid w:val="0048039B"/>
    <w:rsid w:val="004805D6"/>
    <w:rsid w:val="00480683"/>
    <w:rsid w:val="00480768"/>
    <w:rsid w:val="00480EF0"/>
    <w:rsid w:val="00481442"/>
    <w:rsid w:val="00481582"/>
    <w:rsid w:val="00481A6B"/>
    <w:rsid w:val="00481F19"/>
    <w:rsid w:val="0048233D"/>
    <w:rsid w:val="0048283E"/>
    <w:rsid w:val="004828F4"/>
    <w:rsid w:val="00482D72"/>
    <w:rsid w:val="00483146"/>
    <w:rsid w:val="004834A8"/>
    <w:rsid w:val="00483D9F"/>
    <w:rsid w:val="004840DF"/>
    <w:rsid w:val="0048416F"/>
    <w:rsid w:val="004841C1"/>
    <w:rsid w:val="004853E8"/>
    <w:rsid w:val="00485782"/>
    <w:rsid w:val="0048585A"/>
    <w:rsid w:val="004858A8"/>
    <w:rsid w:val="00485E1B"/>
    <w:rsid w:val="00485FAA"/>
    <w:rsid w:val="00486153"/>
    <w:rsid w:val="00486364"/>
    <w:rsid w:val="0048657E"/>
    <w:rsid w:val="004865AC"/>
    <w:rsid w:val="00486665"/>
    <w:rsid w:val="00486897"/>
    <w:rsid w:val="00486967"/>
    <w:rsid w:val="00486DC4"/>
    <w:rsid w:val="00487A9F"/>
    <w:rsid w:val="00490431"/>
    <w:rsid w:val="00490548"/>
    <w:rsid w:val="00490CAF"/>
    <w:rsid w:val="00491515"/>
    <w:rsid w:val="00491989"/>
    <w:rsid w:val="00491B67"/>
    <w:rsid w:val="00491C1A"/>
    <w:rsid w:val="00492535"/>
    <w:rsid w:val="004925BE"/>
    <w:rsid w:val="00492673"/>
    <w:rsid w:val="004927AB"/>
    <w:rsid w:val="00492B04"/>
    <w:rsid w:val="00492BB5"/>
    <w:rsid w:val="00493196"/>
    <w:rsid w:val="00493387"/>
    <w:rsid w:val="00493606"/>
    <w:rsid w:val="00493786"/>
    <w:rsid w:val="004938B6"/>
    <w:rsid w:val="004938DF"/>
    <w:rsid w:val="00493A85"/>
    <w:rsid w:val="00493CC5"/>
    <w:rsid w:val="004945FC"/>
    <w:rsid w:val="00494DED"/>
    <w:rsid w:val="004950E9"/>
    <w:rsid w:val="00495380"/>
    <w:rsid w:val="004953E6"/>
    <w:rsid w:val="0049570C"/>
    <w:rsid w:val="0049613D"/>
    <w:rsid w:val="0049626A"/>
    <w:rsid w:val="004964DD"/>
    <w:rsid w:val="0049676B"/>
    <w:rsid w:val="0049683A"/>
    <w:rsid w:val="00496995"/>
    <w:rsid w:val="00496E5B"/>
    <w:rsid w:val="00496EA6"/>
    <w:rsid w:val="00496F61"/>
    <w:rsid w:val="004972C9"/>
    <w:rsid w:val="004979CB"/>
    <w:rsid w:val="00497CE0"/>
    <w:rsid w:val="00497E2B"/>
    <w:rsid w:val="004A0598"/>
    <w:rsid w:val="004A1464"/>
    <w:rsid w:val="004A1917"/>
    <w:rsid w:val="004A1BE6"/>
    <w:rsid w:val="004A21A2"/>
    <w:rsid w:val="004A239C"/>
    <w:rsid w:val="004A2411"/>
    <w:rsid w:val="004A2503"/>
    <w:rsid w:val="004A25F0"/>
    <w:rsid w:val="004A2735"/>
    <w:rsid w:val="004A2AF8"/>
    <w:rsid w:val="004A2B31"/>
    <w:rsid w:val="004A2C8E"/>
    <w:rsid w:val="004A30D8"/>
    <w:rsid w:val="004A3129"/>
    <w:rsid w:val="004A348F"/>
    <w:rsid w:val="004A3BA2"/>
    <w:rsid w:val="004A5842"/>
    <w:rsid w:val="004A5FCE"/>
    <w:rsid w:val="004A660D"/>
    <w:rsid w:val="004A6884"/>
    <w:rsid w:val="004A6CD3"/>
    <w:rsid w:val="004A6ED2"/>
    <w:rsid w:val="004A74D3"/>
    <w:rsid w:val="004A7A16"/>
    <w:rsid w:val="004B0160"/>
    <w:rsid w:val="004B074F"/>
    <w:rsid w:val="004B0A0F"/>
    <w:rsid w:val="004B0EF0"/>
    <w:rsid w:val="004B1049"/>
    <w:rsid w:val="004B106D"/>
    <w:rsid w:val="004B11C4"/>
    <w:rsid w:val="004B1222"/>
    <w:rsid w:val="004B12D1"/>
    <w:rsid w:val="004B192B"/>
    <w:rsid w:val="004B1D88"/>
    <w:rsid w:val="004B1FAB"/>
    <w:rsid w:val="004B2307"/>
    <w:rsid w:val="004B26E1"/>
    <w:rsid w:val="004B2D96"/>
    <w:rsid w:val="004B3BAA"/>
    <w:rsid w:val="004B3E3B"/>
    <w:rsid w:val="004B4092"/>
    <w:rsid w:val="004B4120"/>
    <w:rsid w:val="004B430C"/>
    <w:rsid w:val="004B472A"/>
    <w:rsid w:val="004B483C"/>
    <w:rsid w:val="004B538C"/>
    <w:rsid w:val="004B54D0"/>
    <w:rsid w:val="004B56BB"/>
    <w:rsid w:val="004B5A01"/>
    <w:rsid w:val="004B5B3F"/>
    <w:rsid w:val="004B6043"/>
    <w:rsid w:val="004B6321"/>
    <w:rsid w:val="004B72E6"/>
    <w:rsid w:val="004B7571"/>
    <w:rsid w:val="004B77D5"/>
    <w:rsid w:val="004B78D0"/>
    <w:rsid w:val="004B7CF0"/>
    <w:rsid w:val="004C0096"/>
    <w:rsid w:val="004C026A"/>
    <w:rsid w:val="004C02BA"/>
    <w:rsid w:val="004C04D6"/>
    <w:rsid w:val="004C04F1"/>
    <w:rsid w:val="004C0526"/>
    <w:rsid w:val="004C07BE"/>
    <w:rsid w:val="004C0D6F"/>
    <w:rsid w:val="004C0F1D"/>
    <w:rsid w:val="004C15D6"/>
    <w:rsid w:val="004C1686"/>
    <w:rsid w:val="004C17D2"/>
    <w:rsid w:val="004C1854"/>
    <w:rsid w:val="004C190A"/>
    <w:rsid w:val="004C1B64"/>
    <w:rsid w:val="004C289E"/>
    <w:rsid w:val="004C2AE7"/>
    <w:rsid w:val="004C2D7E"/>
    <w:rsid w:val="004C33BD"/>
    <w:rsid w:val="004C3B90"/>
    <w:rsid w:val="004C3D60"/>
    <w:rsid w:val="004C4540"/>
    <w:rsid w:val="004C455A"/>
    <w:rsid w:val="004C49FA"/>
    <w:rsid w:val="004C4AE3"/>
    <w:rsid w:val="004C4C70"/>
    <w:rsid w:val="004C4D6F"/>
    <w:rsid w:val="004C4F71"/>
    <w:rsid w:val="004C50AD"/>
    <w:rsid w:val="004C50D9"/>
    <w:rsid w:val="004C5571"/>
    <w:rsid w:val="004C55F6"/>
    <w:rsid w:val="004C5745"/>
    <w:rsid w:val="004C6109"/>
    <w:rsid w:val="004C618A"/>
    <w:rsid w:val="004C629F"/>
    <w:rsid w:val="004C68FA"/>
    <w:rsid w:val="004C7097"/>
    <w:rsid w:val="004C737C"/>
    <w:rsid w:val="004C772E"/>
    <w:rsid w:val="004C7762"/>
    <w:rsid w:val="004C7811"/>
    <w:rsid w:val="004C796B"/>
    <w:rsid w:val="004C7994"/>
    <w:rsid w:val="004C7AAD"/>
    <w:rsid w:val="004D03EA"/>
    <w:rsid w:val="004D066C"/>
    <w:rsid w:val="004D0843"/>
    <w:rsid w:val="004D0CE5"/>
    <w:rsid w:val="004D0D3C"/>
    <w:rsid w:val="004D161A"/>
    <w:rsid w:val="004D16EC"/>
    <w:rsid w:val="004D1C4C"/>
    <w:rsid w:val="004D243B"/>
    <w:rsid w:val="004D25FD"/>
    <w:rsid w:val="004D272B"/>
    <w:rsid w:val="004D3159"/>
    <w:rsid w:val="004D370F"/>
    <w:rsid w:val="004D3BFA"/>
    <w:rsid w:val="004D3CBB"/>
    <w:rsid w:val="004D3D3C"/>
    <w:rsid w:val="004D4066"/>
    <w:rsid w:val="004D44B6"/>
    <w:rsid w:val="004D4C13"/>
    <w:rsid w:val="004D5285"/>
    <w:rsid w:val="004D5787"/>
    <w:rsid w:val="004D57F9"/>
    <w:rsid w:val="004D5F84"/>
    <w:rsid w:val="004D62A1"/>
    <w:rsid w:val="004D6530"/>
    <w:rsid w:val="004D698B"/>
    <w:rsid w:val="004D7132"/>
    <w:rsid w:val="004D772C"/>
    <w:rsid w:val="004D7773"/>
    <w:rsid w:val="004D7E16"/>
    <w:rsid w:val="004E0048"/>
    <w:rsid w:val="004E0C44"/>
    <w:rsid w:val="004E1293"/>
    <w:rsid w:val="004E197C"/>
    <w:rsid w:val="004E2385"/>
    <w:rsid w:val="004E2480"/>
    <w:rsid w:val="004E24E7"/>
    <w:rsid w:val="004E2513"/>
    <w:rsid w:val="004E2967"/>
    <w:rsid w:val="004E2B3E"/>
    <w:rsid w:val="004E2BBE"/>
    <w:rsid w:val="004E316F"/>
    <w:rsid w:val="004E319D"/>
    <w:rsid w:val="004E3526"/>
    <w:rsid w:val="004E35AC"/>
    <w:rsid w:val="004E363A"/>
    <w:rsid w:val="004E3650"/>
    <w:rsid w:val="004E3A0A"/>
    <w:rsid w:val="004E3BD5"/>
    <w:rsid w:val="004E3C31"/>
    <w:rsid w:val="004E3D60"/>
    <w:rsid w:val="004E3E43"/>
    <w:rsid w:val="004E41CF"/>
    <w:rsid w:val="004E46D2"/>
    <w:rsid w:val="004E4778"/>
    <w:rsid w:val="004E47E8"/>
    <w:rsid w:val="004E4868"/>
    <w:rsid w:val="004E4A5D"/>
    <w:rsid w:val="004E4C82"/>
    <w:rsid w:val="004E4E04"/>
    <w:rsid w:val="004E4F41"/>
    <w:rsid w:val="004E4F8E"/>
    <w:rsid w:val="004E500B"/>
    <w:rsid w:val="004E503D"/>
    <w:rsid w:val="004E539D"/>
    <w:rsid w:val="004E54CF"/>
    <w:rsid w:val="004E5D70"/>
    <w:rsid w:val="004E605F"/>
    <w:rsid w:val="004E69FF"/>
    <w:rsid w:val="004E6C58"/>
    <w:rsid w:val="004E6EF5"/>
    <w:rsid w:val="004E6F88"/>
    <w:rsid w:val="004E72E5"/>
    <w:rsid w:val="004E76C5"/>
    <w:rsid w:val="004E7B55"/>
    <w:rsid w:val="004E7FB2"/>
    <w:rsid w:val="004F06BB"/>
    <w:rsid w:val="004F09A3"/>
    <w:rsid w:val="004F09E9"/>
    <w:rsid w:val="004F0E0D"/>
    <w:rsid w:val="004F0EAD"/>
    <w:rsid w:val="004F1482"/>
    <w:rsid w:val="004F1565"/>
    <w:rsid w:val="004F16FB"/>
    <w:rsid w:val="004F1754"/>
    <w:rsid w:val="004F1E85"/>
    <w:rsid w:val="004F204C"/>
    <w:rsid w:val="004F207A"/>
    <w:rsid w:val="004F2117"/>
    <w:rsid w:val="004F21D8"/>
    <w:rsid w:val="004F287A"/>
    <w:rsid w:val="004F2AAA"/>
    <w:rsid w:val="004F2C3B"/>
    <w:rsid w:val="004F2D07"/>
    <w:rsid w:val="004F31AF"/>
    <w:rsid w:val="004F3211"/>
    <w:rsid w:val="004F3648"/>
    <w:rsid w:val="004F3713"/>
    <w:rsid w:val="004F4131"/>
    <w:rsid w:val="004F41DE"/>
    <w:rsid w:val="004F4423"/>
    <w:rsid w:val="004F4B7D"/>
    <w:rsid w:val="004F5110"/>
    <w:rsid w:val="004F5209"/>
    <w:rsid w:val="004F585A"/>
    <w:rsid w:val="004F5863"/>
    <w:rsid w:val="004F5F1D"/>
    <w:rsid w:val="004F6112"/>
    <w:rsid w:val="004F6285"/>
    <w:rsid w:val="004F67CE"/>
    <w:rsid w:val="004F6C42"/>
    <w:rsid w:val="004F6F64"/>
    <w:rsid w:val="004F7D5C"/>
    <w:rsid w:val="004F7D9D"/>
    <w:rsid w:val="004F7E15"/>
    <w:rsid w:val="004F7E3A"/>
    <w:rsid w:val="004F7FA8"/>
    <w:rsid w:val="0050047D"/>
    <w:rsid w:val="00500A2D"/>
    <w:rsid w:val="00500DA7"/>
    <w:rsid w:val="00500F19"/>
    <w:rsid w:val="00501072"/>
    <w:rsid w:val="0050136E"/>
    <w:rsid w:val="0050147A"/>
    <w:rsid w:val="005014A1"/>
    <w:rsid w:val="00501E18"/>
    <w:rsid w:val="00502332"/>
    <w:rsid w:val="005023E1"/>
    <w:rsid w:val="00502CAE"/>
    <w:rsid w:val="00502D3F"/>
    <w:rsid w:val="00503411"/>
    <w:rsid w:val="005038A5"/>
    <w:rsid w:val="00503C64"/>
    <w:rsid w:val="00503D09"/>
    <w:rsid w:val="00504269"/>
    <w:rsid w:val="005045F4"/>
    <w:rsid w:val="005048B4"/>
    <w:rsid w:val="00505321"/>
    <w:rsid w:val="00505588"/>
    <w:rsid w:val="0050558E"/>
    <w:rsid w:val="0050578E"/>
    <w:rsid w:val="005059ED"/>
    <w:rsid w:val="00505A47"/>
    <w:rsid w:val="00505F6D"/>
    <w:rsid w:val="00506574"/>
    <w:rsid w:val="005065A1"/>
    <w:rsid w:val="005067FA"/>
    <w:rsid w:val="0050697D"/>
    <w:rsid w:val="0050701D"/>
    <w:rsid w:val="005073A2"/>
    <w:rsid w:val="005075EF"/>
    <w:rsid w:val="005077A4"/>
    <w:rsid w:val="005077B4"/>
    <w:rsid w:val="00507830"/>
    <w:rsid w:val="005078C6"/>
    <w:rsid w:val="0050793A"/>
    <w:rsid w:val="0051018C"/>
    <w:rsid w:val="00510DDF"/>
    <w:rsid w:val="005116C0"/>
    <w:rsid w:val="0051186A"/>
    <w:rsid w:val="00511B0A"/>
    <w:rsid w:val="00511BA7"/>
    <w:rsid w:val="005120E9"/>
    <w:rsid w:val="005129B3"/>
    <w:rsid w:val="00512C1A"/>
    <w:rsid w:val="00512CB6"/>
    <w:rsid w:val="00512FEC"/>
    <w:rsid w:val="00513072"/>
    <w:rsid w:val="00513245"/>
    <w:rsid w:val="0051372F"/>
    <w:rsid w:val="00513825"/>
    <w:rsid w:val="0051434F"/>
    <w:rsid w:val="0051464A"/>
    <w:rsid w:val="005148C8"/>
    <w:rsid w:val="00514A42"/>
    <w:rsid w:val="005156B7"/>
    <w:rsid w:val="00515931"/>
    <w:rsid w:val="00515B75"/>
    <w:rsid w:val="00515E0C"/>
    <w:rsid w:val="00516010"/>
    <w:rsid w:val="005169E0"/>
    <w:rsid w:val="00516EA6"/>
    <w:rsid w:val="00517D6F"/>
    <w:rsid w:val="00520736"/>
    <w:rsid w:val="005208FA"/>
    <w:rsid w:val="00520B47"/>
    <w:rsid w:val="00520D16"/>
    <w:rsid w:val="00521301"/>
    <w:rsid w:val="0052157A"/>
    <w:rsid w:val="00521E46"/>
    <w:rsid w:val="005220DF"/>
    <w:rsid w:val="00522146"/>
    <w:rsid w:val="005221A5"/>
    <w:rsid w:val="00522279"/>
    <w:rsid w:val="005223C7"/>
    <w:rsid w:val="00522477"/>
    <w:rsid w:val="005227B0"/>
    <w:rsid w:val="00522C05"/>
    <w:rsid w:val="00522EE8"/>
    <w:rsid w:val="00523744"/>
    <w:rsid w:val="005244B7"/>
    <w:rsid w:val="0052450D"/>
    <w:rsid w:val="00524782"/>
    <w:rsid w:val="005249B2"/>
    <w:rsid w:val="00524BE4"/>
    <w:rsid w:val="00524F4C"/>
    <w:rsid w:val="00525510"/>
    <w:rsid w:val="00525574"/>
    <w:rsid w:val="00525CA2"/>
    <w:rsid w:val="00525DCE"/>
    <w:rsid w:val="00527029"/>
    <w:rsid w:val="00527D42"/>
    <w:rsid w:val="00527EC1"/>
    <w:rsid w:val="005304DF"/>
    <w:rsid w:val="00530D9D"/>
    <w:rsid w:val="00530DF3"/>
    <w:rsid w:val="00530EFC"/>
    <w:rsid w:val="00531350"/>
    <w:rsid w:val="00531431"/>
    <w:rsid w:val="005314FE"/>
    <w:rsid w:val="00531CC3"/>
    <w:rsid w:val="00531E1F"/>
    <w:rsid w:val="00531E62"/>
    <w:rsid w:val="00532321"/>
    <w:rsid w:val="00532355"/>
    <w:rsid w:val="0053286A"/>
    <w:rsid w:val="00532F27"/>
    <w:rsid w:val="00533037"/>
    <w:rsid w:val="00533307"/>
    <w:rsid w:val="00533946"/>
    <w:rsid w:val="00533B8C"/>
    <w:rsid w:val="00533D4C"/>
    <w:rsid w:val="00533E9C"/>
    <w:rsid w:val="00534907"/>
    <w:rsid w:val="00534BBE"/>
    <w:rsid w:val="00534DE5"/>
    <w:rsid w:val="00535C3B"/>
    <w:rsid w:val="00535DC8"/>
    <w:rsid w:val="00535FDC"/>
    <w:rsid w:val="0053604F"/>
    <w:rsid w:val="0053623D"/>
    <w:rsid w:val="00536455"/>
    <w:rsid w:val="00536476"/>
    <w:rsid w:val="005364E6"/>
    <w:rsid w:val="00536BF6"/>
    <w:rsid w:val="00536E3E"/>
    <w:rsid w:val="00537530"/>
    <w:rsid w:val="00537756"/>
    <w:rsid w:val="0053784E"/>
    <w:rsid w:val="005379F3"/>
    <w:rsid w:val="00540665"/>
    <w:rsid w:val="00540715"/>
    <w:rsid w:val="00540779"/>
    <w:rsid w:val="00540AE2"/>
    <w:rsid w:val="00540D2C"/>
    <w:rsid w:val="00540ED7"/>
    <w:rsid w:val="00541692"/>
    <w:rsid w:val="00541BA7"/>
    <w:rsid w:val="00542365"/>
    <w:rsid w:val="00542477"/>
    <w:rsid w:val="005425EE"/>
    <w:rsid w:val="0054267E"/>
    <w:rsid w:val="00542A01"/>
    <w:rsid w:val="00542A12"/>
    <w:rsid w:val="00542CDF"/>
    <w:rsid w:val="00543648"/>
    <w:rsid w:val="00543D07"/>
    <w:rsid w:val="00543E7F"/>
    <w:rsid w:val="00544006"/>
    <w:rsid w:val="0054400C"/>
    <w:rsid w:val="0054404D"/>
    <w:rsid w:val="005441B2"/>
    <w:rsid w:val="00544361"/>
    <w:rsid w:val="005444DB"/>
    <w:rsid w:val="005445E2"/>
    <w:rsid w:val="00544B2F"/>
    <w:rsid w:val="005452F3"/>
    <w:rsid w:val="00545589"/>
    <w:rsid w:val="005456AA"/>
    <w:rsid w:val="00545BD9"/>
    <w:rsid w:val="00545D4F"/>
    <w:rsid w:val="005468C9"/>
    <w:rsid w:val="00546A61"/>
    <w:rsid w:val="00547134"/>
    <w:rsid w:val="0054765B"/>
    <w:rsid w:val="005476F9"/>
    <w:rsid w:val="00547770"/>
    <w:rsid w:val="00547829"/>
    <w:rsid w:val="00547B75"/>
    <w:rsid w:val="0055020E"/>
    <w:rsid w:val="00550469"/>
    <w:rsid w:val="005506AD"/>
    <w:rsid w:val="005507A2"/>
    <w:rsid w:val="005508CE"/>
    <w:rsid w:val="00550A68"/>
    <w:rsid w:val="00551052"/>
    <w:rsid w:val="00551270"/>
    <w:rsid w:val="00551393"/>
    <w:rsid w:val="00552681"/>
    <w:rsid w:val="00552C86"/>
    <w:rsid w:val="00552CB7"/>
    <w:rsid w:val="00552F5D"/>
    <w:rsid w:val="00552FE4"/>
    <w:rsid w:val="00553194"/>
    <w:rsid w:val="00553282"/>
    <w:rsid w:val="005532C6"/>
    <w:rsid w:val="00553431"/>
    <w:rsid w:val="00553791"/>
    <w:rsid w:val="00553E58"/>
    <w:rsid w:val="0055481E"/>
    <w:rsid w:val="0055497F"/>
    <w:rsid w:val="00554AD2"/>
    <w:rsid w:val="00554CC4"/>
    <w:rsid w:val="005552BA"/>
    <w:rsid w:val="005552D0"/>
    <w:rsid w:val="00555374"/>
    <w:rsid w:val="005559AC"/>
    <w:rsid w:val="0055671C"/>
    <w:rsid w:val="005569F9"/>
    <w:rsid w:val="00556DE7"/>
    <w:rsid w:val="00557049"/>
    <w:rsid w:val="0056029A"/>
    <w:rsid w:val="005604F4"/>
    <w:rsid w:val="00560513"/>
    <w:rsid w:val="005609DC"/>
    <w:rsid w:val="00560A20"/>
    <w:rsid w:val="00560DAC"/>
    <w:rsid w:val="005614A2"/>
    <w:rsid w:val="0056151D"/>
    <w:rsid w:val="00561DEA"/>
    <w:rsid w:val="00562293"/>
    <w:rsid w:val="005622B6"/>
    <w:rsid w:val="005622BB"/>
    <w:rsid w:val="00562571"/>
    <w:rsid w:val="00562DE0"/>
    <w:rsid w:val="00562FFC"/>
    <w:rsid w:val="00563172"/>
    <w:rsid w:val="005632FD"/>
    <w:rsid w:val="0056378E"/>
    <w:rsid w:val="005637D6"/>
    <w:rsid w:val="0056395F"/>
    <w:rsid w:val="00563F16"/>
    <w:rsid w:val="005641C9"/>
    <w:rsid w:val="005642FC"/>
    <w:rsid w:val="005643A3"/>
    <w:rsid w:val="00564641"/>
    <w:rsid w:val="005647FE"/>
    <w:rsid w:val="0056482F"/>
    <w:rsid w:val="0056511F"/>
    <w:rsid w:val="0056587A"/>
    <w:rsid w:val="00565E50"/>
    <w:rsid w:val="00565E7F"/>
    <w:rsid w:val="0056621E"/>
    <w:rsid w:val="005663A1"/>
    <w:rsid w:val="0056646F"/>
    <w:rsid w:val="005664A6"/>
    <w:rsid w:val="005666B7"/>
    <w:rsid w:val="00566E33"/>
    <w:rsid w:val="005670D2"/>
    <w:rsid w:val="005670FE"/>
    <w:rsid w:val="00567281"/>
    <w:rsid w:val="005678BF"/>
    <w:rsid w:val="00567D19"/>
    <w:rsid w:val="005703FE"/>
    <w:rsid w:val="00570451"/>
    <w:rsid w:val="00570480"/>
    <w:rsid w:val="00570756"/>
    <w:rsid w:val="00570892"/>
    <w:rsid w:val="0057134B"/>
    <w:rsid w:val="00571E8D"/>
    <w:rsid w:val="00571ECE"/>
    <w:rsid w:val="0057243F"/>
    <w:rsid w:val="00572A1D"/>
    <w:rsid w:val="00572D4E"/>
    <w:rsid w:val="005731A1"/>
    <w:rsid w:val="00573217"/>
    <w:rsid w:val="00573F3D"/>
    <w:rsid w:val="005740E3"/>
    <w:rsid w:val="005741FD"/>
    <w:rsid w:val="005745AE"/>
    <w:rsid w:val="0057487A"/>
    <w:rsid w:val="00575482"/>
    <w:rsid w:val="005754B5"/>
    <w:rsid w:val="005754C4"/>
    <w:rsid w:val="0057557E"/>
    <w:rsid w:val="00575D3C"/>
    <w:rsid w:val="00576158"/>
    <w:rsid w:val="00576773"/>
    <w:rsid w:val="005768BC"/>
    <w:rsid w:val="00576BA5"/>
    <w:rsid w:val="005771F7"/>
    <w:rsid w:val="00577F81"/>
    <w:rsid w:val="005804DC"/>
    <w:rsid w:val="005810DF"/>
    <w:rsid w:val="0058115B"/>
    <w:rsid w:val="005813CC"/>
    <w:rsid w:val="005815BF"/>
    <w:rsid w:val="005826D5"/>
    <w:rsid w:val="00582865"/>
    <w:rsid w:val="00582BE1"/>
    <w:rsid w:val="00582FE8"/>
    <w:rsid w:val="0058312A"/>
    <w:rsid w:val="005833C3"/>
    <w:rsid w:val="00583876"/>
    <w:rsid w:val="0058395E"/>
    <w:rsid w:val="00583F15"/>
    <w:rsid w:val="00584163"/>
    <w:rsid w:val="005843C8"/>
    <w:rsid w:val="005843EF"/>
    <w:rsid w:val="00584C80"/>
    <w:rsid w:val="00584D3E"/>
    <w:rsid w:val="00584D9D"/>
    <w:rsid w:val="00584DBB"/>
    <w:rsid w:val="0058506F"/>
    <w:rsid w:val="00585431"/>
    <w:rsid w:val="00585685"/>
    <w:rsid w:val="0058580E"/>
    <w:rsid w:val="00585AF9"/>
    <w:rsid w:val="005862D6"/>
    <w:rsid w:val="005864AB"/>
    <w:rsid w:val="0058758D"/>
    <w:rsid w:val="005877FC"/>
    <w:rsid w:val="00587888"/>
    <w:rsid w:val="005906E6"/>
    <w:rsid w:val="005906F5"/>
    <w:rsid w:val="005910A8"/>
    <w:rsid w:val="00591479"/>
    <w:rsid w:val="00592024"/>
    <w:rsid w:val="00592043"/>
    <w:rsid w:val="005921BC"/>
    <w:rsid w:val="005929E8"/>
    <w:rsid w:val="00592D3A"/>
    <w:rsid w:val="00592E44"/>
    <w:rsid w:val="00592FC5"/>
    <w:rsid w:val="005938B9"/>
    <w:rsid w:val="0059395C"/>
    <w:rsid w:val="00593A02"/>
    <w:rsid w:val="00593BDD"/>
    <w:rsid w:val="00593E32"/>
    <w:rsid w:val="00593F4A"/>
    <w:rsid w:val="0059418D"/>
    <w:rsid w:val="005942AD"/>
    <w:rsid w:val="0059466E"/>
    <w:rsid w:val="00594CBD"/>
    <w:rsid w:val="00595286"/>
    <w:rsid w:val="0059575F"/>
    <w:rsid w:val="0059577B"/>
    <w:rsid w:val="0059602D"/>
    <w:rsid w:val="0059621F"/>
    <w:rsid w:val="00596618"/>
    <w:rsid w:val="005969D2"/>
    <w:rsid w:val="00596FD3"/>
    <w:rsid w:val="00597122"/>
    <w:rsid w:val="005973FF"/>
    <w:rsid w:val="00597C85"/>
    <w:rsid w:val="00597EB3"/>
    <w:rsid w:val="005A00B6"/>
    <w:rsid w:val="005A01A9"/>
    <w:rsid w:val="005A0270"/>
    <w:rsid w:val="005A03F2"/>
    <w:rsid w:val="005A0499"/>
    <w:rsid w:val="005A0791"/>
    <w:rsid w:val="005A082D"/>
    <w:rsid w:val="005A0C8F"/>
    <w:rsid w:val="005A0E14"/>
    <w:rsid w:val="005A1078"/>
    <w:rsid w:val="005A1536"/>
    <w:rsid w:val="005A15D9"/>
    <w:rsid w:val="005A201C"/>
    <w:rsid w:val="005A2719"/>
    <w:rsid w:val="005A2786"/>
    <w:rsid w:val="005A28D4"/>
    <w:rsid w:val="005A2C9A"/>
    <w:rsid w:val="005A2DDA"/>
    <w:rsid w:val="005A2E07"/>
    <w:rsid w:val="005A31DA"/>
    <w:rsid w:val="005A37EE"/>
    <w:rsid w:val="005A3CF8"/>
    <w:rsid w:val="005A40C2"/>
    <w:rsid w:val="005A4457"/>
    <w:rsid w:val="005A4852"/>
    <w:rsid w:val="005A4959"/>
    <w:rsid w:val="005A4A8A"/>
    <w:rsid w:val="005A51DD"/>
    <w:rsid w:val="005A52EC"/>
    <w:rsid w:val="005A54F3"/>
    <w:rsid w:val="005A5555"/>
    <w:rsid w:val="005A58D3"/>
    <w:rsid w:val="005A593A"/>
    <w:rsid w:val="005A5A6B"/>
    <w:rsid w:val="005A5DA6"/>
    <w:rsid w:val="005A6351"/>
    <w:rsid w:val="005A6431"/>
    <w:rsid w:val="005A67C9"/>
    <w:rsid w:val="005A687A"/>
    <w:rsid w:val="005A6AAC"/>
    <w:rsid w:val="005A6B69"/>
    <w:rsid w:val="005A6BFA"/>
    <w:rsid w:val="005A6CE8"/>
    <w:rsid w:val="005A70BD"/>
    <w:rsid w:val="005A7223"/>
    <w:rsid w:val="005A7510"/>
    <w:rsid w:val="005A7B12"/>
    <w:rsid w:val="005A7F36"/>
    <w:rsid w:val="005B0216"/>
    <w:rsid w:val="005B0246"/>
    <w:rsid w:val="005B04B2"/>
    <w:rsid w:val="005B0EB1"/>
    <w:rsid w:val="005B0EEB"/>
    <w:rsid w:val="005B1485"/>
    <w:rsid w:val="005B1C9A"/>
    <w:rsid w:val="005B2317"/>
    <w:rsid w:val="005B2715"/>
    <w:rsid w:val="005B28E7"/>
    <w:rsid w:val="005B2A4D"/>
    <w:rsid w:val="005B31DD"/>
    <w:rsid w:val="005B3297"/>
    <w:rsid w:val="005B3505"/>
    <w:rsid w:val="005B3AB1"/>
    <w:rsid w:val="005B3CF6"/>
    <w:rsid w:val="005B3F7E"/>
    <w:rsid w:val="005B41C3"/>
    <w:rsid w:val="005B42B1"/>
    <w:rsid w:val="005B445F"/>
    <w:rsid w:val="005B44EF"/>
    <w:rsid w:val="005B4595"/>
    <w:rsid w:val="005B47B0"/>
    <w:rsid w:val="005B4A49"/>
    <w:rsid w:val="005B4AAC"/>
    <w:rsid w:val="005B4CD2"/>
    <w:rsid w:val="005B50AC"/>
    <w:rsid w:val="005B5689"/>
    <w:rsid w:val="005B5755"/>
    <w:rsid w:val="005B6253"/>
    <w:rsid w:val="005B6490"/>
    <w:rsid w:val="005B651F"/>
    <w:rsid w:val="005B6838"/>
    <w:rsid w:val="005B69C9"/>
    <w:rsid w:val="005B6BEE"/>
    <w:rsid w:val="005B6C14"/>
    <w:rsid w:val="005B722B"/>
    <w:rsid w:val="005B742F"/>
    <w:rsid w:val="005B7DE0"/>
    <w:rsid w:val="005C03B2"/>
    <w:rsid w:val="005C055B"/>
    <w:rsid w:val="005C0B48"/>
    <w:rsid w:val="005C0BBF"/>
    <w:rsid w:val="005C0E62"/>
    <w:rsid w:val="005C0E63"/>
    <w:rsid w:val="005C1431"/>
    <w:rsid w:val="005C1711"/>
    <w:rsid w:val="005C2151"/>
    <w:rsid w:val="005C29F3"/>
    <w:rsid w:val="005C2ACC"/>
    <w:rsid w:val="005C2B27"/>
    <w:rsid w:val="005C2C4E"/>
    <w:rsid w:val="005C2D9A"/>
    <w:rsid w:val="005C30D6"/>
    <w:rsid w:val="005C347D"/>
    <w:rsid w:val="005C38F3"/>
    <w:rsid w:val="005C3922"/>
    <w:rsid w:val="005C3B35"/>
    <w:rsid w:val="005C3D93"/>
    <w:rsid w:val="005C3E20"/>
    <w:rsid w:val="005C3F20"/>
    <w:rsid w:val="005C415C"/>
    <w:rsid w:val="005C4519"/>
    <w:rsid w:val="005C47C2"/>
    <w:rsid w:val="005C4CDB"/>
    <w:rsid w:val="005C5059"/>
    <w:rsid w:val="005C50D5"/>
    <w:rsid w:val="005C54DF"/>
    <w:rsid w:val="005C5596"/>
    <w:rsid w:val="005C564B"/>
    <w:rsid w:val="005C597F"/>
    <w:rsid w:val="005C5E4D"/>
    <w:rsid w:val="005C5EDE"/>
    <w:rsid w:val="005C6722"/>
    <w:rsid w:val="005C67E6"/>
    <w:rsid w:val="005C682F"/>
    <w:rsid w:val="005C6BA3"/>
    <w:rsid w:val="005C6E20"/>
    <w:rsid w:val="005C735E"/>
    <w:rsid w:val="005C73CF"/>
    <w:rsid w:val="005C762D"/>
    <w:rsid w:val="005C7819"/>
    <w:rsid w:val="005C7935"/>
    <w:rsid w:val="005C7C0A"/>
    <w:rsid w:val="005D03E7"/>
    <w:rsid w:val="005D0D68"/>
    <w:rsid w:val="005D10B0"/>
    <w:rsid w:val="005D15F1"/>
    <w:rsid w:val="005D16B9"/>
    <w:rsid w:val="005D1708"/>
    <w:rsid w:val="005D18A1"/>
    <w:rsid w:val="005D1D19"/>
    <w:rsid w:val="005D1DBD"/>
    <w:rsid w:val="005D20FF"/>
    <w:rsid w:val="005D210E"/>
    <w:rsid w:val="005D2111"/>
    <w:rsid w:val="005D21E8"/>
    <w:rsid w:val="005D2256"/>
    <w:rsid w:val="005D2376"/>
    <w:rsid w:val="005D28E7"/>
    <w:rsid w:val="005D29AF"/>
    <w:rsid w:val="005D2AE4"/>
    <w:rsid w:val="005D2AEA"/>
    <w:rsid w:val="005D2B4D"/>
    <w:rsid w:val="005D2B69"/>
    <w:rsid w:val="005D35CD"/>
    <w:rsid w:val="005D3629"/>
    <w:rsid w:val="005D39B4"/>
    <w:rsid w:val="005D4100"/>
    <w:rsid w:val="005D42CF"/>
    <w:rsid w:val="005D43A9"/>
    <w:rsid w:val="005D44C8"/>
    <w:rsid w:val="005D4674"/>
    <w:rsid w:val="005D4D88"/>
    <w:rsid w:val="005D4D9D"/>
    <w:rsid w:val="005D4F80"/>
    <w:rsid w:val="005D50A3"/>
    <w:rsid w:val="005D50FF"/>
    <w:rsid w:val="005D52E5"/>
    <w:rsid w:val="005D5392"/>
    <w:rsid w:val="005D5491"/>
    <w:rsid w:val="005D5D24"/>
    <w:rsid w:val="005D62D5"/>
    <w:rsid w:val="005D6595"/>
    <w:rsid w:val="005D6D18"/>
    <w:rsid w:val="005D6ECC"/>
    <w:rsid w:val="005D73F4"/>
    <w:rsid w:val="005D79B6"/>
    <w:rsid w:val="005D7AB2"/>
    <w:rsid w:val="005D7ACB"/>
    <w:rsid w:val="005E00A5"/>
    <w:rsid w:val="005E0324"/>
    <w:rsid w:val="005E080C"/>
    <w:rsid w:val="005E12ED"/>
    <w:rsid w:val="005E14F0"/>
    <w:rsid w:val="005E1AF2"/>
    <w:rsid w:val="005E1C60"/>
    <w:rsid w:val="005E1F87"/>
    <w:rsid w:val="005E1FB7"/>
    <w:rsid w:val="005E1FDA"/>
    <w:rsid w:val="005E28C9"/>
    <w:rsid w:val="005E2939"/>
    <w:rsid w:val="005E2A55"/>
    <w:rsid w:val="005E2A6F"/>
    <w:rsid w:val="005E2EBE"/>
    <w:rsid w:val="005E3097"/>
    <w:rsid w:val="005E353A"/>
    <w:rsid w:val="005E35BB"/>
    <w:rsid w:val="005E3953"/>
    <w:rsid w:val="005E39F1"/>
    <w:rsid w:val="005E3B18"/>
    <w:rsid w:val="005E3E1F"/>
    <w:rsid w:val="005E4253"/>
    <w:rsid w:val="005E464D"/>
    <w:rsid w:val="005E47F1"/>
    <w:rsid w:val="005E4A58"/>
    <w:rsid w:val="005E4BAF"/>
    <w:rsid w:val="005E5062"/>
    <w:rsid w:val="005E53AE"/>
    <w:rsid w:val="005E589F"/>
    <w:rsid w:val="005E5A36"/>
    <w:rsid w:val="005E5A73"/>
    <w:rsid w:val="005E6439"/>
    <w:rsid w:val="005E7455"/>
    <w:rsid w:val="005E756A"/>
    <w:rsid w:val="005E783A"/>
    <w:rsid w:val="005F009D"/>
    <w:rsid w:val="005F0236"/>
    <w:rsid w:val="005F0F0C"/>
    <w:rsid w:val="005F1429"/>
    <w:rsid w:val="005F1700"/>
    <w:rsid w:val="005F1B73"/>
    <w:rsid w:val="005F1E80"/>
    <w:rsid w:val="005F2C18"/>
    <w:rsid w:val="005F3162"/>
    <w:rsid w:val="005F3196"/>
    <w:rsid w:val="005F3CFF"/>
    <w:rsid w:val="005F3F24"/>
    <w:rsid w:val="005F416F"/>
    <w:rsid w:val="005F4253"/>
    <w:rsid w:val="005F450E"/>
    <w:rsid w:val="005F458C"/>
    <w:rsid w:val="005F47A4"/>
    <w:rsid w:val="005F4ACF"/>
    <w:rsid w:val="005F4EF2"/>
    <w:rsid w:val="005F50F3"/>
    <w:rsid w:val="005F51A8"/>
    <w:rsid w:val="005F543D"/>
    <w:rsid w:val="005F549A"/>
    <w:rsid w:val="005F5A30"/>
    <w:rsid w:val="005F6214"/>
    <w:rsid w:val="005F6485"/>
    <w:rsid w:val="005F69CA"/>
    <w:rsid w:val="005F6AD1"/>
    <w:rsid w:val="005F6F23"/>
    <w:rsid w:val="005F78F6"/>
    <w:rsid w:val="006002DF"/>
    <w:rsid w:val="00600328"/>
    <w:rsid w:val="0060094E"/>
    <w:rsid w:val="00600FB5"/>
    <w:rsid w:val="006012D9"/>
    <w:rsid w:val="006014D9"/>
    <w:rsid w:val="00601738"/>
    <w:rsid w:val="00602197"/>
    <w:rsid w:val="00602321"/>
    <w:rsid w:val="00602698"/>
    <w:rsid w:val="006028D5"/>
    <w:rsid w:val="00602984"/>
    <w:rsid w:val="006029C3"/>
    <w:rsid w:val="0060308C"/>
    <w:rsid w:val="0060310A"/>
    <w:rsid w:val="00603522"/>
    <w:rsid w:val="00603EED"/>
    <w:rsid w:val="006047C5"/>
    <w:rsid w:val="00604942"/>
    <w:rsid w:val="00604980"/>
    <w:rsid w:val="00604CBF"/>
    <w:rsid w:val="0060523D"/>
    <w:rsid w:val="006055BD"/>
    <w:rsid w:val="00605732"/>
    <w:rsid w:val="00605971"/>
    <w:rsid w:val="00605CB1"/>
    <w:rsid w:val="0060669D"/>
    <w:rsid w:val="0060680E"/>
    <w:rsid w:val="0060683C"/>
    <w:rsid w:val="00606BC8"/>
    <w:rsid w:val="006070EE"/>
    <w:rsid w:val="00607357"/>
    <w:rsid w:val="00607487"/>
    <w:rsid w:val="006077E4"/>
    <w:rsid w:val="00607804"/>
    <w:rsid w:val="00607D94"/>
    <w:rsid w:val="0061073F"/>
    <w:rsid w:val="00610B82"/>
    <w:rsid w:val="00611CA3"/>
    <w:rsid w:val="00611D64"/>
    <w:rsid w:val="00611F5C"/>
    <w:rsid w:val="00612231"/>
    <w:rsid w:val="00612556"/>
    <w:rsid w:val="00612653"/>
    <w:rsid w:val="006127F2"/>
    <w:rsid w:val="00612E5A"/>
    <w:rsid w:val="00612EB9"/>
    <w:rsid w:val="006133B9"/>
    <w:rsid w:val="00613574"/>
    <w:rsid w:val="006136E2"/>
    <w:rsid w:val="00613777"/>
    <w:rsid w:val="00613DC4"/>
    <w:rsid w:val="00614B09"/>
    <w:rsid w:val="00614BB0"/>
    <w:rsid w:val="00614F0A"/>
    <w:rsid w:val="006151CD"/>
    <w:rsid w:val="0061557C"/>
    <w:rsid w:val="00615A8A"/>
    <w:rsid w:val="00615AFB"/>
    <w:rsid w:val="0061606A"/>
    <w:rsid w:val="00616160"/>
    <w:rsid w:val="006162F8"/>
    <w:rsid w:val="006163FF"/>
    <w:rsid w:val="00616C5C"/>
    <w:rsid w:val="00616E90"/>
    <w:rsid w:val="00617059"/>
    <w:rsid w:val="006201D0"/>
    <w:rsid w:val="00620573"/>
    <w:rsid w:val="0062061A"/>
    <w:rsid w:val="00620B12"/>
    <w:rsid w:val="006211D0"/>
    <w:rsid w:val="0062179A"/>
    <w:rsid w:val="00621826"/>
    <w:rsid w:val="00621903"/>
    <w:rsid w:val="00621BAE"/>
    <w:rsid w:val="00621C3F"/>
    <w:rsid w:val="0062207F"/>
    <w:rsid w:val="00622185"/>
    <w:rsid w:val="006224FF"/>
    <w:rsid w:val="00622D29"/>
    <w:rsid w:val="00623731"/>
    <w:rsid w:val="00623916"/>
    <w:rsid w:val="00623A38"/>
    <w:rsid w:val="00623B09"/>
    <w:rsid w:val="00624719"/>
    <w:rsid w:val="00624724"/>
    <w:rsid w:val="00624EDE"/>
    <w:rsid w:val="00624F9D"/>
    <w:rsid w:val="00625262"/>
    <w:rsid w:val="006256C9"/>
    <w:rsid w:val="0062575F"/>
    <w:rsid w:val="0062593B"/>
    <w:rsid w:val="00625B64"/>
    <w:rsid w:val="00625D46"/>
    <w:rsid w:val="006261B7"/>
    <w:rsid w:val="00626501"/>
    <w:rsid w:val="00626758"/>
    <w:rsid w:val="00626996"/>
    <w:rsid w:val="00626AFC"/>
    <w:rsid w:val="00626C75"/>
    <w:rsid w:val="00626CA6"/>
    <w:rsid w:val="00626E24"/>
    <w:rsid w:val="006270A1"/>
    <w:rsid w:val="0062715C"/>
    <w:rsid w:val="0062733F"/>
    <w:rsid w:val="0062772F"/>
    <w:rsid w:val="00627E8E"/>
    <w:rsid w:val="00627EF3"/>
    <w:rsid w:val="006301DE"/>
    <w:rsid w:val="00630328"/>
    <w:rsid w:val="00630445"/>
    <w:rsid w:val="0063054B"/>
    <w:rsid w:val="006306B0"/>
    <w:rsid w:val="0063071A"/>
    <w:rsid w:val="00630979"/>
    <w:rsid w:val="00630ABF"/>
    <w:rsid w:val="00630F9A"/>
    <w:rsid w:val="00631203"/>
    <w:rsid w:val="00631609"/>
    <w:rsid w:val="0063169F"/>
    <w:rsid w:val="00631AB7"/>
    <w:rsid w:val="00631BC5"/>
    <w:rsid w:val="00631BE4"/>
    <w:rsid w:val="0063203E"/>
    <w:rsid w:val="00632066"/>
    <w:rsid w:val="006321E8"/>
    <w:rsid w:val="006323F1"/>
    <w:rsid w:val="006325E9"/>
    <w:rsid w:val="0063295E"/>
    <w:rsid w:val="00632F8B"/>
    <w:rsid w:val="006334D9"/>
    <w:rsid w:val="006336B5"/>
    <w:rsid w:val="00633A99"/>
    <w:rsid w:val="006341A5"/>
    <w:rsid w:val="00634D8C"/>
    <w:rsid w:val="00634DDE"/>
    <w:rsid w:val="00634F76"/>
    <w:rsid w:val="00634F84"/>
    <w:rsid w:val="00635188"/>
    <w:rsid w:val="00635418"/>
    <w:rsid w:val="0063562B"/>
    <w:rsid w:val="00635BE8"/>
    <w:rsid w:val="00635CC5"/>
    <w:rsid w:val="00635CED"/>
    <w:rsid w:val="00635F5D"/>
    <w:rsid w:val="006364F3"/>
    <w:rsid w:val="0063650D"/>
    <w:rsid w:val="00636C19"/>
    <w:rsid w:val="00636CDD"/>
    <w:rsid w:val="00636DC8"/>
    <w:rsid w:val="00636FCB"/>
    <w:rsid w:val="00637131"/>
    <w:rsid w:val="00637380"/>
    <w:rsid w:val="00637413"/>
    <w:rsid w:val="00637416"/>
    <w:rsid w:val="00637722"/>
    <w:rsid w:val="0063783A"/>
    <w:rsid w:val="0063798D"/>
    <w:rsid w:val="0064013A"/>
    <w:rsid w:val="0064059E"/>
    <w:rsid w:val="006406F7"/>
    <w:rsid w:val="00640AAC"/>
    <w:rsid w:val="00640EE7"/>
    <w:rsid w:val="00641048"/>
    <w:rsid w:val="006412F7"/>
    <w:rsid w:val="00641311"/>
    <w:rsid w:val="00641495"/>
    <w:rsid w:val="00641508"/>
    <w:rsid w:val="00642098"/>
    <w:rsid w:val="00642CF4"/>
    <w:rsid w:val="00642D49"/>
    <w:rsid w:val="00642E13"/>
    <w:rsid w:val="00642EBC"/>
    <w:rsid w:val="006435CD"/>
    <w:rsid w:val="00644768"/>
    <w:rsid w:val="00644CDC"/>
    <w:rsid w:val="00644D11"/>
    <w:rsid w:val="00644EE1"/>
    <w:rsid w:val="00645185"/>
    <w:rsid w:val="006451F3"/>
    <w:rsid w:val="00645A50"/>
    <w:rsid w:val="00645BC7"/>
    <w:rsid w:val="00645F0D"/>
    <w:rsid w:val="0064696B"/>
    <w:rsid w:val="0064697F"/>
    <w:rsid w:val="00646CCF"/>
    <w:rsid w:val="00646FF7"/>
    <w:rsid w:val="00647052"/>
    <w:rsid w:val="00647308"/>
    <w:rsid w:val="00647927"/>
    <w:rsid w:val="00647A15"/>
    <w:rsid w:val="00647AEB"/>
    <w:rsid w:val="0065003F"/>
    <w:rsid w:val="006506A4"/>
    <w:rsid w:val="006509FD"/>
    <w:rsid w:val="00650A31"/>
    <w:rsid w:val="00650B21"/>
    <w:rsid w:val="006512DB"/>
    <w:rsid w:val="00651333"/>
    <w:rsid w:val="006514C4"/>
    <w:rsid w:val="0065163A"/>
    <w:rsid w:val="00652406"/>
    <w:rsid w:val="00652A63"/>
    <w:rsid w:val="00652FB7"/>
    <w:rsid w:val="00653325"/>
    <w:rsid w:val="00653891"/>
    <w:rsid w:val="00653997"/>
    <w:rsid w:val="00654049"/>
    <w:rsid w:val="006547F0"/>
    <w:rsid w:val="00654D40"/>
    <w:rsid w:val="00655299"/>
    <w:rsid w:val="00655550"/>
    <w:rsid w:val="00655A2E"/>
    <w:rsid w:val="006564F5"/>
    <w:rsid w:val="00656629"/>
    <w:rsid w:val="00656690"/>
    <w:rsid w:val="00656990"/>
    <w:rsid w:val="00656A51"/>
    <w:rsid w:val="00656AB7"/>
    <w:rsid w:val="00657EA8"/>
    <w:rsid w:val="006604D6"/>
    <w:rsid w:val="0066057C"/>
    <w:rsid w:val="00660AC6"/>
    <w:rsid w:val="006610F6"/>
    <w:rsid w:val="00661671"/>
    <w:rsid w:val="00661B83"/>
    <w:rsid w:val="00661FCD"/>
    <w:rsid w:val="00662029"/>
    <w:rsid w:val="006621EF"/>
    <w:rsid w:val="0066242B"/>
    <w:rsid w:val="00662A43"/>
    <w:rsid w:val="00662AA9"/>
    <w:rsid w:val="00662C82"/>
    <w:rsid w:val="00663161"/>
    <w:rsid w:val="0066325A"/>
    <w:rsid w:val="006633C2"/>
    <w:rsid w:val="0066375E"/>
    <w:rsid w:val="006637ED"/>
    <w:rsid w:val="006643CA"/>
    <w:rsid w:val="0066445D"/>
    <w:rsid w:val="006649AD"/>
    <w:rsid w:val="006651A2"/>
    <w:rsid w:val="006655A4"/>
    <w:rsid w:val="006656AF"/>
    <w:rsid w:val="00665C79"/>
    <w:rsid w:val="00665D26"/>
    <w:rsid w:val="00665F36"/>
    <w:rsid w:val="00666240"/>
    <w:rsid w:val="006662C2"/>
    <w:rsid w:val="00666DFA"/>
    <w:rsid w:val="0066715A"/>
    <w:rsid w:val="00667176"/>
    <w:rsid w:val="00667207"/>
    <w:rsid w:val="00667742"/>
    <w:rsid w:val="0066781E"/>
    <w:rsid w:val="0066787A"/>
    <w:rsid w:val="0066797E"/>
    <w:rsid w:val="00667B03"/>
    <w:rsid w:val="00667B3B"/>
    <w:rsid w:val="0067032F"/>
    <w:rsid w:val="00670465"/>
    <w:rsid w:val="00671352"/>
    <w:rsid w:val="006713A5"/>
    <w:rsid w:val="006715DB"/>
    <w:rsid w:val="006717B9"/>
    <w:rsid w:val="0067190F"/>
    <w:rsid w:val="00671A51"/>
    <w:rsid w:val="00672A5E"/>
    <w:rsid w:val="00672AEF"/>
    <w:rsid w:val="00672CF1"/>
    <w:rsid w:val="006730BD"/>
    <w:rsid w:val="0067312F"/>
    <w:rsid w:val="006732B2"/>
    <w:rsid w:val="00673302"/>
    <w:rsid w:val="00673BFC"/>
    <w:rsid w:val="00673CA4"/>
    <w:rsid w:val="0067402F"/>
    <w:rsid w:val="0067417D"/>
    <w:rsid w:val="00674398"/>
    <w:rsid w:val="0067458D"/>
    <w:rsid w:val="00674C58"/>
    <w:rsid w:val="00675174"/>
    <w:rsid w:val="0067559E"/>
    <w:rsid w:val="00675766"/>
    <w:rsid w:val="0067580D"/>
    <w:rsid w:val="00675CF1"/>
    <w:rsid w:val="00676A18"/>
    <w:rsid w:val="00676AED"/>
    <w:rsid w:val="00676B41"/>
    <w:rsid w:val="00676B58"/>
    <w:rsid w:val="006772B5"/>
    <w:rsid w:val="006777DF"/>
    <w:rsid w:val="00677A34"/>
    <w:rsid w:val="0068055E"/>
    <w:rsid w:val="006808A2"/>
    <w:rsid w:val="00680C16"/>
    <w:rsid w:val="0068140B"/>
    <w:rsid w:val="00681C6B"/>
    <w:rsid w:val="00681CD3"/>
    <w:rsid w:val="00681F9F"/>
    <w:rsid w:val="006825EF"/>
    <w:rsid w:val="0068262C"/>
    <w:rsid w:val="0068278F"/>
    <w:rsid w:val="006827A5"/>
    <w:rsid w:val="00682834"/>
    <w:rsid w:val="006828DF"/>
    <w:rsid w:val="00682BE6"/>
    <w:rsid w:val="00682D5F"/>
    <w:rsid w:val="0068300C"/>
    <w:rsid w:val="0068306A"/>
    <w:rsid w:val="006831BE"/>
    <w:rsid w:val="00683514"/>
    <w:rsid w:val="00683608"/>
    <w:rsid w:val="006837CF"/>
    <w:rsid w:val="00683946"/>
    <w:rsid w:val="00683C62"/>
    <w:rsid w:val="00683E5A"/>
    <w:rsid w:val="00684043"/>
    <w:rsid w:val="006840A9"/>
    <w:rsid w:val="00684131"/>
    <w:rsid w:val="006841E0"/>
    <w:rsid w:val="006842D6"/>
    <w:rsid w:val="0068435D"/>
    <w:rsid w:val="00684397"/>
    <w:rsid w:val="00684741"/>
    <w:rsid w:val="0068478B"/>
    <w:rsid w:val="0068482E"/>
    <w:rsid w:val="006849C1"/>
    <w:rsid w:val="00685178"/>
    <w:rsid w:val="006851EA"/>
    <w:rsid w:val="00685365"/>
    <w:rsid w:val="00685587"/>
    <w:rsid w:val="00685989"/>
    <w:rsid w:val="00685F85"/>
    <w:rsid w:val="00685F99"/>
    <w:rsid w:val="00686C3A"/>
    <w:rsid w:val="00686FCF"/>
    <w:rsid w:val="00687017"/>
    <w:rsid w:val="006870C1"/>
    <w:rsid w:val="0068729F"/>
    <w:rsid w:val="00687789"/>
    <w:rsid w:val="006877FE"/>
    <w:rsid w:val="00687E26"/>
    <w:rsid w:val="00690159"/>
    <w:rsid w:val="00690456"/>
    <w:rsid w:val="00690C86"/>
    <w:rsid w:val="00690EC9"/>
    <w:rsid w:val="00691380"/>
    <w:rsid w:val="0069162A"/>
    <w:rsid w:val="00691ADB"/>
    <w:rsid w:val="00691C42"/>
    <w:rsid w:val="00691EC1"/>
    <w:rsid w:val="00692058"/>
    <w:rsid w:val="006921AD"/>
    <w:rsid w:val="00692254"/>
    <w:rsid w:val="006926BD"/>
    <w:rsid w:val="00692DFC"/>
    <w:rsid w:val="00692F26"/>
    <w:rsid w:val="00693448"/>
    <w:rsid w:val="00693493"/>
    <w:rsid w:val="006935A3"/>
    <w:rsid w:val="006935F1"/>
    <w:rsid w:val="006936E3"/>
    <w:rsid w:val="00693774"/>
    <w:rsid w:val="00693E03"/>
    <w:rsid w:val="006941FD"/>
    <w:rsid w:val="00694652"/>
    <w:rsid w:val="006949A3"/>
    <w:rsid w:val="00694AE6"/>
    <w:rsid w:val="00694CD6"/>
    <w:rsid w:val="00694F63"/>
    <w:rsid w:val="00695885"/>
    <w:rsid w:val="00695FDC"/>
    <w:rsid w:val="00695FEC"/>
    <w:rsid w:val="0069611A"/>
    <w:rsid w:val="00696585"/>
    <w:rsid w:val="006967B1"/>
    <w:rsid w:val="00696A57"/>
    <w:rsid w:val="006976A5"/>
    <w:rsid w:val="00697A6C"/>
    <w:rsid w:val="00697BAE"/>
    <w:rsid w:val="00697C12"/>
    <w:rsid w:val="006A046D"/>
    <w:rsid w:val="006A050B"/>
    <w:rsid w:val="006A07F6"/>
    <w:rsid w:val="006A0C1A"/>
    <w:rsid w:val="006A0F71"/>
    <w:rsid w:val="006A11D1"/>
    <w:rsid w:val="006A161D"/>
    <w:rsid w:val="006A18A6"/>
    <w:rsid w:val="006A1A1C"/>
    <w:rsid w:val="006A1CB8"/>
    <w:rsid w:val="006A1F32"/>
    <w:rsid w:val="006A221F"/>
    <w:rsid w:val="006A25E2"/>
    <w:rsid w:val="006A26E3"/>
    <w:rsid w:val="006A2745"/>
    <w:rsid w:val="006A27E3"/>
    <w:rsid w:val="006A297B"/>
    <w:rsid w:val="006A2A5E"/>
    <w:rsid w:val="006A2AB1"/>
    <w:rsid w:val="006A2F69"/>
    <w:rsid w:val="006A3C81"/>
    <w:rsid w:val="006A40BF"/>
    <w:rsid w:val="006A483A"/>
    <w:rsid w:val="006A4A29"/>
    <w:rsid w:val="006A4D34"/>
    <w:rsid w:val="006A4D41"/>
    <w:rsid w:val="006A4DB8"/>
    <w:rsid w:val="006A4E17"/>
    <w:rsid w:val="006A50E7"/>
    <w:rsid w:val="006A5889"/>
    <w:rsid w:val="006A625C"/>
    <w:rsid w:val="006A63A4"/>
    <w:rsid w:val="006A6706"/>
    <w:rsid w:val="006A6854"/>
    <w:rsid w:val="006A7328"/>
    <w:rsid w:val="006A7A9D"/>
    <w:rsid w:val="006A7AFD"/>
    <w:rsid w:val="006A7BEF"/>
    <w:rsid w:val="006A7CE9"/>
    <w:rsid w:val="006A7D45"/>
    <w:rsid w:val="006A7EA0"/>
    <w:rsid w:val="006B0006"/>
    <w:rsid w:val="006B027F"/>
    <w:rsid w:val="006B0B79"/>
    <w:rsid w:val="006B0BF0"/>
    <w:rsid w:val="006B0EF9"/>
    <w:rsid w:val="006B1133"/>
    <w:rsid w:val="006B11DA"/>
    <w:rsid w:val="006B1C6F"/>
    <w:rsid w:val="006B2039"/>
    <w:rsid w:val="006B2173"/>
    <w:rsid w:val="006B22F1"/>
    <w:rsid w:val="006B23B6"/>
    <w:rsid w:val="006B2CB6"/>
    <w:rsid w:val="006B2F06"/>
    <w:rsid w:val="006B31B9"/>
    <w:rsid w:val="006B35ED"/>
    <w:rsid w:val="006B4065"/>
    <w:rsid w:val="006B4451"/>
    <w:rsid w:val="006B474B"/>
    <w:rsid w:val="006B48B6"/>
    <w:rsid w:val="006B4BF7"/>
    <w:rsid w:val="006B4D09"/>
    <w:rsid w:val="006B4EF8"/>
    <w:rsid w:val="006B528E"/>
    <w:rsid w:val="006B53F5"/>
    <w:rsid w:val="006B57FE"/>
    <w:rsid w:val="006B5930"/>
    <w:rsid w:val="006B5B70"/>
    <w:rsid w:val="006B627D"/>
    <w:rsid w:val="006B6845"/>
    <w:rsid w:val="006B6AC1"/>
    <w:rsid w:val="006B74AF"/>
    <w:rsid w:val="006B7628"/>
    <w:rsid w:val="006B7685"/>
    <w:rsid w:val="006B7758"/>
    <w:rsid w:val="006B7764"/>
    <w:rsid w:val="006B777A"/>
    <w:rsid w:val="006B7816"/>
    <w:rsid w:val="006B791E"/>
    <w:rsid w:val="006B7D26"/>
    <w:rsid w:val="006B7D90"/>
    <w:rsid w:val="006C123C"/>
    <w:rsid w:val="006C1816"/>
    <w:rsid w:val="006C1AC7"/>
    <w:rsid w:val="006C1ACC"/>
    <w:rsid w:val="006C1C08"/>
    <w:rsid w:val="006C1FFF"/>
    <w:rsid w:val="006C20BB"/>
    <w:rsid w:val="006C2200"/>
    <w:rsid w:val="006C269C"/>
    <w:rsid w:val="006C2C85"/>
    <w:rsid w:val="006C2ECB"/>
    <w:rsid w:val="006C2EDB"/>
    <w:rsid w:val="006C300D"/>
    <w:rsid w:val="006C32E1"/>
    <w:rsid w:val="006C394B"/>
    <w:rsid w:val="006C4202"/>
    <w:rsid w:val="006C4252"/>
    <w:rsid w:val="006C4AEC"/>
    <w:rsid w:val="006C5547"/>
    <w:rsid w:val="006C5F9F"/>
    <w:rsid w:val="006C62A1"/>
    <w:rsid w:val="006C62BF"/>
    <w:rsid w:val="006C6E42"/>
    <w:rsid w:val="006C721B"/>
    <w:rsid w:val="006C7B62"/>
    <w:rsid w:val="006D012A"/>
    <w:rsid w:val="006D01E8"/>
    <w:rsid w:val="006D085C"/>
    <w:rsid w:val="006D0A09"/>
    <w:rsid w:val="006D13B7"/>
    <w:rsid w:val="006D15A6"/>
    <w:rsid w:val="006D1799"/>
    <w:rsid w:val="006D1874"/>
    <w:rsid w:val="006D1F6D"/>
    <w:rsid w:val="006D2349"/>
    <w:rsid w:val="006D2B9C"/>
    <w:rsid w:val="006D2BA4"/>
    <w:rsid w:val="006D2BA8"/>
    <w:rsid w:val="006D2D0E"/>
    <w:rsid w:val="006D2EBF"/>
    <w:rsid w:val="006D33FF"/>
    <w:rsid w:val="006D35AC"/>
    <w:rsid w:val="006D42EA"/>
    <w:rsid w:val="006D43B1"/>
    <w:rsid w:val="006D4D5E"/>
    <w:rsid w:val="006D4E30"/>
    <w:rsid w:val="006D5417"/>
    <w:rsid w:val="006D56D2"/>
    <w:rsid w:val="006D59A7"/>
    <w:rsid w:val="006D59CF"/>
    <w:rsid w:val="006D5F8B"/>
    <w:rsid w:val="006D60C7"/>
    <w:rsid w:val="006D6508"/>
    <w:rsid w:val="006D6878"/>
    <w:rsid w:val="006D6E70"/>
    <w:rsid w:val="006D71DA"/>
    <w:rsid w:val="006D7442"/>
    <w:rsid w:val="006D78B5"/>
    <w:rsid w:val="006D7961"/>
    <w:rsid w:val="006D79F2"/>
    <w:rsid w:val="006D7BD6"/>
    <w:rsid w:val="006D7E75"/>
    <w:rsid w:val="006D7F09"/>
    <w:rsid w:val="006D7F50"/>
    <w:rsid w:val="006D7FFA"/>
    <w:rsid w:val="006E008F"/>
    <w:rsid w:val="006E048E"/>
    <w:rsid w:val="006E05D1"/>
    <w:rsid w:val="006E0639"/>
    <w:rsid w:val="006E06BC"/>
    <w:rsid w:val="006E08BB"/>
    <w:rsid w:val="006E0A4D"/>
    <w:rsid w:val="006E0EA2"/>
    <w:rsid w:val="006E1518"/>
    <w:rsid w:val="006E15BF"/>
    <w:rsid w:val="006E15D2"/>
    <w:rsid w:val="006E1636"/>
    <w:rsid w:val="006E1E86"/>
    <w:rsid w:val="006E1F3D"/>
    <w:rsid w:val="006E2366"/>
    <w:rsid w:val="006E2554"/>
    <w:rsid w:val="006E25B1"/>
    <w:rsid w:val="006E2B93"/>
    <w:rsid w:val="006E2EF9"/>
    <w:rsid w:val="006E331D"/>
    <w:rsid w:val="006E386D"/>
    <w:rsid w:val="006E4074"/>
    <w:rsid w:val="006E429F"/>
    <w:rsid w:val="006E433E"/>
    <w:rsid w:val="006E46D5"/>
    <w:rsid w:val="006E4BE4"/>
    <w:rsid w:val="006E51A5"/>
    <w:rsid w:val="006E5371"/>
    <w:rsid w:val="006E53AB"/>
    <w:rsid w:val="006E559D"/>
    <w:rsid w:val="006E59A4"/>
    <w:rsid w:val="006E59BB"/>
    <w:rsid w:val="006E5B6D"/>
    <w:rsid w:val="006E5C87"/>
    <w:rsid w:val="006E5D84"/>
    <w:rsid w:val="006E5E16"/>
    <w:rsid w:val="006E5E72"/>
    <w:rsid w:val="006E6016"/>
    <w:rsid w:val="006E6402"/>
    <w:rsid w:val="006E65EA"/>
    <w:rsid w:val="006E692E"/>
    <w:rsid w:val="006E6AEA"/>
    <w:rsid w:val="006E6D51"/>
    <w:rsid w:val="006E7208"/>
    <w:rsid w:val="006E7496"/>
    <w:rsid w:val="006E7510"/>
    <w:rsid w:val="006E7954"/>
    <w:rsid w:val="006E7968"/>
    <w:rsid w:val="006E7C4D"/>
    <w:rsid w:val="006E7F97"/>
    <w:rsid w:val="006E9F09"/>
    <w:rsid w:val="006F01C1"/>
    <w:rsid w:val="006F03D1"/>
    <w:rsid w:val="006F0928"/>
    <w:rsid w:val="006F0DE9"/>
    <w:rsid w:val="006F10CC"/>
    <w:rsid w:val="006F1419"/>
    <w:rsid w:val="006F153A"/>
    <w:rsid w:val="006F18FD"/>
    <w:rsid w:val="006F19A5"/>
    <w:rsid w:val="006F22AB"/>
    <w:rsid w:val="006F2472"/>
    <w:rsid w:val="006F24C4"/>
    <w:rsid w:val="006F2558"/>
    <w:rsid w:val="006F280C"/>
    <w:rsid w:val="006F2EF7"/>
    <w:rsid w:val="006F324A"/>
    <w:rsid w:val="006F32CA"/>
    <w:rsid w:val="006F3364"/>
    <w:rsid w:val="006F3BA0"/>
    <w:rsid w:val="006F4262"/>
    <w:rsid w:val="006F47B8"/>
    <w:rsid w:val="006F59E5"/>
    <w:rsid w:val="006F5C2D"/>
    <w:rsid w:val="006F63D8"/>
    <w:rsid w:val="006F6807"/>
    <w:rsid w:val="006F6999"/>
    <w:rsid w:val="006F6B25"/>
    <w:rsid w:val="006F70F5"/>
    <w:rsid w:val="006F72C3"/>
    <w:rsid w:val="006F7315"/>
    <w:rsid w:val="006F7B83"/>
    <w:rsid w:val="0070017C"/>
    <w:rsid w:val="00700672"/>
    <w:rsid w:val="00700F0F"/>
    <w:rsid w:val="007010CD"/>
    <w:rsid w:val="007011BE"/>
    <w:rsid w:val="007012DC"/>
    <w:rsid w:val="0070159A"/>
    <w:rsid w:val="00701667"/>
    <w:rsid w:val="00701AF3"/>
    <w:rsid w:val="00702179"/>
    <w:rsid w:val="00702208"/>
    <w:rsid w:val="0070225F"/>
    <w:rsid w:val="00702B19"/>
    <w:rsid w:val="0070364A"/>
    <w:rsid w:val="00703910"/>
    <w:rsid w:val="00703A54"/>
    <w:rsid w:val="00703AD7"/>
    <w:rsid w:val="00704419"/>
    <w:rsid w:val="0070447D"/>
    <w:rsid w:val="0070493A"/>
    <w:rsid w:val="00704B6C"/>
    <w:rsid w:val="00704C44"/>
    <w:rsid w:val="00704F48"/>
    <w:rsid w:val="00704FBD"/>
    <w:rsid w:val="00704FFA"/>
    <w:rsid w:val="00705C17"/>
    <w:rsid w:val="00705D61"/>
    <w:rsid w:val="00705DC7"/>
    <w:rsid w:val="0070603A"/>
    <w:rsid w:val="007061B1"/>
    <w:rsid w:val="007061C5"/>
    <w:rsid w:val="0070625F"/>
    <w:rsid w:val="00706778"/>
    <w:rsid w:val="00706AE7"/>
    <w:rsid w:val="00706B3C"/>
    <w:rsid w:val="00707011"/>
    <w:rsid w:val="0070721E"/>
    <w:rsid w:val="007074BF"/>
    <w:rsid w:val="00707912"/>
    <w:rsid w:val="00707EF4"/>
    <w:rsid w:val="0071045A"/>
    <w:rsid w:val="007105E6"/>
    <w:rsid w:val="007108C9"/>
    <w:rsid w:val="00710C89"/>
    <w:rsid w:val="00710D3C"/>
    <w:rsid w:val="0071161E"/>
    <w:rsid w:val="007118F4"/>
    <w:rsid w:val="00711976"/>
    <w:rsid w:val="00711A0D"/>
    <w:rsid w:val="00711C6C"/>
    <w:rsid w:val="00711C7B"/>
    <w:rsid w:val="00711DA4"/>
    <w:rsid w:val="0071279F"/>
    <w:rsid w:val="007129BC"/>
    <w:rsid w:val="00712CE2"/>
    <w:rsid w:val="00712F05"/>
    <w:rsid w:val="00712FD5"/>
    <w:rsid w:val="007135C6"/>
    <w:rsid w:val="00713E8A"/>
    <w:rsid w:val="00713FAB"/>
    <w:rsid w:val="00714239"/>
    <w:rsid w:val="007144B1"/>
    <w:rsid w:val="00714682"/>
    <w:rsid w:val="007147BE"/>
    <w:rsid w:val="0071499D"/>
    <w:rsid w:val="00714ACF"/>
    <w:rsid w:val="00714C96"/>
    <w:rsid w:val="00714CB4"/>
    <w:rsid w:val="007154C8"/>
    <w:rsid w:val="00715589"/>
    <w:rsid w:val="00715637"/>
    <w:rsid w:val="00715654"/>
    <w:rsid w:val="0071571D"/>
    <w:rsid w:val="007157F3"/>
    <w:rsid w:val="00715947"/>
    <w:rsid w:val="007159E0"/>
    <w:rsid w:val="00715DB8"/>
    <w:rsid w:val="00715F62"/>
    <w:rsid w:val="00716008"/>
    <w:rsid w:val="0071611E"/>
    <w:rsid w:val="007162EA"/>
    <w:rsid w:val="007165B9"/>
    <w:rsid w:val="00716A00"/>
    <w:rsid w:val="00717404"/>
    <w:rsid w:val="00717551"/>
    <w:rsid w:val="00717576"/>
    <w:rsid w:val="007204EC"/>
    <w:rsid w:val="007207D2"/>
    <w:rsid w:val="00720B4E"/>
    <w:rsid w:val="00720D7E"/>
    <w:rsid w:val="007212A9"/>
    <w:rsid w:val="00721673"/>
    <w:rsid w:val="007217E7"/>
    <w:rsid w:val="0072188D"/>
    <w:rsid w:val="007219C2"/>
    <w:rsid w:val="007219FA"/>
    <w:rsid w:val="00721D80"/>
    <w:rsid w:val="00721E37"/>
    <w:rsid w:val="0072212C"/>
    <w:rsid w:val="00722159"/>
    <w:rsid w:val="00722215"/>
    <w:rsid w:val="00722313"/>
    <w:rsid w:val="00722409"/>
    <w:rsid w:val="00722767"/>
    <w:rsid w:val="00722896"/>
    <w:rsid w:val="0072294F"/>
    <w:rsid w:val="007229E4"/>
    <w:rsid w:val="00722A8E"/>
    <w:rsid w:val="00722AA6"/>
    <w:rsid w:val="00722AC5"/>
    <w:rsid w:val="00722B51"/>
    <w:rsid w:val="00722EB4"/>
    <w:rsid w:val="00723327"/>
    <w:rsid w:val="00723C74"/>
    <w:rsid w:val="0072413A"/>
    <w:rsid w:val="0072413F"/>
    <w:rsid w:val="007243B5"/>
    <w:rsid w:val="00724455"/>
    <w:rsid w:val="0072452D"/>
    <w:rsid w:val="00724854"/>
    <w:rsid w:val="007249A7"/>
    <w:rsid w:val="007249E2"/>
    <w:rsid w:val="007253A2"/>
    <w:rsid w:val="0072568A"/>
    <w:rsid w:val="0072572F"/>
    <w:rsid w:val="007257B0"/>
    <w:rsid w:val="00725853"/>
    <w:rsid w:val="00725956"/>
    <w:rsid w:val="00725BA4"/>
    <w:rsid w:val="0072617F"/>
    <w:rsid w:val="0072655B"/>
    <w:rsid w:val="0072675A"/>
    <w:rsid w:val="00726C01"/>
    <w:rsid w:val="00726D2B"/>
    <w:rsid w:val="00726E84"/>
    <w:rsid w:val="00727488"/>
    <w:rsid w:val="0072761D"/>
    <w:rsid w:val="0072776D"/>
    <w:rsid w:val="007279A5"/>
    <w:rsid w:val="00730343"/>
    <w:rsid w:val="007307AD"/>
    <w:rsid w:val="0073099E"/>
    <w:rsid w:val="00730CBD"/>
    <w:rsid w:val="00730CF5"/>
    <w:rsid w:val="00730EB8"/>
    <w:rsid w:val="007311F4"/>
    <w:rsid w:val="0073134C"/>
    <w:rsid w:val="00732019"/>
    <w:rsid w:val="00732096"/>
    <w:rsid w:val="0073238C"/>
    <w:rsid w:val="007327EE"/>
    <w:rsid w:val="00732853"/>
    <w:rsid w:val="007335E1"/>
    <w:rsid w:val="0073423B"/>
    <w:rsid w:val="00734ABE"/>
    <w:rsid w:val="00734DD9"/>
    <w:rsid w:val="007350D9"/>
    <w:rsid w:val="007356B7"/>
    <w:rsid w:val="00735A70"/>
    <w:rsid w:val="00736001"/>
    <w:rsid w:val="00736171"/>
    <w:rsid w:val="00736429"/>
    <w:rsid w:val="007368BD"/>
    <w:rsid w:val="00736A0D"/>
    <w:rsid w:val="00736AA6"/>
    <w:rsid w:val="00736BC2"/>
    <w:rsid w:val="00736C35"/>
    <w:rsid w:val="0073713B"/>
    <w:rsid w:val="007373AC"/>
    <w:rsid w:val="00737409"/>
    <w:rsid w:val="00737863"/>
    <w:rsid w:val="00737C88"/>
    <w:rsid w:val="00737DD5"/>
    <w:rsid w:val="0074028F"/>
    <w:rsid w:val="00740708"/>
    <w:rsid w:val="007412C2"/>
    <w:rsid w:val="007414DB"/>
    <w:rsid w:val="0074204A"/>
    <w:rsid w:val="00742063"/>
    <w:rsid w:val="007420EF"/>
    <w:rsid w:val="007422FD"/>
    <w:rsid w:val="007424D1"/>
    <w:rsid w:val="007426AB"/>
    <w:rsid w:val="00742B7A"/>
    <w:rsid w:val="00742BC0"/>
    <w:rsid w:val="007430FC"/>
    <w:rsid w:val="00743194"/>
    <w:rsid w:val="00743365"/>
    <w:rsid w:val="00743667"/>
    <w:rsid w:val="00743814"/>
    <w:rsid w:val="00743B89"/>
    <w:rsid w:val="00743CF6"/>
    <w:rsid w:val="00743DC4"/>
    <w:rsid w:val="00744180"/>
    <w:rsid w:val="00744586"/>
    <w:rsid w:val="00744902"/>
    <w:rsid w:val="0074498C"/>
    <w:rsid w:val="00744B0E"/>
    <w:rsid w:val="00744C71"/>
    <w:rsid w:val="00744CAB"/>
    <w:rsid w:val="00744CE9"/>
    <w:rsid w:val="00744EF7"/>
    <w:rsid w:val="0074547E"/>
    <w:rsid w:val="00745F3B"/>
    <w:rsid w:val="0074634B"/>
    <w:rsid w:val="007466B6"/>
    <w:rsid w:val="00746BE8"/>
    <w:rsid w:val="00746F26"/>
    <w:rsid w:val="00746F39"/>
    <w:rsid w:val="00746FCA"/>
    <w:rsid w:val="0074726A"/>
    <w:rsid w:val="00747FFB"/>
    <w:rsid w:val="007501A8"/>
    <w:rsid w:val="007501D9"/>
    <w:rsid w:val="0075049F"/>
    <w:rsid w:val="00750D38"/>
    <w:rsid w:val="00750DF8"/>
    <w:rsid w:val="00751379"/>
    <w:rsid w:val="00751393"/>
    <w:rsid w:val="00751709"/>
    <w:rsid w:val="00751760"/>
    <w:rsid w:val="00751F15"/>
    <w:rsid w:val="007528F6"/>
    <w:rsid w:val="00752D75"/>
    <w:rsid w:val="00752E43"/>
    <w:rsid w:val="00753042"/>
    <w:rsid w:val="00753319"/>
    <w:rsid w:val="00753919"/>
    <w:rsid w:val="00753B21"/>
    <w:rsid w:val="00753B90"/>
    <w:rsid w:val="007541E9"/>
    <w:rsid w:val="007549EE"/>
    <w:rsid w:val="00754CAC"/>
    <w:rsid w:val="00755BE2"/>
    <w:rsid w:val="007560D0"/>
    <w:rsid w:val="00756319"/>
    <w:rsid w:val="0075642E"/>
    <w:rsid w:val="0075672A"/>
    <w:rsid w:val="0075683E"/>
    <w:rsid w:val="00756A03"/>
    <w:rsid w:val="007570AA"/>
    <w:rsid w:val="007570ED"/>
    <w:rsid w:val="0075723B"/>
    <w:rsid w:val="00757572"/>
    <w:rsid w:val="00757699"/>
    <w:rsid w:val="007579E0"/>
    <w:rsid w:val="00757A00"/>
    <w:rsid w:val="0076013E"/>
    <w:rsid w:val="00760278"/>
    <w:rsid w:val="007605CD"/>
    <w:rsid w:val="00760A4A"/>
    <w:rsid w:val="00760A5E"/>
    <w:rsid w:val="00760B9E"/>
    <w:rsid w:val="007610D6"/>
    <w:rsid w:val="0076120D"/>
    <w:rsid w:val="00761370"/>
    <w:rsid w:val="00761535"/>
    <w:rsid w:val="0076155D"/>
    <w:rsid w:val="00761712"/>
    <w:rsid w:val="007617C0"/>
    <w:rsid w:val="00761A60"/>
    <w:rsid w:val="00761D46"/>
    <w:rsid w:val="00762490"/>
    <w:rsid w:val="00762713"/>
    <w:rsid w:val="00762A3B"/>
    <w:rsid w:val="00763B4B"/>
    <w:rsid w:val="00763D15"/>
    <w:rsid w:val="00763F05"/>
    <w:rsid w:val="007641C5"/>
    <w:rsid w:val="0076473F"/>
    <w:rsid w:val="00764877"/>
    <w:rsid w:val="0076527E"/>
    <w:rsid w:val="007652AF"/>
    <w:rsid w:val="007653B9"/>
    <w:rsid w:val="007653D3"/>
    <w:rsid w:val="0076597F"/>
    <w:rsid w:val="00765ED5"/>
    <w:rsid w:val="00765FD9"/>
    <w:rsid w:val="007664B1"/>
    <w:rsid w:val="00766513"/>
    <w:rsid w:val="00766779"/>
    <w:rsid w:val="0076680A"/>
    <w:rsid w:val="007669CB"/>
    <w:rsid w:val="00767488"/>
    <w:rsid w:val="0076750E"/>
    <w:rsid w:val="00767546"/>
    <w:rsid w:val="00770173"/>
    <w:rsid w:val="007703DE"/>
    <w:rsid w:val="00770A96"/>
    <w:rsid w:val="00770CB7"/>
    <w:rsid w:val="00770D1E"/>
    <w:rsid w:val="0077106D"/>
    <w:rsid w:val="0077132C"/>
    <w:rsid w:val="0077147B"/>
    <w:rsid w:val="0077196C"/>
    <w:rsid w:val="00771BE6"/>
    <w:rsid w:val="00771CD0"/>
    <w:rsid w:val="00771F24"/>
    <w:rsid w:val="00772326"/>
    <w:rsid w:val="0077272C"/>
    <w:rsid w:val="00772791"/>
    <w:rsid w:val="0077290D"/>
    <w:rsid w:val="00772B24"/>
    <w:rsid w:val="00772D5F"/>
    <w:rsid w:val="00773BE0"/>
    <w:rsid w:val="00773F5B"/>
    <w:rsid w:val="00774171"/>
    <w:rsid w:val="007744AE"/>
    <w:rsid w:val="0077485D"/>
    <w:rsid w:val="007758D1"/>
    <w:rsid w:val="00775D39"/>
    <w:rsid w:val="00775F97"/>
    <w:rsid w:val="0077621C"/>
    <w:rsid w:val="00776587"/>
    <w:rsid w:val="00776A83"/>
    <w:rsid w:val="00776B0F"/>
    <w:rsid w:val="00776D5F"/>
    <w:rsid w:val="0077716C"/>
    <w:rsid w:val="00777474"/>
    <w:rsid w:val="00777621"/>
    <w:rsid w:val="00777C15"/>
    <w:rsid w:val="00777D27"/>
    <w:rsid w:val="00777F99"/>
    <w:rsid w:val="0078070C"/>
    <w:rsid w:val="00780904"/>
    <w:rsid w:val="00780B90"/>
    <w:rsid w:val="007810D7"/>
    <w:rsid w:val="007818EC"/>
    <w:rsid w:val="00781A74"/>
    <w:rsid w:val="007820B4"/>
    <w:rsid w:val="00782498"/>
    <w:rsid w:val="007825D5"/>
    <w:rsid w:val="007827E4"/>
    <w:rsid w:val="00782A98"/>
    <w:rsid w:val="00782D3E"/>
    <w:rsid w:val="00782D88"/>
    <w:rsid w:val="00783095"/>
    <w:rsid w:val="0078314E"/>
    <w:rsid w:val="0078334E"/>
    <w:rsid w:val="00783B07"/>
    <w:rsid w:val="00783D4D"/>
    <w:rsid w:val="00783D8A"/>
    <w:rsid w:val="00783E64"/>
    <w:rsid w:val="00783F70"/>
    <w:rsid w:val="00784050"/>
    <w:rsid w:val="007841A0"/>
    <w:rsid w:val="007843A4"/>
    <w:rsid w:val="007844A9"/>
    <w:rsid w:val="00784596"/>
    <w:rsid w:val="00784675"/>
    <w:rsid w:val="007848AB"/>
    <w:rsid w:val="00784BA6"/>
    <w:rsid w:val="00784BF8"/>
    <w:rsid w:val="00784C6F"/>
    <w:rsid w:val="00785047"/>
    <w:rsid w:val="007854C0"/>
    <w:rsid w:val="007854DE"/>
    <w:rsid w:val="00785973"/>
    <w:rsid w:val="00785B76"/>
    <w:rsid w:val="007860FA"/>
    <w:rsid w:val="00786228"/>
    <w:rsid w:val="00786B2A"/>
    <w:rsid w:val="00786B85"/>
    <w:rsid w:val="0078705A"/>
    <w:rsid w:val="00787085"/>
    <w:rsid w:val="00787096"/>
    <w:rsid w:val="00787308"/>
    <w:rsid w:val="007878E3"/>
    <w:rsid w:val="00787C02"/>
    <w:rsid w:val="00787C47"/>
    <w:rsid w:val="00787E48"/>
    <w:rsid w:val="00787E92"/>
    <w:rsid w:val="007901F2"/>
    <w:rsid w:val="00790988"/>
    <w:rsid w:val="00790C0B"/>
    <w:rsid w:val="00790FCE"/>
    <w:rsid w:val="007910F4"/>
    <w:rsid w:val="0079144A"/>
    <w:rsid w:val="007916A8"/>
    <w:rsid w:val="0079201E"/>
    <w:rsid w:val="00793560"/>
    <w:rsid w:val="00793B32"/>
    <w:rsid w:val="00793E03"/>
    <w:rsid w:val="00793FF0"/>
    <w:rsid w:val="00794733"/>
    <w:rsid w:val="007947A1"/>
    <w:rsid w:val="00794860"/>
    <w:rsid w:val="0079486F"/>
    <w:rsid w:val="007949EC"/>
    <w:rsid w:val="00794CF0"/>
    <w:rsid w:val="00794DA5"/>
    <w:rsid w:val="007955DF"/>
    <w:rsid w:val="00795879"/>
    <w:rsid w:val="00795C10"/>
    <w:rsid w:val="00795F90"/>
    <w:rsid w:val="0079621B"/>
    <w:rsid w:val="00796304"/>
    <w:rsid w:val="00796936"/>
    <w:rsid w:val="00796A00"/>
    <w:rsid w:val="00796D98"/>
    <w:rsid w:val="0079739E"/>
    <w:rsid w:val="007A0060"/>
    <w:rsid w:val="007A028A"/>
    <w:rsid w:val="007A0593"/>
    <w:rsid w:val="007A0EEF"/>
    <w:rsid w:val="007A0F89"/>
    <w:rsid w:val="007A12AE"/>
    <w:rsid w:val="007A160F"/>
    <w:rsid w:val="007A199B"/>
    <w:rsid w:val="007A1C66"/>
    <w:rsid w:val="007A1EFC"/>
    <w:rsid w:val="007A20C0"/>
    <w:rsid w:val="007A21E5"/>
    <w:rsid w:val="007A22E1"/>
    <w:rsid w:val="007A2357"/>
    <w:rsid w:val="007A27B6"/>
    <w:rsid w:val="007A2B8E"/>
    <w:rsid w:val="007A32A6"/>
    <w:rsid w:val="007A43CF"/>
    <w:rsid w:val="007A483B"/>
    <w:rsid w:val="007A4EEA"/>
    <w:rsid w:val="007A54AB"/>
    <w:rsid w:val="007A5A1D"/>
    <w:rsid w:val="007A5E9B"/>
    <w:rsid w:val="007A602B"/>
    <w:rsid w:val="007A635A"/>
    <w:rsid w:val="007A6799"/>
    <w:rsid w:val="007A6AAC"/>
    <w:rsid w:val="007A6E61"/>
    <w:rsid w:val="007A7085"/>
    <w:rsid w:val="007A7166"/>
    <w:rsid w:val="007A75E1"/>
    <w:rsid w:val="007A7601"/>
    <w:rsid w:val="007A76A5"/>
    <w:rsid w:val="007A774C"/>
    <w:rsid w:val="007A78BE"/>
    <w:rsid w:val="007A7D7D"/>
    <w:rsid w:val="007A7DA0"/>
    <w:rsid w:val="007A7E08"/>
    <w:rsid w:val="007A7E42"/>
    <w:rsid w:val="007A7F90"/>
    <w:rsid w:val="007B0386"/>
    <w:rsid w:val="007B05F7"/>
    <w:rsid w:val="007B06D5"/>
    <w:rsid w:val="007B0780"/>
    <w:rsid w:val="007B0F90"/>
    <w:rsid w:val="007B1943"/>
    <w:rsid w:val="007B1A71"/>
    <w:rsid w:val="007B1B3A"/>
    <w:rsid w:val="007B1CDB"/>
    <w:rsid w:val="007B2161"/>
    <w:rsid w:val="007B21D4"/>
    <w:rsid w:val="007B2492"/>
    <w:rsid w:val="007B27DE"/>
    <w:rsid w:val="007B2921"/>
    <w:rsid w:val="007B321A"/>
    <w:rsid w:val="007B3278"/>
    <w:rsid w:val="007B35FD"/>
    <w:rsid w:val="007B3666"/>
    <w:rsid w:val="007B3C9C"/>
    <w:rsid w:val="007B4555"/>
    <w:rsid w:val="007B4933"/>
    <w:rsid w:val="007B4B2D"/>
    <w:rsid w:val="007B4D63"/>
    <w:rsid w:val="007B51EE"/>
    <w:rsid w:val="007B5377"/>
    <w:rsid w:val="007B57D2"/>
    <w:rsid w:val="007B586C"/>
    <w:rsid w:val="007B61E1"/>
    <w:rsid w:val="007B650A"/>
    <w:rsid w:val="007B651F"/>
    <w:rsid w:val="007B6D1F"/>
    <w:rsid w:val="007B6D37"/>
    <w:rsid w:val="007B6F1B"/>
    <w:rsid w:val="007B74AC"/>
    <w:rsid w:val="007B758E"/>
    <w:rsid w:val="007B759D"/>
    <w:rsid w:val="007B7693"/>
    <w:rsid w:val="007B7A19"/>
    <w:rsid w:val="007B7A5B"/>
    <w:rsid w:val="007B7A9C"/>
    <w:rsid w:val="007B7EDB"/>
    <w:rsid w:val="007B7F93"/>
    <w:rsid w:val="007B7FEE"/>
    <w:rsid w:val="007C01C7"/>
    <w:rsid w:val="007C06A3"/>
    <w:rsid w:val="007C09A5"/>
    <w:rsid w:val="007C1109"/>
    <w:rsid w:val="007C13D6"/>
    <w:rsid w:val="007C1FA0"/>
    <w:rsid w:val="007C249B"/>
    <w:rsid w:val="007C28A4"/>
    <w:rsid w:val="007C2E0A"/>
    <w:rsid w:val="007C2F1D"/>
    <w:rsid w:val="007C3533"/>
    <w:rsid w:val="007C36FD"/>
    <w:rsid w:val="007C3736"/>
    <w:rsid w:val="007C3846"/>
    <w:rsid w:val="007C38D7"/>
    <w:rsid w:val="007C415C"/>
    <w:rsid w:val="007C41CC"/>
    <w:rsid w:val="007C42F8"/>
    <w:rsid w:val="007C431E"/>
    <w:rsid w:val="007C49B6"/>
    <w:rsid w:val="007C4A94"/>
    <w:rsid w:val="007C4B28"/>
    <w:rsid w:val="007C4B3E"/>
    <w:rsid w:val="007C52DD"/>
    <w:rsid w:val="007C5537"/>
    <w:rsid w:val="007C575F"/>
    <w:rsid w:val="007C63C1"/>
    <w:rsid w:val="007C65F7"/>
    <w:rsid w:val="007C6E06"/>
    <w:rsid w:val="007C6FBC"/>
    <w:rsid w:val="007C729E"/>
    <w:rsid w:val="007D0D56"/>
    <w:rsid w:val="007D0E1F"/>
    <w:rsid w:val="007D0EFC"/>
    <w:rsid w:val="007D18C2"/>
    <w:rsid w:val="007D1B46"/>
    <w:rsid w:val="007D1EB8"/>
    <w:rsid w:val="007D1FF8"/>
    <w:rsid w:val="007D24A2"/>
    <w:rsid w:val="007D299F"/>
    <w:rsid w:val="007D29D8"/>
    <w:rsid w:val="007D2EB7"/>
    <w:rsid w:val="007D3133"/>
    <w:rsid w:val="007D31AA"/>
    <w:rsid w:val="007D3A2B"/>
    <w:rsid w:val="007D4B7B"/>
    <w:rsid w:val="007D4B8D"/>
    <w:rsid w:val="007D4E02"/>
    <w:rsid w:val="007D541C"/>
    <w:rsid w:val="007D55E3"/>
    <w:rsid w:val="007D59EC"/>
    <w:rsid w:val="007D5B78"/>
    <w:rsid w:val="007D654F"/>
    <w:rsid w:val="007D68E7"/>
    <w:rsid w:val="007D6D66"/>
    <w:rsid w:val="007D71A4"/>
    <w:rsid w:val="007D79A5"/>
    <w:rsid w:val="007D7EA4"/>
    <w:rsid w:val="007E00AB"/>
    <w:rsid w:val="007E03ED"/>
    <w:rsid w:val="007E057C"/>
    <w:rsid w:val="007E0AAB"/>
    <w:rsid w:val="007E0BC7"/>
    <w:rsid w:val="007E0C20"/>
    <w:rsid w:val="007E0C89"/>
    <w:rsid w:val="007E0F66"/>
    <w:rsid w:val="007E112F"/>
    <w:rsid w:val="007E1530"/>
    <w:rsid w:val="007E17E0"/>
    <w:rsid w:val="007E1B77"/>
    <w:rsid w:val="007E1DD7"/>
    <w:rsid w:val="007E1F3F"/>
    <w:rsid w:val="007E245F"/>
    <w:rsid w:val="007E277B"/>
    <w:rsid w:val="007E281F"/>
    <w:rsid w:val="007E3141"/>
    <w:rsid w:val="007E3196"/>
    <w:rsid w:val="007E33BF"/>
    <w:rsid w:val="007E3746"/>
    <w:rsid w:val="007E378A"/>
    <w:rsid w:val="007E3959"/>
    <w:rsid w:val="007E3D00"/>
    <w:rsid w:val="007E4195"/>
    <w:rsid w:val="007E4246"/>
    <w:rsid w:val="007E443F"/>
    <w:rsid w:val="007E45F3"/>
    <w:rsid w:val="007E4888"/>
    <w:rsid w:val="007E493D"/>
    <w:rsid w:val="007E4E13"/>
    <w:rsid w:val="007E50F5"/>
    <w:rsid w:val="007E50F6"/>
    <w:rsid w:val="007E54E7"/>
    <w:rsid w:val="007E5757"/>
    <w:rsid w:val="007E5A86"/>
    <w:rsid w:val="007E5B2A"/>
    <w:rsid w:val="007E5F89"/>
    <w:rsid w:val="007E5F90"/>
    <w:rsid w:val="007E5FDD"/>
    <w:rsid w:val="007E683D"/>
    <w:rsid w:val="007E6918"/>
    <w:rsid w:val="007E69C0"/>
    <w:rsid w:val="007E6A6C"/>
    <w:rsid w:val="007E6ABC"/>
    <w:rsid w:val="007E6EC8"/>
    <w:rsid w:val="007E6ED4"/>
    <w:rsid w:val="007E6EF1"/>
    <w:rsid w:val="007E6F50"/>
    <w:rsid w:val="007E7365"/>
    <w:rsid w:val="007E7B54"/>
    <w:rsid w:val="007E7CAA"/>
    <w:rsid w:val="007F01CA"/>
    <w:rsid w:val="007F0602"/>
    <w:rsid w:val="007F095B"/>
    <w:rsid w:val="007F0D6A"/>
    <w:rsid w:val="007F14C9"/>
    <w:rsid w:val="007F1907"/>
    <w:rsid w:val="007F2633"/>
    <w:rsid w:val="007F2672"/>
    <w:rsid w:val="007F28B8"/>
    <w:rsid w:val="007F2A57"/>
    <w:rsid w:val="007F2B00"/>
    <w:rsid w:val="007F2BAF"/>
    <w:rsid w:val="007F2CE3"/>
    <w:rsid w:val="007F2E71"/>
    <w:rsid w:val="007F31DD"/>
    <w:rsid w:val="007F3B06"/>
    <w:rsid w:val="007F3B32"/>
    <w:rsid w:val="007F3FE0"/>
    <w:rsid w:val="007F430F"/>
    <w:rsid w:val="007F48C3"/>
    <w:rsid w:val="007F4F70"/>
    <w:rsid w:val="007F536B"/>
    <w:rsid w:val="007F53B4"/>
    <w:rsid w:val="007F53C9"/>
    <w:rsid w:val="007F5404"/>
    <w:rsid w:val="007F5432"/>
    <w:rsid w:val="007F590C"/>
    <w:rsid w:val="007F5967"/>
    <w:rsid w:val="007F5A4A"/>
    <w:rsid w:val="007F6157"/>
    <w:rsid w:val="007F61F5"/>
    <w:rsid w:val="007F6704"/>
    <w:rsid w:val="007F67CD"/>
    <w:rsid w:val="007F68DF"/>
    <w:rsid w:val="007F71A5"/>
    <w:rsid w:val="007F724C"/>
    <w:rsid w:val="007F7651"/>
    <w:rsid w:val="007F768E"/>
    <w:rsid w:val="007F78D0"/>
    <w:rsid w:val="007F7D12"/>
    <w:rsid w:val="008000D5"/>
    <w:rsid w:val="00800697"/>
    <w:rsid w:val="008008C4"/>
    <w:rsid w:val="00800B9F"/>
    <w:rsid w:val="008010B7"/>
    <w:rsid w:val="008011C8"/>
    <w:rsid w:val="00801862"/>
    <w:rsid w:val="008018FD"/>
    <w:rsid w:val="00801B38"/>
    <w:rsid w:val="00801CE1"/>
    <w:rsid w:val="0080229E"/>
    <w:rsid w:val="008023A1"/>
    <w:rsid w:val="008023CB"/>
    <w:rsid w:val="008024AB"/>
    <w:rsid w:val="00802790"/>
    <w:rsid w:val="00802ABF"/>
    <w:rsid w:val="0080300D"/>
    <w:rsid w:val="008037FE"/>
    <w:rsid w:val="00803A8A"/>
    <w:rsid w:val="00803D41"/>
    <w:rsid w:val="00803E1B"/>
    <w:rsid w:val="008041EB"/>
    <w:rsid w:val="00804822"/>
    <w:rsid w:val="00804E51"/>
    <w:rsid w:val="00805070"/>
    <w:rsid w:val="00805175"/>
    <w:rsid w:val="0080569E"/>
    <w:rsid w:val="008056E0"/>
    <w:rsid w:val="00805828"/>
    <w:rsid w:val="008058AC"/>
    <w:rsid w:val="008059E3"/>
    <w:rsid w:val="00805BBD"/>
    <w:rsid w:val="00805C8A"/>
    <w:rsid w:val="00805F66"/>
    <w:rsid w:val="00806105"/>
    <w:rsid w:val="00806129"/>
    <w:rsid w:val="008061EC"/>
    <w:rsid w:val="00806238"/>
    <w:rsid w:val="00806B75"/>
    <w:rsid w:val="00806D88"/>
    <w:rsid w:val="00807192"/>
    <w:rsid w:val="008074A2"/>
    <w:rsid w:val="00807B28"/>
    <w:rsid w:val="00807B39"/>
    <w:rsid w:val="00807BAB"/>
    <w:rsid w:val="00807D87"/>
    <w:rsid w:val="00807FE8"/>
    <w:rsid w:val="0081012C"/>
    <w:rsid w:val="00810309"/>
    <w:rsid w:val="008103D2"/>
    <w:rsid w:val="00810878"/>
    <w:rsid w:val="00810A51"/>
    <w:rsid w:val="00810B97"/>
    <w:rsid w:val="00810E49"/>
    <w:rsid w:val="008111D8"/>
    <w:rsid w:val="0081141F"/>
    <w:rsid w:val="008114F1"/>
    <w:rsid w:val="0081157A"/>
    <w:rsid w:val="008118EA"/>
    <w:rsid w:val="0081194D"/>
    <w:rsid w:val="00811C87"/>
    <w:rsid w:val="0081285E"/>
    <w:rsid w:val="00812C44"/>
    <w:rsid w:val="00812D65"/>
    <w:rsid w:val="00812E0E"/>
    <w:rsid w:val="00813238"/>
    <w:rsid w:val="008133D9"/>
    <w:rsid w:val="00813514"/>
    <w:rsid w:val="00814359"/>
    <w:rsid w:val="008143AD"/>
    <w:rsid w:val="008146BE"/>
    <w:rsid w:val="008147BC"/>
    <w:rsid w:val="008148E0"/>
    <w:rsid w:val="00814BBA"/>
    <w:rsid w:val="00814C1B"/>
    <w:rsid w:val="00815547"/>
    <w:rsid w:val="00815583"/>
    <w:rsid w:val="00815B3B"/>
    <w:rsid w:val="0081601E"/>
    <w:rsid w:val="00816E8B"/>
    <w:rsid w:val="0081738F"/>
    <w:rsid w:val="00817580"/>
    <w:rsid w:val="00817BE6"/>
    <w:rsid w:val="00817DB2"/>
    <w:rsid w:val="00817DBE"/>
    <w:rsid w:val="00817E6C"/>
    <w:rsid w:val="00820059"/>
    <w:rsid w:val="00820218"/>
    <w:rsid w:val="008206C4"/>
    <w:rsid w:val="008207B6"/>
    <w:rsid w:val="00820905"/>
    <w:rsid w:val="0082092E"/>
    <w:rsid w:val="00820945"/>
    <w:rsid w:val="00820AF4"/>
    <w:rsid w:val="00820C9C"/>
    <w:rsid w:val="00820ED0"/>
    <w:rsid w:val="00821013"/>
    <w:rsid w:val="008212AC"/>
    <w:rsid w:val="008218AB"/>
    <w:rsid w:val="008218C8"/>
    <w:rsid w:val="008219A1"/>
    <w:rsid w:val="00821B0B"/>
    <w:rsid w:val="00821EB8"/>
    <w:rsid w:val="00821FEE"/>
    <w:rsid w:val="008221BA"/>
    <w:rsid w:val="008221FD"/>
    <w:rsid w:val="008223D6"/>
    <w:rsid w:val="0082244A"/>
    <w:rsid w:val="008226AD"/>
    <w:rsid w:val="00822849"/>
    <w:rsid w:val="008229E6"/>
    <w:rsid w:val="00822AF9"/>
    <w:rsid w:val="0082369B"/>
    <w:rsid w:val="00823765"/>
    <w:rsid w:val="008239A5"/>
    <w:rsid w:val="0082406A"/>
    <w:rsid w:val="0082417A"/>
    <w:rsid w:val="00824663"/>
    <w:rsid w:val="00824944"/>
    <w:rsid w:val="00824FDE"/>
    <w:rsid w:val="008253FF"/>
    <w:rsid w:val="0082569A"/>
    <w:rsid w:val="00825765"/>
    <w:rsid w:val="00825820"/>
    <w:rsid w:val="008258FC"/>
    <w:rsid w:val="0082593C"/>
    <w:rsid w:val="00825E3C"/>
    <w:rsid w:val="00825F3F"/>
    <w:rsid w:val="00825FEE"/>
    <w:rsid w:val="00826029"/>
    <w:rsid w:val="0082609A"/>
    <w:rsid w:val="008260C8"/>
    <w:rsid w:val="008268A4"/>
    <w:rsid w:val="00826C9F"/>
    <w:rsid w:val="008270C3"/>
    <w:rsid w:val="008278E6"/>
    <w:rsid w:val="00827C6B"/>
    <w:rsid w:val="008305EB"/>
    <w:rsid w:val="008306A0"/>
    <w:rsid w:val="008306EB"/>
    <w:rsid w:val="008308DD"/>
    <w:rsid w:val="00830BAE"/>
    <w:rsid w:val="00831049"/>
    <w:rsid w:val="0083115A"/>
    <w:rsid w:val="00831350"/>
    <w:rsid w:val="00831A52"/>
    <w:rsid w:val="00831ABB"/>
    <w:rsid w:val="0083230D"/>
    <w:rsid w:val="008324B4"/>
    <w:rsid w:val="00832893"/>
    <w:rsid w:val="00832A54"/>
    <w:rsid w:val="00832D26"/>
    <w:rsid w:val="00832ED7"/>
    <w:rsid w:val="00833373"/>
    <w:rsid w:val="008335C9"/>
    <w:rsid w:val="0083407B"/>
    <w:rsid w:val="0083434B"/>
    <w:rsid w:val="008343D6"/>
    <w:rsid w:val="00834513"/>
    <w:rsid w:val="00834CB8"/>
    <w:rsid w:val="00835278"/>
    <w:rsid w:val="0083560A"/>
    <w:rsid w:val="00835634"/>
    <w:rsid w:val="0083567B"/>
    <w:rsid w:val="0083586C"/>
    <w:rsid w:val="00835C75"/>
    <w:rsid w:val="00836142"/>
    <w:rsid w:val="00836297"/>
    <w:rsid w:val="00836ADE"/>
    <w:rsid w:val="00836B46"/>
    <w:rsid w:val="00837054"/>
    <w:rsid w:val="0083728B"/>
    <w:rsid w:val="00837BB7"/>
    <w:rsid w:val="00837D0A"/>
    <w:rsid w:val="00837E87"/>
    <w:rsid w:val="00840150"/>
    <w:rsid w:val="00840332"/>
    <w:rsid w:val="008403CD"/>
    <w:rsid w:val="0084088C"/>
    <w:rsid w:val="00840DD4"/>
    <w:rsid w:val="00840EC9"/>
    <w:rsid w:val="008411DB"/>
    <w:rsid w:val="008412E8"/>
    <w:rsid w:val="008415FD"/>
    <w:rsid w:val="00841999"/>
    <w:rsid w:val="00841B7B"/>
    <w:rsid w:val="00841BF1"/>
    <w:rsid w:val="00841E32"/>
    <w:rsid w:val="00841EAC"/>
    <w:rsid w:val="00841F7F"/>
    <w:rsid w:val="00841FBE"/>
    <w:rsid w:val="0084211F"/>
    <w:rsid w:val="00842232"/>
    <w:rsid w:val="0084247E"/>
    <w:rsid w:val="008429CA"/>
    <w:rsid w:val="00842ADC"/>
    <w:rsid w:val="00842B7A"/>
    <w:rsid w:val="00843185"/>
    <w:rsid w:val="00843A12"/>
    <w:rsid w:val="00843D90"/>
    <w:rsid w:val="00843F81"/>
    <w:rsid w:val="00844146"/>
    <w:rsid w:val="008449F1"/>
    <w:rsid w:val="00844AE6"/>
    <w:rsid w:val="00844EFD"/>
    <w:rsid w:val="0084547A"/>
    <w:rsid w:val="00846335"/>
    <w:rsid w:val="0084663E"/>
    <w:rsid w:val="00846708"/>
    <w:rsid w:val="0084722E"/>
    <w:rsid w:val="0084744E"/>
    <w:rsid w:val="008474DC"/>
    <w:rsid w:val="0084758B"/>
    <w:rsid w:val="0085027B"/>
    <w:rsid w:val="00850430"/>
    <w:rsid w:val="008504B0"/>
    <w:rsid w:val="00850822"/>
    <w:rsid w:val="0085083E"/>
    <w:rsid w:val="00850B18"/>
    <w:rsid w:val="00850F3E"/>
    <w:rsid w:val="008510DC"/>
    <w:rsid w:val="00851154"/>
    <w:rsid w:val="008512E9"/>
    <w:rsid w:val="008513D9"/>
    <w:rsid w:val="00851FE9"/>
    <w:rsid w:val="008526C3"/>
    <w:rsid w:val="008529CF"/>
    <w:rsid w:val="008530CF"/>
    <w:rsid w:val="00853148"/>
    <w:rsid w:val="008534FC"/>
    <w:rsid w:val="008539D9"/>
    <w:rsid w:val="00853BDA"/>
    <w:rsid w:val="00853DF4"/>
    <w:rsid w:val="0085423B"/>
    <w:rsid w:val="00854732"/>
    <w:rsid w:val="0085475B"/>
    <w:rsid w:val="0085478C"/>
    <w:rsid w:val="00854823"/>
    <w:rsid w:val="008548AA"/>
    <w:rsid w:val="008550B4"/>
    <w:rsid w:val="00855821"/>
    <w:rsid w:val="00855BA5"/>
    <w:rsid w:val="00855F6A"/>
    <w:rsid w:val="00856693"/>
    <w:rsid w:val="00856A7B"/>
    <w:rsid w:val="00856DFA"/>
    <w:rsid w:val="00856F4E"/>
    <w:rsid w:val="00857793"/>
    <w:rsid w:val="00857973"/>
    <w:rsid w:val="008579B1"/>
    <w:rsid w:val="00857A7C"/>
    <w:rsid w:val="00857B0D"/>
    <w:rsid w:val="00857B30"/>
    <w:rsid w:val="00857CCA"/>
    <w:rsid w:val="008600D0"/>
    <w:rsid w:val="008604FD"/>
    <w:rsid w:val="00860599"/>
    <w:rsid w:val="00860C8F"/>
    <w:rsid w:val="00860D19"/>
    <w:rsid w:val="0086104C"/>
    <w:rsid w:val="008617A8"/>
    <w:rsid w:val="00861A2B"/>
    <w:rsid w:val="00861D93"/>
    <w:rsid w:val="00861F8C"/>
    <w:rsid w:val="008620CA"/>
    <w:rsid w:val="008621BC"/>
    <w:rsid w:val="008626EF"/>
    <w:rsid w:val="008633B3"/>
    <w:rsid w:val="00863533"/>
    <w:rsid w:val="00864314"/>
    <w:rsid w:val="00864865"/>
    <w:rsid w:val="00864D09"/>
    <w:rsid w:val="0086508A"/>
    <w:rsid w:val="00865392"/>
    <w:rsid w:val="008658DB"/>
    <w:rsid w:val="00865957"/>
    <w:rsid w:val="00865BBE"/>
    <w:rsid w:val="00865C58"/>
    <w:rsid w:val="00866215"/>
    <w:rsid w:val="00866A7B"/>
    <w:rsid w:val="00866B42"/>
    <w:rsid w:val="00866C37"/>
    <w:rsid w:val="008672D8"/>
    <w:rsid w:val="00867670"/>
    <w:rsid w:val="00867CE0"/>
    <w:rsid w:val="0087015C"/>
    <w:rsid w:val="008704A6"/>
    <w:rsid w:val="0087094A"/>
    <w:rsid w:val="00870A3D"/>
    <w:rsid w:val="00870F2E"/>
    <w:rsid w:val="00870FEF"/>
    <w:rsid w:val="008710AC"/>
    <w:rsid w:val="008710EF"/>
    <w:rsid w:val="008717B8"/>
    <w:rsid w:val="00871B3B"/>
    <w:rsid w:val="00871DA3"/>
    <w:rsid w:val="00871DF7"/>
    <w:rsid w:val="00871EBF"/>
    <w:rsid w:val="00871F0A"/>
    <w:rsid w:val="00872414"/>
    <w:rsid w:val="00872906"/>
    <w:rsid w:val="00872C29"/>
    <w:rsid w:val="00872DC0"/>
    <w:rsid w:val="00872EBD"/>
    <w:rsid w:val="00873794"/>
    <w:rsid w:val="008739A9"/>
    <w:rsid w:val="00874156"/>
    <w:rsid w:val="008742DE"/>
    <w:rsid w:val="00874459"/>
    <w:rsid w:val="008745A8"/>
    <w:rsid w:val="00874961"/>
    <w:rsid w:val="008749FF"/>
    <w:rsid w:val="008754B7"/>
    <w:rsid w:val="00875505"/>
    <w:rsid w:val="0087556A"/>
    <w:rsid w:val="00875CF8"/>
    <w:rsid w:val="00875D86"/>
    <w:rsid w:val="008762F9"/>
    <w:rsid w:val="00876346"/>
    <w:rsid w:val="00876575"/>
    <w:rsid w:val="00876AA0"/>
    <w:rsid w:val="00876DBA"/>
    <w:rsid w:val="008771C3"/>
    <w:rsid w:val="00877B63"/>
    <w:rsid w:val="0088014E"/>
    <w:rsid w:val="00880165"/>
    <w:rsid w:val="0088026E"/>
    <w:rsid w:val="00880343"/>
    <w:rsid w:val="0088035D"/>
    <w:rsid w:val="0088072C"/>
    <w:rsid w:val="00880BA3"/>
    <w:rsid w:val="008818A9"/>
    <w:rsid w:val="00881B25"/>
    <w:rsid w:val="00881CC3"/>
    <w:rsid w:val="00881CFA"/>
    <w:rsid w:val="00881D8D"/>
    <w:rsid w:val="00882F1B"/>
    <w:rsid w:val="00883157"/>
    <w:rsid w:val="008831A2"/>
    <w:rsid w:val="00883DCF"/>
    <w:rsid w:val="008841A8"/>
    <w:rsid w:val="00884660"/>
    <w:rsid w:val="0088479C"/>
    <w:rsid w:val="00884936"/>
    <w:rsid w:val="00884E64"/>
    <w:rsid w:val="0088549A"/>
    <w:rsid w:val="00885540"/>
    <w:rsid w:val="008855CA"/>
    <w:rsid w:val="00885769"/>
    <w:rsid w:val="008857EE"/>
    <w:rsid w:val="00885B33"/>
    <w:rsid w:val="00885B68"/>
    <w:rsid w:val="00885EB3"/>
    <w:rsid w:val="00886028"/>
    <w:rsid w:val="008861D0"/>
    <w:rsid w:val="00886317"/>
    <w:rsid w:val="0088648B"/>
    <w:rsid w:val="008864C6"/>
    <w:rsid w:val="008866BB"/>
    <w:rsid w:val="00886C63"/>
    <w:rsid w:val="00886CEA"/>
    <w:rsid w:val="008870CD"/>
    <w:rsid w:val="00887235"/>
    <w:rsid w:val="008873E7"/>
    <w:rsid w:val="008875BE"/>
    <w:rsid w:val="00887AB6"/>
    <w:rsid w:val="00887B0E"/>
    <w:rsid w:val="008901E5"/>
    <w:rsid w:val="00890525"/>
    <w:rsid w:val="00890786"/>
    <w:rsid w:val="0089097A"/>
    <w:rsid w:val="00890984"/>
    <w:rsid w:val="00890EA6"/>
    <w:rsid w:val="008910CB"/>
    <w:rsid w:val="00891459"/>
    <w:rsid w:val="008916B1"/>
    <w:rsid w:val="008917E4"/>
    <w:rsid w:val="008918DD"/>
    <w:rsid w:val="00891F14"/>
    <w:rsid w:val="00891FD7"/>
    <w:rsid w:val="00892139"/>
    <w:rsid w:val="00892295"/>
    <w:rsid w:val="0089257C"/>
    <w:rsid w:val="008925FE"/>
    <w:rsid w:val="00892FF5"/>
    <w:rsid w:val="00893091"/>
    <w:rsid w:val="00893292"/>
    <w:rsid w:val="0089330B"/>
    <w:rsid w:val="00893C65"/>
    <w:rsid w:val="00893D7E"/>
    <w:rsid w:val="00893E17"/>
    <w:rsid w:val="008943ED"/>
    <w:rsid w:val="00894AE6"/>
    <w:rsid w:val="00895619"/>
    <w:rsid w:val="00895807"/>
    <w:rsid w:val="00895CC1"/>
    <w:rsid w:val="00895FAF"/>
    <w:rsid w:val="00896352"/>
    <w:rsid w:val="00896438"/>
    <w:rsid w:val="008969A7"/>
    <w:rsid w:val="00896AC9"/>
    <w:rsid w:val="00897042"/>
    <w:rsid w:val="00897607"/>
    <w:rsid w:val="008976CA"/>
    <w:rsid w:val="008A0908"/>
    <w:rsid w:val="008A091E"/>
    <w:rsid w:val="008A0997"/>
    <w:rsid w:val="008A0AC4"/>
    <w:rsid w:val="008A0BD9"/>
    <w:rsid w:val="008A0C5B"/>
    <w:rsid w:val="008A0FE1"/>
    <w:rsid w:val="008A1620"/>
    <w:rsid w:val="008A18DA"/>
    <w:rsid w:val="008A1939"/>
    <w:rsid w:val="008A236B"/>
    <w:rsid w:val="008A23E3"/>
    <w:rsid w:val="008A254A"/>
    <w:rsid w:val="008A2582"/>
    <w:rsid w:val="008A3329"/>
    <w:rsid w:val="008A38A5"/>
    <w:rsid w:val="008A3C37"/>
    <w:rsid w:val="008A4085"/>
    <w:rsid w:val="008A40BA"/>
    <w:rsid w:val="008A461C"/>
    <w:rsid w:val="008A4763"/>
    <w:rsid w:val="008A485D"/>
    <w:rsid w:val="008A55A3"/>
    <w:rsid w:val="008A561F"/>
    <w:rsid w:val="008A5620"/>
    <w:rsid w:val="008A574E"/>
    <w:rsid w:val="008A5B9A"/>
    <w:rsid w:val="008A6054"/>
    <w:rsid w:val="008A67EF"/>
    <w:rsid w:val="008A6A0F"/>
    <w:rsid w:val="008A6A61"/>
    <w:rsid w:val="008A6AA5"/>
    <w:rsid w:val="008A6DD1"/>
    <w:rsid w:val="008A6E59"/>
    <w:rsid w:val="008A6E63"/>
    <w:rsid w:val="008A71D7"/>
    <w:rsid w:val="008A75B8"/>
    <w:rsid w:val="008A76D1"/>
    <w:rsid w:val="008AECE0"/>
    <w:rsid w:val="008B003D"/>
    <w:rsid w:val="008B0565"/>
    <w:rsid w:val="008B07BD"/>
    <w:rsid w:val="008B0977"/>
    <w:rsid w:val="008B0B93"/>
    <w:rsid w:val="008B0EBB"/>
    <w:rsid w:val="008B159D"/>
    <w:rsid w:val="008B1AC5"/>
    <w:rsid w:val="008B1ADB"/>
    <w:rsid w:val="008B1CA4"/>
    <w:rsid w:val="008B1D8C"/>
    <w:rsid w:val="008B2074"/>
    <w:rsid w:val="008B20DC"/>
    <w:rsid w:val="008B20ED"/>
    <w:rsid w:val="008B217A"/>
    <w:rsid w:val="008B2761"/>
    <w:rsid w:val="008B29CA"/>
    <w:rsid w:val="008B2A13"/>
    <w:rsid w:val="008B2ADF"/>
    <w:rsid w:val="008B2AE4"/>
    <w:rsid w:val="008B2CEC"/>
    <w:rsid w:val="008B2D05"/>
    <w:rsid w:val="008B2F78"/>
    <w:rsid w:val="008B33D5"/>
    <w:rsid w:val="008B3501"/>
    <w:rsid w:val="008B3A2F"/>
    <w:rsid w:val="008B3D6C"/>
    <w:rsid w:val="008B447C"/>
    <w:rsid w:val="008B46FB"/>
    <w:rsid w:val="008B4825"/>
    <w:rsid w:val="008B4940"/>
    <w:rsid w:val="008B4950"/>
    <w:rsid w:val="008B4951"/>
    <w:rsid w:val="008B4B6F"/>
    <w:rsid w:val="008B4D7D"/>
    <w:rsid w:val="008B51C1"/>
    <w:rsid w:val="008B5924"/>
    <w:rsid w:val="008B5C5A"/>
    <w:rsid w:val="008B676E"/>
    <w:rsid w:val="008B6EF4"/>
    <w:rsid w:val="008B6F02"/>
    <w:rsid w:val="008B7386"/>
    <w:rsid w:val="008B79FE"/>
    <w:rsid w:val="008C001F"/>
    <w:rsid w:val="008C0378"/>
    <w:rsid w:val="008C050E"/>
    <w:rsid w:val="008C0514"/>
    <w:rsid w:val="008C078E"/>
    <w:rsid w:val="008C08E9"/>
    <w:rsid w:val="008C0A8E"/>
    <w:rsid w:val="008C0C03"/>
    <w:rsid w:val="008C0DA3"/>
    <w:rsid w:val="008C0E47"/>
    <w:rsid w:val="008C0EF0"/>
    <w:rsid w:val="008C127F"/>
    <w:rsid w:val="008C1CC9"/>
    <w:rsid w:val="008C1FEA"/>
    <w:rsid w:val="008C252D"/>
    <w:rsid w:val="008C2620"/>
    <w:rsid w:val="008C307F"/>
    <w:rsid w:val="008C3B5C"/>
    <w:rsid w:val="008C3BD2"/>
    <w:rsid w:val="008C3CB2"/>
    <w:rsid w:val="008C3FD4"/>
    <w:rsid w:val="008C4310"/>
    <w:rsid w:val="008C45DA"/>
    <w:rsid w:val="008C4AED"/>
    <w:rsid w:val="008C4E67"/>
    <w:rsid w:val="008C4FC4"/>
    <w:rsid w:val="008C5178"/>
    <w:rsid w:val="008C5A3C"/>
    <w:rsid w:val="008C5C77"/>
    <w:rsid w:val="008C622A"/>
    <w:rsid w:val="008C628C"/>
    <w:rsid w:val="008C64DF"/>
    <w:rsid w:val="008C6694"/>
    <w:rsid w:val="008C6BF1"/>
    <w:rsid w:val="008C6F66"/>
    <w:rsid w:val="008C7385"/>
    <w:rsid w:val="008C7B14"/>
    <w:rsid w:val="008D01AD"/>
    <w:rsid w:val="008D061D"/>
    <w:rsid w:val="008D08B5"/>
    <w:rsid w:val="008D0945"/>
    <w:rsid w:val="008D09DB"/>
    <w:rsid w:val="008D0AC6"/>
    <w:rsid w:val="008D1588"/>
    <w:rsid w:val="008D17C9"/>
    <w:rsid w:val="008D1999"/>
    <w:rsid w:val="008D1A16"/>
    <w:rsid w:val="008D1B09"/>
    <w:rsid w:val="008D20CB"/>
    <w:rsid w:val="008D28E4"/>
    <w:rsid w:val="008D2A1A"/>
    <w:rsid w:val="008D2E21"/>
    <w:rsid w:val="008D3076"/>
    <w:rsid w:val="008D30C7"/>
    <w:rsid w:val="008D3311"/>
    <w:rsid w:val="008D34E9"/>
    <w:rsid w:val="008D372B"/>
    <w:rsid w:val="008D3843"/>
    <w:rsid w:val="008D3C5F"/>
    <w:rsid w:val="008D3CFD"/>
    <w:rsid w:val="008D426A"/>
    <w:rsid w:val="008D4CB3"/>
    <w:rsid w:val="008D4D80"/>
    <w:rsid w:val="008D4ED5"/>
    <w:rsid w:val="008D5AF3"/>
    <w:rsid w:val="008D630A"/>
    <w:rsid w:val="008D664D"/>
    <w:rsid w:val="008D66DE"/>
    <w:rsid w:val="008D6D06"/>
    <w:rsid w:val="008D6E1B"/>
    <w:rsid w:val="008D6FE7"/>
    <w:rsid w:val="008D71FB"/>
    <w:rsid w:val="008D7640"/>
    <w:rsid w:val="008D7759"/>
    <w:rsid w:val="008D7F07"/>
    <w:rsid w:val="008D7F6A"/>
    <w:rsid w:val="008D7FD8"/>
    <w:rsid w:val="008E018F"/>
    <w:rsid w:val="008E01C4"/>
    <w:rsid w:val="008E045A"/>
    <w:rsid w:val="008E0533"/>
    <w:rsid w:val="008E05DD"/>
    <w:rsid w:val="008E05F6"/>
    <w:rsid w:val="008E05FA"/>
    <w:rsid w:val="008E07E1"/>
    <w:rsid w:val="008E0A28"/>
    <w:rsid w:val="008E0BC0"/>
    <w:rsid w:val="008E186A"/>
    <w:rsid w:val="008E1D70"/>
    <w:rsid w:val="008E1EA7"/>
    <w:rsid w:val="008E21E1"/>
    <w:rsid w:val="008E225B"/>
    <w:rsid w:val="008E2853"/>
    <w:rsid w:val="008E2A4B"/>
    <w:rsid w:val="008E2ADB"/>
    <w:rsid w:val="008E2CD9"/>
    <w:rsid w:val="008E2F1E"/>
    <w:rsid w:val="008E31B2"/>
    <w:rsid w:val="008E3219"/>
    <w:rsid w:val="008E34A1"/>
    <w:rsid w:val="008E35B3"/>
    <w:rsid w:val="008E3A91"/>
    <w:rsid w:val="008E4573"/>
    <w:rsid w:val="008E4637"/>
    <w:rsid w:val="008E48DE"/>
    <w:rsid w:val="008E5205"/>
    <w:rsid w:val="008E5532"/>
    <w:rsid w:val="008E599A"/>
    <w:rsid w:val="008E5ABA"/>
    <w:rsid w:val="008E5B0D"/>
    <w:rsid w:val="008E5B96"/>
    <w:rsid w:val="008E5C7F"/>
    <w:rsid w:val="008E6190"/>
    <w:rsid w:val="008E64A0"/>
    <w:rsid w:val="008E683B"/>
    <w:rsid w:val="008E6941"/>
    <w:rsid w:val="008E6CA8"/>
    <w:rsid w:val="008E6D64"/>
    <w:rsid w:val="008E73B4"/>
    <w:rsid w:val="008E7434"/>
    <w:rsid w:val="008E7504"/>
    <w:rsid w:val="008E7837"/>
    <w:rsid w:val="008E790A"/>
    <w:rsid w:val="008E7B72"/>
    <w:rsid w:val="008E7E48"/>
    <w:rsid w:val="008E7EB0"/>
    <w:rsid w:val="008EDC24"/>
    <w:rsid w:val="008F0677"/>
    <w:rsid w:val="008F07B2"/>
    <w:rsid w:val="008F116A"/>
    <w:rsid w:val="008F12EF"/>
    <w:rsid w:val="008F13B1"/>
    <w:rsid w:val="008F1694"/>
    <w:rsid w:val="008F19AC"/>
    <w:rsid w:val="008F1B57"/>
    <w:rsid w:val="008F1FC7"/>
    <w:rsid w:val="008F2328"/>
    <w:rsid w:val="008F238F"/>
    <w:rsid w:val="008F23C5"/>
    <w:rsid w:val="008F2CD7"/>
    <w:rsid w:val="008F2D3A"/>
    <w:rsid w:val="008F362B"/>
    <w:rsid w:val="008F432A"/>
    <w:rsid w:val="008F4FB2"/>
    <w:rsid w:val="008F50A1"/>
    <w:rsid w:val="008F544B"/>
    <w:rsid w:val="008F5661"/>
    <w:rsid w:val="008F5674"/>
    <w:rsid w:val="008F5D7B"/>
    <w:rsid w:val="008F616F"/>
    <w:rsid w:val="008F655E"/>
    <w:rsid w:val="008F681F"/>
    <w:rsid w:val="008F6918"/>
    <w:rsid w:val="008F738F"/>
    <w:rsid w:val="008F73A6"/>
    <w:rsid w:val="008F74E5"/>
    <w:rsid w:val="008F7670"/>
    <w:rsid w:val="008F7683"/>
    <w:rsid w:val="008F77FC"/>
    <w:rsid w:val="008F7A0F"/>
    <w:rsid w:val="008F7B5D"/>
    <w:rsid w:val="0090044B"/>
    <w:rsid w:val="009005A9"/>
    <w:rsid w:val="00900717"/>
    <w:rsid w:val="00900A5E"/>
    <w:rsid w:val="00900B95"/>
    <w:rsid w:val="0090124A"/>
    <w:rsid w:val="009016E9"/>
    <w:rsid w:val="0090188E"/>
    <w:rsid w:val="00901A97"/>
    <w:rsid w:val="00901D65"/>
    <w:rsid w:val="00901EAB"/>
    <w:rsid w:val="00901F2A"/>
    <w:rsid w:val="00901FB9"/>
    <w:rsid w:val="009020F0"/>
    <w:rsid w:val="0090225F"/>
    <w:rsid w:val="0090232C"/>
    <w:rsid w:val="009024FD"/>
    <w:rsid w:val="0090268B"/>
    <w:rsid w:val="009029D9"/>
    <w:rsid w:val="00902A86"/>
    <w:rsid w:val="009032D0"/>
    <w:rsid w:val="0090334C"/>
    <w:rsid w:val="00903DDB"/>
    <w:rsid w:val="00903E85"/>
    <w:rsid w:val="009047F1"/>
    <w:rsid w:val="00904BDB"/>
    <w:rsid w:val="00904EAD"/>
    <w:rsid w:val="00904F1A"/>
    <w:rsid w:val="00904FC7"/>
    <w:rsid w:val="009050D7"/>
    <w:rsid w:val="0090512E"/>
    <w:rsid w:val="009056B0"/>
    <w:rsid w:val="00905A80"/>
    <w:rsid w:val="00905B0B"/>
    <w:rsid w:val="00905B54"/>
    <w:rsid w:val="00906010"/>
    <w:rsid w:val="0090604E"/>
    <w:rsid w:val="009063C0"/>
    <w:rsid w:val="00906C08"/>
    <w:rsid w:val="00906E95"/>
    <w:rsid w:val="0090700F"/>
    <w:rsid w:val="00907082"/>
    <w:rsid w:val="009071C3"/>
    <w:rsid w:val="009075C7"/>
    <w:rsid w:val="0090764F"/>
    <w:rsid w:val="00907D8A"/>
    <w:rsid w:val="00907ECC"/>
    <w:rsid w:val="009100A0"/>
    <w:rsid w:val="00910302"/>
    <w:rsid w:val="0091041B"/>
    <w:rsid w:val="00910614"/>
    <w:rsid w:val="0091070A"/>
    <w:rsid w:val="00910C38"/>
    <w:rsid w:val="00911556"/>
    <w:rsid w:val="009119A5"/>
    <w:rsid w:val="00911B5D"/>
    <w:rsid w:val="00911EF1"/>
    <w:rsid w:val="00912810"/>
    <w:rsid w:val="00912AF3"/>
    <w:rsid w:val="00912B80"/>
    <w:rsid w:val="00912C54"/>
    <w:rsid w:val="00913255"/>
    <w:rsid w:val="009134A4"/>
    <w:rsid w:val="009138DA"/>
    <w:rsid w:val="0091395C"/>
    <w:rsid w:val="00913AEC"/>
    <w:rsid w:val="00913B9A"/>
    <w:rsid w:val="00913DB2"/>
    <w:rsid w:val="00914295"/>
    <w:rsid w:val="009142AF"/>
    <w:rsid w:val="00914513"/>
    <w:rsid w:val="009156F8"/>
    <w:rsid w:val="00915D9C"/>
    <w:rsid w:val="00915E6C"/>
    <w:rsid w:val="00915FBB"/>
    <w:rsid w:val="009166A3"/>
    <w:rsid w:val="00916778"/>
    <w:rsid w:val="00916CD1"/>
    <w:rsid w:val="0091741D"/>
    <w:rsid w:val="0091794F"/>
    <w:rsid w:val="00917985"/>
    <w:rsid w:val="00920017"/>
    <w:rsid w:val="009208E6"/>
    <w:rsid w:val="00920937"/>
    <w:rsid w:val="00920A27"/>
    <w:rsid w:val="00920D94"/>
    <w:rsid w:val="00921677"/>
    <w:rsid w:val="00921F7F"/>
    <w:rsid w:val="0092204B"/>
    <w:rsid w:val="00922139"/>
    <w:rsid w:val="00922B22"/>
    <w:rsid w:val="0092475A"/>
    <w:rsid w:val="00925001"/>
    <w:rsid w:val="00925047"/>
    <w:rsid w:val="00925494"/>
    <w:rsid w:val="00925495"/>
    <w:rsid w:val="0092549D"/>
    <w:rsid w:val="009256DE"/>
    <w:rsid w:val="00925ED3"/>
    <w:rsid w:val="009267CB"/>
    <w:rsid w:val="009268E5"/>
    <w:rsid w:val="00926B6A"/>
    <w:rsid w:val="00926E9E"/>
    <w:rsid w:val="00927102"/>
    <w:rsid w:val="00927A18"/>
    <w:rsid w:val="00927B82"/>
    <w:rsid w:val="00927CB9"/>
    <w:rsid w:val="00930984"/>
    <w:rsid w:val="009309F4"/>
    <w:rsid w:val="00930AD6"/>
    <w:rsid w:val="00930C73"/>
    <w:rsid w:val="00930D47"/>
    <w:rsid w:val="00930E04"/>
    <w:rsid w:val="00930FE2"/>
    <w:rsid w:val="00931B79"/>
    <w:rsid w:val="00931E9F"/>
    <w:rsid w:val="00932076"/>
    <w:rsid w:val="009323AD"/>
    <w:rsid w:val="009324F7"/>
    <w:rsid w:val="00932713"/>
    <w:rsid w:val="00932CC0"/>
    <w:rsid w:val="0093300B"/>
    <w:rsid w:val="0093348B"/>
    <w:rsid w:val="009334FA"/>
    <w:rsid w:val="00933578"/>
    <w:rsid w:val="009335C3"/>
    <w:rsid w:val="0093376C"/>
    <w:rsid w:val="009338CF"/>
    <w:rsid w:val="00934249"/>
    <w:rsid w:val="00934773"/>
    <w:rsid w:val="0093481D"/>
    <w:rsid w:val="009348B8"/>
    <w:rsid w:val="0093494A"/>
    <w:rsid w:val="00934A13"/>
    <w:rsid w:val="00934ED4"/>
    <w:rsid w:val="00935093"/>
    <w:rsid w:val="009358D5"/>
    <w:rsid w:val="00935A15"/>
    <w:rsid w:val="00935BC1"/>
    <w:rsid w:val="00935C32"/>
    <w:rsid w:val="00935C9B"/>
    <w:rsid w:val="00935CB2"/>
    <w:rsid w:val="00935DE2"/>
    <w:rsid w:val="00935F81"/>
    <w:rsid w:val="00936347"/>
    <w:rsid w:val="009363F6"/>
    <w:rsid w:val="00936961"/>
    <w:rsid w:val="00936C89"/>
    <w:rsid w:val="009373A4"/>
    <w:rsid w:val="0093774A"/>
    <w:rsid w:val="00937DA2"/>
    <w:rsid w:val="00937FC2"/>
    <w:rsid w:val="009402D5"/>
    <w:rsid w:val="00940388"/>
    <w:rsid w:val="0094046A"/>
    <w:rsid w:val="0094069C"/>
    <w:rsid w:val="0094098D"/>
    <w:rsid w:val="0094111C"/>
    <w:rsid w:val="00941336"/>
    <w:rsid w:val="00941867"/>
    <w:rsid w:val="00942236"/>
    <w:rsid w:val="00942386"/>
    <w:rsid w:val="0094264F"/>
    <w:rsid w:val="009429AB"/>
    <w:rsid w:val="0094342A"/>
    <w:rsid w:val="00943DCB"/>
    <w:rsid w:val="00943F85"/>
    <w:rsid w:val="0094407D"/>
    <w:rsid w:val="0094417B"/>
    <w:rsid w:val="009446B8"/>
    <w:rsid w:val="00944CC8"/>
    <w:rsid w:val="0094504D"/>
    <w:rsid w:val="009455D7"/>
    <w:rsid w:val="00945AC2"/>
    <w:rsid w:val="00945FF8"/>
    <w:rsid w:val="00946309"/>
    <w:rsid w:val="00947226"/>
    <w:rsid w:val="009475AD"/>
    <w:rsid w:val="00947735"/>
    <w:rsid w:val="00947EB1"/>
    <w:rsid w:val="00947EEC"/>
    <w:rsid w:val="0095007B"/>
    <w:rsid w:val="0095075B"/>
    <w:rsid w:val="0095082B"/>
    <w:rsid w:val="00950D12"/>
    <w:rsid w:val="00950F37"/>
    <w:rsid w:val="00951057"/>
    <w:rsid w:val="00951703"/>
    <w:rsid w:val="009517D7"/>
    <w:rsid w:val="00951B96"/>
    <w:rsid w:val="00951DF2"/>
    <w:rsid w:val="00951F29"/>
    <w:rsid w:val="009520AA"/>
    <w:rsid w:val="00952306"/>
    <w:rsid w:val="00952426"/>
    <w:rsid w:val="00952574"/>
    <w:rsid w:val="0095260F"/>
    <w:rsid w:val="00952B6A"/>
    <w:rsid w:val="00952C3E"/>
    <w:rsid w:val="00952E0E"/>
    <w:rsid w:val="009535CA"/>
    <w:rsid w:val="00954015"/>
    <w:rsid w:val="00954092"/>
    <w:rsid w:val="00954137"/>
    <w:rsid w:val="009544E7"/>
    <w:rsid w:val="0095469A"/>
    <w:rsid w:val="00954D89"/>
    <w:rsid w:val="00955380"/>
    <w:rsid w:val="009553D1"/>
    <w:rsid w:val="0095565B"/>
    <w:rsid w:val="00955870"/>
    <w:rsid w:val="00955BB1"/>
    <w:rsid w:val="00955C5F"/>
    <w:rsid w:val="00955ED4"/>
    <w:rsid w:val="00956084"/>
    <w:rsid w:val="009562D5"/>
    <w:rsid w:val="0095632F"/>
    <w:rsid w:val="00956412"/>
    <w:rsid w:val="00956E36"/>
    <w:rsid w:val="00956E59"/>
    <w:rsid w:val="00956EB3"/>
    <w:rsid w:val="009572C3"/>
    <w:rsid w:val="009573D0"/>
    <w:rsid w:val="00957652"/>
    <w:rsid w:val="00957833"/>
    <w:rsid w:val="0095789C"/>
    <w:rsid w:val="00960577"/>
    <w:rsid w:val="00960E75"/>
    <w:rsid w:val="009611EB"/>
    <w:rsid w:val="00961458"/>
    <w:rsid w:val="009614A8"/>
    <w:rsid w:val="00961551"/>
    <w:rsid w:val="00961773"/>
    <w:rsid w:val="00961C49"/>
    <w:rsid w:val="00961CDC"/>
    <w:rsid w:val="009623BE"/>
    <w:rsid w:val="009623F0"/>
    <w:rsid w:val="00962BA8"/>
    <w:rsid w:val="009631C8"/>
    <w:rsid w:val="00963442"/>
    <w:rsid w:val="00963783"/>
    <w:rsid w:val="009638F6"/>
    <w:rsid w:val="00963A42"/>
    <w:rsid w:val="00963B0F"/>
    <w:rsid w:val="00963B5D"/>
    <w:rsid w:val="00963E35"/>
    <w:rsid w:val="0096408A"/>
    <w:rsid w:val="009649DB"/>
    <w:rsid w:val="009650E6"/>
    <w:rsid w:val="009650F3"/>
    <w:rsid w:val="00965139"/>
    <w:rsid w:val="009651B8"/>
    <w:rsid w:val="00965321"/>
    <w:rsid w:val="009654FF"/>
    <w:rsid w:val="00965546"/>
    <w:rsid w:val="00965551"/>
    <w:rsid w:val="0096598C"/>
    <w:rsid w:val="009659A1"/>
    <w:rsid w:val="00965DF5"/>
    <w:rsid w:val="00965DF6"/>
    <w:rsid w:val="00966222"/>
    <w:rsid w:val="009664B3"/>
    <w:rsid w:val="0096650C"/>
    <w:rsid w:val="00967207"/>
    <w:rsid w:val="00967230"/>
    <w:rsid w:val="00967370"/>
    <w:rsid w:val="0096778A"/>
    <w:rsid w:val="00970029"/>
    <w:rsid w:val="009705E6"/>
    <w:rsid w:val="009708CD"/>
    <w:rsid w:val="00970C83"/>
    <w:rsid w:val="00970CD1"/>
    <w:rsid w:val="00970DAD"/>
    <w:rsid w:val="009718F3"/>
    <w:rsid w:val="00971ED7"/>
    <w:rsid w:val="00972223"/>
    <w:rsid w:val="009726AC"/>
    <w:rsid w:val="009729CC"/>
    <w:rsid w:val="00972CE7"/>
    <w:rsid w:val="00972F2D"/>
    <w:rsid w:val="009734C1"/>
    <w:rsid w:val="00973AC3"/>
    <w:rsid w:val="00973B37"/>
    <w:rsid w:val="00973C88"/>
    <w:rsid w:val="00973F6E"/>
    <w:rsid w:val="00974247"/>
    <w:rsid w:val="0097488C"/>
    <w:rsid w:val="009748FB"/>
    <w:rsid w:val="00974CF7"/>
    <w:rsid w:val="00974DE8"/>
    <w:rsid w:val="00974F96"/>
    <w:rsid w:val="009751DB"/>
    <w:rsid w:val="009751FB"/>
    <w:rsid w:val="00975518"/>
    <w:rsid w:val="00975C88"/>
    <w:rsid w:val="00975F10"/>
    <w:rsid w:val="00975F8C"/>
    <w:rsid w:val="00976978"/>
    <w:rsid w:val="00976C29"/>
    <w:rsid w:val="00977547"/>
    <w:rsid w:val="009776AF"/>
    <w:rsid w:val="00980111"/>
    <w:rsid w:val="00980798"/>
    <w:rsid w:val="00980997"/>
    <w:rsid w:val="00980ABD"/>
    <w:rsid w:val="00980EA7"/>
    <w:rsid w:val="009810FE"/>
    <w:rsid w:val="009818DF"/>
    <w:rsid w:val="00981905"/>
    <w:rsid w:val="00981C09"/>
    <w:rsid w:val="00981C31"/>
    <w:rsid w:val="00981ECA"/>
    <w:rsid w:val="00982354"/>
    <w:rsid w:val="0098242E"/>
    <w:rsid w:val="009833A1"/>
    <w:rsid w:val="00983BFC"/>
    <w:rsid w:val="00983CC0"/>
    <w:rsid w:val="00983D1A"/>
    <w:rsid w:val="00984091"/>
    <w:rsid w:val="009845BA"/>
    <w:rsid w:val="00984A26"/>
    <w:rsid w:val="00984C33"/>
    <w:rsid w:val="009853B5"/>
    <w:rsid w:val="00985681"/>
    <w:rsid w:val="00985894"/>
    <w:rsid w:val="00985C35"/>
    <w:rsid w:val="00985DC4"/>
    <w:rsid w:val="0098678B"/>
    <w:rsid w:val="00986A06"/>
    <w:rsid w:val="00986A3E"/>
    <w:rsid w:val="00986AA0"/>
    <w:rsid w:val="00986B20"/>
    <w:rsid w:val="00986CA0"/>
    <w:rsid w:val="00987325"/>
    <w:rsid w:val="0098748F"/>
    <w:rsid w:val="009875D9"/>
    <w:rsid w:val="0098766D"/>
    <w:rsid w:val="009876E1"/>
    <w:rsid w:val="00987C62"/>
    <w:rsid w:val="00987C92"/>
    <w:rsid w:val="00990128"/>
    <w:rsid w:val="00990253"/>
    <w:rsid w:val="0099081A"/>
    <w:rsid w:val="009910C5"/>
    <w:rsid w:val="00991135"/>
    <w:rsid w:val="0099126A"/>
    <w:rsid w:val="009914CF"/>
    <w:rsid w:val="00991CC1"/>
    <w:rsid w:val="00991D30"/>
    <w:rsid w:val="00991F4D"/>
    <w:rsid w:val="00992479"/>
    <w:rsid w:val="00992628"/>
    <w:rsid w:val="00992A90"/>
    <w:rsid w:val="00992D28"/>
    <w:rsid w:val="00992D88"/>
    <w:rsid w:val="00993520"/>
    <w:rsid w:val="00993EA2"/>
    <w:rsid w:val="0099436D"/>
    <w:rsid w:val="009943CA"/>
    <w:rsid w:val="009944D7"/>
    <w:rsid w:val="0099482F"/>
    <w:rsid w:val="009948B3"/>
    <w:rsid w:val="009948E7"/>
    <w:rsid w:val="00994A03"/>
    <w:rsid w:val="00994A86"/>
    <w:rsid w:val="00994B7D"/>
    <w:rsid w:val="00995169"/>
    <w:rsid w:val="00995378"/>
    <w:rsid w:val="009954CC"/>
    <w:rsid w:val="00995633"/>
    <w:rsid w:val="00995DCC"/>
    <w:rsid w:val="00995F1C"/>
    <w:rsid w:val="00996121"/>
    <w:rsid w:val="00996239"/>
    <w:rsid w:val="0099636C"/>
    <w:rsid w:val="00996898"/>
    <w:rsid w:val="00996D81"/>
    <w:rsid w:val="0099703E"/>
    <w:rsid w:val="009971F7"/>
    <w:rsid w:val="009972A8"/>
    <w:rsid w:val="009973F3"/>
    <w:rsid w:val="0099763C"/>
    <w:rsid w:val="00997774"/>
    <w:rsid w:val="00997CBA"/>
    <w:rsid w:val="00997D04"/>
    <w:rsid w:val="00997DE0"/>
    <w:rsid w:val="00997F42"/>
    <w:rsid w:val="009A049B"/>
    <w:rsid w:val="009A0553"/>
    <w:rsid w:val="009A05CF"/>
    <w:rsid w:val="009A0767"/>
    <w:rsid w:val="009A0A6B"/>
    <w:rsid w:val="009A0B55"/>
    <w:rsid w:val="009A0D1B"/>
    <w:rsid w:val="009A0E47"/>
    <w:rsid w:val="009A0E93"/>
    <w:rsid w:val="009A1665"/>
    <w:rsid w:val="009A1694"/>
    <w:rsid w:val="009A1838"/>
    <w:rsid w:val="009A1917"/>
    <w:rsid w:val="009A1DAD"/>
    <w:rsid w:val="009A1E2A"/>
    <w:rsid w:val="009A1E93"/>
    <w:rsid w:val="009A212D"/>
    <w:rsid w:val="009A2268"/>
    <w:rsid w:val="009A22F9"/>
    <w:rsid w:val="009A274C"/>
    <w:rsid w:val="009A2E5B"/>
    <w:rsid w:val="009A2F34"/>
    <w:rsid w:val="009A345A"/>
    <w:rsid w:val="009A36DE"/>
    <w:rsid w:val="009A3F8B"/>
    <w:rsid w:val="009A4031"/>
    <w:rsid w:val="009A41CE"/>
    <w:rsid w:val="009A4F17"/>
    <w:rsid w:val="009A5037"/>
    <w:rsid w:val="009A5168"/>
    <w:rsid w:val="009A54F8"/>
    <w:rsid w:val="009A585A"/>
    <w:rsid w:val="009A58CD"/>
    <w:rsid w:val="009A5B18"/>
    <w:rsid w:val="009A5C14"/>
    <w:rsid w:val="009A5E05"/>
    <w:rsid w:val="009A6629"/>
    <w:rsid w:val="009A674E"/>
    <w:rsid w:val="009A6867"/>
    <w:rsid w:val="009A6CAE"/>
    <w:rsid w:val="009A6D0D"/>
    <w:rsid w:val="009A6D2F"/>
    <w:rsid w:val="009A6DD9"/>
    <w:rsid w:val="009A7593"/>
    <w:rsid w:val="009A7755"/>
    <w:rsid w:val="009A799D"/>
    <w:rsid w:val="009A7CF8"/>
    <w:rsid w:val="009B0011"/>
    <w:rsid w:val="009B07AC"/>
    <w:rsid w:val="009B0EB8"/>
    <w:rsid w:val="009B0F39"/>
    <w:rsid w:val="009B1009"/>
    <w:rsid w:val="009B11D0"/>
    <w:rsid w:val="009B1301"/>
    <w:rsid w:val="009B16A6"/>
    <w:rsid w:val="009B16BF"/>
    <w:rsid w:val="009B1D27"/>
    <w:rsid w:val="009B2190"/>
    <w:rsid w:val="009B2973"/>
    <w:rsid w:val="009B2A24"/>
    <w:rsid w:val="009B2F33"/>
    <w:rsid w:val="009B32ED"/>
    <w:rsid w:val="009B3FED"/>
    <w:rsid w:val="009B4278"/>
    <w:rsid w:val="009B462B"/>
    <w:rsid w:val="009B4C7C"/>
    <w:rsid w:val="009B501C"/>
    <w:rsid w:val="009B50EE"/>
    <w:rsid w:val="009B530C"/>
    <w:rsid w:val="009B5484"/>
    <w:rsid w:val="009B5682"/>
    <w:rsid w:val="009B5BD0"/>
    <w:rsid w:val="009B6154"/>
    <w:rsid w:val="009B6754"/>
    <w:rsid w:val="009B67EB"/>
    <w:rsid w:val="009B6D33"/>
    <w:rsid w:val="009B740D"/>
    <w:rsid w:val="009B7B83"/>
    <w:rsid w:val="009B7F66"/>
    <w:rsid w:val="009C067B"/>
    <w:rsid w:val="009C0776"/>
    <w:rsid w:val="009C092B"/>
    <w:rsid w:val="009C0C4F"/>
    <w:rsid w:val="009C0D12"/>
    <w:rsid w:val="009C1525"/>
    <w:rsid w:val="009C1768"/>
    <w:rsid w:val="009C1AC4"/>
    <w:rsid w:val="009C1BB9"/>
    <w:rsid w:val="009C1EC3"/>
    <w:rsid w:val="009C1F64"/>
    <w:rsid w:val="009C2387"/>
    <w:rsid w:val="009C25E5"/>
    <w:rsid w:val="009C25EE"/>
    <w:rsid w:val="009C26FF"/>
    <w:rsid w:val="009C2D27"/>
    <w:rsid w:val="009C2D73"/>
    <w:rsid w:val="009C2E41"/>
    <w:rsid w:val="009C31D2"/>
    <w:rsid w:val="009C33A0"/>
    <w:rsid w:val="009C3406"/>
    <w:rsid w:val="009C350A"/>
    <w:rsid w:val="009C3A8B"/>
    <w:rsid w:val="009C3B3C"/>
    <w:rsid w:val="009C3CBC"/>
    <w:rsid w:val="009C40D4"/>
    <w:rsid w:val="009C411C"/>
    <w:rsid w:val="009C4755"/>
    <w:rsid w:val="009C48D9"/>
    <w:rsid w:val="009C49D9"/>
    <w:rsid w:val="009C4B64"/>
    <w:rsid w:val="009C509D"/>
    <w:rsid w:val="009C526D"/>
    <w:rsid w:val="009C53EB"/>
    <w:rsid w:val="009C5429"/>
    <w:rsid w:val="009C5615"/>
    <w:rsid w:val="009C57AE"/>
    <w:rsid w:val="009C5BEA"/>
    <w:rsid w:val="009C5EE7"/>
    <w:rsid w:val="009C6761"/>
    <w:rsid w:val="009C6BF6"/>
    <w:rsid w:val="009C73E8"/>
    <w:rsid w:val="009D0022"/>
    <w:rsid w:val="009D0206"/>
    <w:rsid w:val="009D0217"/>
    <w:rsid w:val="009D060B"/>
    <w:rsid w:val="009D09EB"/>
    <w:rsid w:val="009D0DD4"/>
    <w:rsid w:val="009D0E2A"/>
    <w:rsid w:val="009D0F6E"/>
    <w:rsid w:val="009D0FA0"/>
    <w:rsid w:val="009D13BD"/>
    <w:rsid w:val="009D1A4E"/>
    <w:rsid w:val="009D1A83"/>
    <w:rsid w:val="009D1F9B"/>
    <w:rsid w:val="009D2190"/>
    <w:rsid w:val="009D23CB"/>
    <w:rsid w:val="009D24A4"/>
    <w:rsid w:val="009D25AB"/>
    <w:rsid w:val="009D2B3E"/>
    <w:rsid w:val="009D31AC"/>
    <w:rsid w:val="009D3205"/>
    <w:rsid w:val="009D34AB"/>
    <w:rsid w:val="009D359B"/>
    <w:rsid w:val="009D3B9F"/>
    <w:rsid w:val="009D3CB7"/>
    <w:rsid w:val="009D3F55"/>
    <w:rsid w:val="009D400D"/>
    <w:rsid w:val="009D42D3"/>
    <w:rsid w:val="009D4652"/>
    <w:rsid w:val="009D4BD6"/>
    <w:rsid w:val="009D4FAC"/>
    <w:rsid w:val="009D5C41"/>
    <w:rsid w:val="009D5C81"/>
    <w:rsid w:val="009D5D06"/>
    <w:rsid w:val="009D5DBC"/>
    <w:rsid w:val="009D5ED9"/>
    <w:rsid w:val="009D5F7D"/>
    <w:rsid w:val="009D644F"/>
    <w:rsid w:val="009D6542"/>
    <w:rsid w:val="009D6551"/>
    <w:rsid w:val="009D68E4"/>
    <w:rsid w:val="009D6A2D"/>
    <w:rsid w:val="009D6CE0"/>
    <w:rsid w:val="009D6CFF"/>
    <w:rsid w:val="009D7449"/>
    <w:rsid w:val="009D7575"/>
    <w:rsid w:val="009D77DC"/>
    <w:rsid w:val="009D78E5"/>
    <w:rsid w:val="009D7919"/>
    <w:rsid w:val="009D7BA4"/>
    <w:rsid w:val="009E0154"/>
    <w:rsid w:val="009E059D"/>
    <w:rsid w:val="009E0C5C"/>
    <w:rsid w:val="009E0D27"/>
    <w:rsid w:val="009E1142"/>
    <w:rsid w:val="009E12D8"/>
    <w:rsid w:val="009E1444"/>
    <w:rsid w:val="009E1614"/>
    <w:rsid w:val="009E16AB"/>
    <w:rsid w:val="009E1722"/>
    <w:rsid w:val="009E178C"/>
    <w:rsid w:val="009E17F6"/>
    <w:rsid w:val="009E1C24"/>
    <w:rsid w:val="009E1CDD"/>
    <w:rsid w:val="009E1D45"/>
    <w:rsid w:val="009E1E64"/>
    <w:rsid w:val="009E1F27"/>
    <w:rsid w:val="009E24AD"/>
    <w:rsid w:val="009E29F7"/>
    <w:rsid w:val="009E2AC9"/>
    <w:rsid w:val="009E2B00"/>
    <w:rsid w:val="009E2B54"/>
    <w:rsid w:val="009E2BC0"/>
    <w:rsid w:val="009E33F3"/>
    <w:rsid w:val="009E348B"/>
    <w:rsid w:val="009E3A00"/>
    <w:rsid w:val="009E3A19"/>
    <w:rsid w:val="009E3B82"/>
    <w:rsid w:val="009E3F8A"/>
    <w:rsid w:val="009E4716"/>
    <w:rsid w:val="009E4EFE"/>
    <w:rsid w:val="009E4FCA"/>
    <w:rsid w:val="009E52AC"/>
    <w:rsid w:val="009E5414"/>
    <w:rsid w:val="009E5A68"/>
    <w:rsid w:val="009E5AFC"/>
    <w:rsid w:val="009E5BDC"/>
    <w:rsid w:val="009E5DA8"/>
    <w:rsid w:val="009E62A1"/>
    <w:rsid w:val="009E6301"/>
    <w:rsid w:val="009E64CC"/>
    <w:rsid w:val="009E670E"/>
    <w:rsid w:val="009E675A"/>
    <w:rsid w:val="009E686D"/>
    <w:rsid w:val="009E69D6"/>
    <w:rsid w:val="009E6FF1"/>
    <w:rsid w:val="009E765A"/>
    <w:rsid w:val="009E78BC"/>
    <w:rsid w:val="009E79D6"/>
    <w:rsid w:val="009E7A2F"/>
    <w:rsid w:val="009E7AC5"/>
    <w:rsid w:val="009E7DF6"/>
    <w:rsid w:val="009E7E2A"/>
    <w:rsid w:val="009E7E60"/>
    <w:rsid w:val="009F0461"/>
    <w:rsid w:val="009F0B50"/>
    <w:rsid w:val="009F0C3C"/>
    <w:rsid w:val="009F0E5F"/>
    <w:rsid w:val="009F1147"/>
    <w:rsid w:val="009F16B4"/>
    <w:rsid w:val="009F1800"/>
    <w:rsid w:val="009F1B8C"/>
    <w:rsid w:val="009F23A0"/>
    <w:rsid w:val="009F25B9"/>
    <w:rsid w:val="009F2943"/>
    <w:rsid w:val="009F31B4"/>
    <w:rsid w:val="009F3903"/>
    <w:rsid w:val="009F3960"/>
    <w:rsid w:val="009F3A7A"/>
    <w:rsid w:val="009F3BF3"/>
    <w:rsid w:val="009F3FD9"/>
    <w:rsid w:val="009F4123"/>
    <w:rsid w:val="009F421B"/>
    <w:rsid w:val="009F424D"/>
    <w:rsid w:val="009F4F30"/>
    <w:rsid w:val="009F54F8"/>
    <w:rsid w:val="009F5905"/>
    <w:rsid w:val="009F5B54"/>
    <w:rsid w:val="009F69E7"/>
    <w:rsid w:val="009F6DB9"/>
    <w:rsid w:val="009F71D8"/>
    <w:rsid w:val="009F7476"/>
    <w:rsid w:val="009F7568"/>
    <w:rsid w:val="009F7B43"/>
    <w:rsid w:val="009F7B51"/>
    <w:rsid w:val="009F7BF0"/>
    <w:rsid w:val="00A0014F"/>
    <w:rsid w:val="00A00A1E"/>
    <w:rsid w:val="00A00A43"/>
    <w:rsid w:val="00A00A71"/>
    <w:rsid w:val="00A00C41"/>
    <w:rsid w:val="00A0101D"/>
    <w:rsid w:val="00A013F1"/>
    <w:rsid w:val="00A01692"/>
    <w:rsid w:val="00A01927"/>
    <w:rsid w:val="00A01AD2"/>
    <w:rsid w:val="00A01CEA"/>
    <w:rsid w:val="00A02276"/>
    <w:rsid w:val="00A02B1F"/>
    <w:rsid w:val="00A02F59"/>
    <w:rsid w:val="00A03159"/>
    <w:rsid w:val="00A0394D"/>
    <w:rsid w:val="00A03A99"/>
    <w:rsid w:val="00A040B0"/>
    <w:rsid w:val="00A040F1"/>
    <w:rsid w:val="00A04130"/>
    <w:rsid w:val="00A04233"/>
    <w:rsid w:val="00A043A2"/>
    <w:rsid w:val="00A04C71"/>
    <w:rsid w:val="00A04E97"/>
    <w:rsid w:val="00A05294"/>
    <w:rsid w:val="00A05E25"/>
    <w:rsid w:val="00A05E2D"/>
    <w:rsid w:val="00A05FC4"/>
    <w:rsid w:val="00A0655F"/>
    <w:rsid w:val="00A07065"/>
    <w:rsid w:val="00A07086"/>
    <w:rsid w:val="00A07277"/>
    <w:rsid w:val="00A07285"/>
    <w:rsid w:val="00A07637"/>
    <w:rsid w:val="00A07B74"/>
    <w:rsid w:val="00A07E74"/>
    <w:rsid w:val="00A07ED9"/>
    <w:rsid w:val="00A07EE8"/>
    <w:rsid w:val="00A07FD9"/>
    <w:rsid w:val="00A1074C"/>
    <w:rsid w:val="00A10DFF"/>
    <w:rsid w:val="00A1116B"/>
    <w:rsid w:val="00A11248"/>
    <w:rsid w:val="00A11420"/>
    <w:rsid w:val="00A119C5"/>
    <w:rsid w:val="00A11B72"/>
    <w:rsid w:val="00A11BE6"/>
    <w:rsid w:val="00A11D95"/>
    <w:rsid w:val="00A1275A"/>
    <w:rsid w:val="00A128A9"/>
    <w:rsid w:val="00A12B8F"/>
    <w:rsid w:val="00A12CF8"/>
    <w:rsid w:val="00A12D64"/>
    <w:rsid w:val="00A12D6C"/>
    <w:rsid w:val="00A1308F"/>
    <w:rsid w:val="00A1382A"/>
    <w:rsid w:val="00A13B30"/>
    <w:rsid w:val="00A14279"/>
    <w:rsid w:val="00A142C9"/>
    <w:rsid w:val="00A1435E"/>
    <w:rsid w:val="00A14452"/>
    <w:rsid w:val="00A1470C"/>
    <w:rsid w:val="00A1494F"/>
    <w:rsid w:val="00A14992"/>
    <w:rsid w:val="00A14A30"/>
    <w:rsid w:val="00A14AE1"/>
    <w:rsid w:val="00A14BF0"/>
    <w:rsid w:val="00A14E9C"/>
    <w:rsid w:val="00A14FD1"/>
    <w:rsid w:val="00A15DF4"/>
    <w:rsid w:val="00A161C7"/>
    <w:rsid w:val="00A16341"/>
    <w:rsid w:val="00A1643F"/>
    <w:rsid w:val="00A16805"/>
    <w:rsid w:val="00A16C08"/>
    <w:rsid w:val="00A16C86"/>
    <w:rsid w:val="00A16F5B"/>
    <w:rsid w:val="00A16FA1"/>
    <w:rsid w:val="00A17013"/>
    <w:rsid w:val="00A1701F"/>
    <w:rsid w:val="00A17BD3"/>
    <w:rsid w:val="00A17FD3"/>
    <w:rsid w:val="00A206A3"/>
    <w:rsid w:val="00A20879"/>
    <w:rsid w:val="00A21092"/>
    <w:rsid w:val="00A213D6"/>
    <w:rsid w:val="00A21DAF"/>
    <w:rsid w:val="00A21DC4"/>
    <w:rsid w:val="00A21EA2"/>
    <w:rsid w:val="00A222F9"/>
    <w:rsid w:val="00A2266D"/>
    <w:rsid w:val="00A228F6"/>
    <w:rsid w:val="00A2324A"/>
    <w:rsid w:val="00A2368F"/>
    <w:rsid w:val="00A23E57"/>
    <w:rsid w:val="00A240A0"/>
    <w:rsid w:val="00A24C24"/>
    <w:rsid w:val="00A24EF8"/>
    <w:rsid w:val="00A25147"/>
    <w:rsid w:val="00A253D0"/>
    <w:rsid w:val="00A25A28"/>
    <w:rsid w:val="00A25D9B"/>
    <w:rsid w:val="00A2601A"/>
    <w:rsid w:val="00A2605F"/>
    <w:rsid w:val="00A263D2"/>
    <w:rsid w:val="00A26569"/>
    <w:rsid w:val="00A26A8D"/>
    <w:rsid w:val="00A26D9A"/>
    <w:rsid w:val="00A27116"/>
    <w:rsid w:val="00A27473"/>
    <w:rsid w:val="00A2794F"/>
    <w:rsid w:val="00A279BB"/>
    <w:rsid w:val="00A302C8"/>
    <w:rsid w:val="00A30380"/>
    <w:rsid w:val="00A30509"/>
    <w:rsid w:val="00A306FE"/>
    <w:rsid w:val="00A30A08"/>
    <w:rsid w:val="00A30BC2"/>
    <w:rsid w:val="00A30C14"/>
    <w:rsid w:val="00A30C4E"/>
    <w:rsid w:val="00A30E9C"/>
    <w:rsid w:val="00A31092"/>
    <w:rsid w:val="00A315BC"/>
    <w:rsid w:val="00A31D4C"/>
    <w:rsid w:val="00A31DB4"/>
    <w:rsid w:val="00A31EEA"/>
    <w:rsid w:val="00A31F18"/>
    <w:rsid w:val="00A321AE"/>
    <w:rsid w:val="00A32771"/>
    <w:rsid w:val="00A32A7D"/>
    <w:rsid w:val="00A32C6D"/>
    <w:rsid w:val="00A32DEE"/>
    <w:rsid w:val="00A33C10"/>
    <w:rsid w:val="00A33E95"/>
    <w:rsid w:val="00A33FD8"/>
    <w:rsid w:val="00A343BD"/>
    <w:rsid w:val="00A34517"/>
    <w:rsid w:val="00A346A7"/>
    <w:rsid w:val="00A34966"/>
    <w:rsid w:val="00A349BA"/>
    <w:rsid w:val="00A349BE"/>
    <w:rsid w:val="00A34A8E"/>
    <w:rsid w:val="00A34C77"/>
    <w:rsid w:val="00A350A8"/>
    <w:rsid w:val="00A352AE"/>
    <w:rsid w:val="00A35AB9"/>
    <w:rsid w:val="00A365D0"/>
    <w:rsid w:val="00A368C9"/>
    <w:rsid w:val="00A36E7E"/>
    <w:rsid w:val="00A3714D"/>
    <w:rsid w:val="00A3726D"/>
    <w:rsid w:val="00A37349"/>
    <w:rsid w:val="00A3764B"/>
    <w:rsid w:val="00A378FF"/>
    <w:rsid w:val="00A37B17"/>
    <w:rsid w:val="00A40231"/>
    <w:rsid w:val="00A403B5"/>
    <w:rsid w:val="00A408B4"/>
    <w:rsid w:val="00A40957"/>
    <w:rsid w:val="00A40B01"/>
    <w:rsid w:val="00A40E60"/>
    <w:rsid w:val="00A40FDD"/>
    <w:rsid w:val="00A41112"/>
    <w:rsid w:val="00A411F5"/>
    <w:rsid w:val="00A41499"/>
    <w:rsid w:val="00A41805"/>
    <w:rsid w:val="00A418C4"/>
    <w:rsid w:val="00A41BB9"/>
    <w:rsid w:val="00A42026"/>
    <w:rsid w:val="00A421E6"/>
    <w:rsid w:val="00A422AE"/>
    <w:rsid w:val="00A424DA"/>
    <w:rsid w:val="00A42944"/>
    <w:rsid w:val="00A42AC3"/>
    <w:rsid w:val="00A43FB7"/>
    <w:rsid w:val="00A44411"/>
    <w:rsid w:val="00A449DF"/>
    <w:rsid w:val="00A44A24"/>
    <w:rsid w:val="00A452BE"/>
    <w:rsid w:val="00A4533A"/>
    <w:rsid w:val="00A4541B"/>
    <w:rsid w:val="00A45512"/>
    <w:rsid w:val="00A455AC"/>
    <w:rsid w:val="00A45608"/>
    <w:rsid w:val="00A457A1"/>
    <w:rsid w:val="00A45FDD"/>
    <w:rsid w:val="00A4613D"/>
    <w:rsid w:val="00A4616F"/>
    <w:rsid w:val="00A46E47"/>
    <w:rsid w:val="00A46E54"/>
    <w:rsid w:val="00A46ED7"/>
    <w:rsid w:val="00A47255"/>
    <w:rsid w:val="00A473B6"/>
    <w:rsid w:val="00A473D7"/>
    <w:rsid w:val="00A47409"/>
    <w:rsid w:val="00A4740C"/>
    <w:rsid w:val="00A4745E"/>
    <w:rsid w:val="00A4757E"/>
    <w:rsid w:val="00A4770E"/>
    <w:rsid w:val="00A47936"/>
    <w:rsid w:val="00A47C68"/>
    <w:rsid w:val="00A47C8A"/>
    <w:rsid w:val="00A50252"/>
    <w:rsid w:val="00A505A8"/>
    <w:rsid w:val="00A51165"/>
    <w:rsid w:val="00A511AA"/>
    <w:rsid w:val="00A52505"/>
    <w:rsid w:val="00A52828"/>
    <w:rsid w:val="00A52A27"/>
    <w:rsid w:val="00A52B9E"/>
    <w:rsid w:val="00A5301A"/>
    <w:rsid w:val="00A53108"/>
    <w:rsid w:val="00A53157"/>
    <w:rsid w:val="00A53235"/>
    <w:rsid w:val="00A53364"/>
    <w:rsid w:val="00A534FE"/>
    <w:rsid w:val="00A53526"/>
    <w:rsid w:val="00A539B3"/>
    <w:rsid w:val="00A53A05"/>
    <w:rsid w:val="00A53CEE"/>
    <w:rsid w:val="00A54013"/>
    <w:rsid w:val="00A540CD"/>
    <w:rsid w:val="00A5424C"/>
    <w:rsid w:val="00A542E0"/>
    <w:rsid w:val="00A54C3B"/>
    <w:rsid w:val="00A55C3A"/>
    <w:rsid w:val="00A55CE5"/>
    <w:rsid w:val="00A561DE"/>
    <w:rsid w:val="00A565D7"/>
    <w:rsid w:val="00A566F4"/>
    <w:rsid w:val="00A5752F"/>
    <w:rsid w:val="00A57E5A"/>
    <w:rsid w:val="00A600E3"/>
    <w:rsid w:val="00A60CE6"/>
    <w:rsid w:val="00A60CED"/>
    <w:rsid w:val="00A61B6F"/>
    <w:rsid w:val="00A61B89"/>
    <w:rsid w:val="00A61E4D"/>
    <w:rsid w:val="00A62250"/>
    <w:rsid w:val="00A62895"/>
    <w:rsid w:val="00A6297A"/>
    <w:rsid w:val="00A62A6B"/>
    <w:rsid w:val="00A62C47"/>
    <w:rsid w:val="00A62FE4"/>
    <w:rsid w:val="00A6388E"/>
    <w:rsid w:val="00A63A5B"/>
    <w:rsid w:val="00A63C60"/>
    <w:rsid w:val="00A6426C"/>
    <w:rsid w:val="00A6450D"/>
    <w:rsid w:val="00A6484C"/>
    <w:rsid w:val="00A649BC"/>
    <w:rsid w:val="00A65748"/>
    <w:rsid w:val="00A65E5B"/>
    <w:rsid w:val="00A6632F"/>
    <w:rsid w:val="00A66665"/>
    <w:rsid w:val="00A666F4"/>
    <w:rsid w:val="00A667A9"/>
    <w:rsid w:val="00A67581"/>
    <w:rsid w:val="00A67F1C"/>
    <w:rsid w:val="00A701C1"/>
    <w:rsid w:val="00A70BCF"/>
    <w:rsid w:val="00A71285"/>
    <w:rsid w:val="00A713BC"/>
    <w:rsid w:val="00A71D26"/>
    <w:rsid w:val="00A72080"/>
    <w:rsid w:val="00A72362"/>
    <w:rsid w:val="00A72431"/>
    <w:rsid w:val="00A7253E"/>
    <w:rsid w:val="00A73A98"/>
    <w:rsid w:val="00A73B06"/>
    <w:rsid w:val="00A73B5E"/>
    <w:rsid w:val="00A73C1D"/>
    <w:rsid w:val="00A73D50"/>
    <w:rsid w:val="00A73E9D"/>
    <w:rsid w:val="00A74050"/>
    <w:rsid w:val="00A7409F"/>
    <w:rsid w:val="00A74279"/>
    <w:rsid w:val="00A74537"/>
    <w:rsid w:val="00A74573"/>
    <w:rsid w:val="00A74907"/>
    <w:rsid w:val="00A74985"/>
    <w:rsid w:val="00A74E65"/>
    <w:rsid w:val="00A74F13"/>
    <w:rsid w:val="00A75826"/>
    <w:rsid w:val="00A75860"/>
    <w:rsid w:val="00A75F77"/>
    <w:rsid w:val="00A760BE"/>
    <w:rsid w:val="00A76867"/>
    <w:rsid w:val="00A7686D"/>
    <w:rsid w:val="00A7694C"/>
    <w:rsid w:val="00A76E56"/>
    <w:rsid w:val="00A76E84"/>
    <w:rsid w:val="00A76F3D"/>
    <w:rsid w:val="00A77190"/>
    <w:rsid w:val="00A77246"/>
    <w:rsid w:val="00A77494"/>
    <w:rsid w:val="00A77838"/>
    <w:rsid w:val="00A77987"/>
    <w:rsid w:val="00A800E4"/>
    <w:rsid w:val="00A81705"/>
    <w:rsid w:val="00A81A01"/>
    <w:rsid w:val="00A81C6D"/>
    <w:rsid w:val="00A82508"/>
    <w:rsid w:val="00A826D4"/>
    <w:rsid w:val="00A82866"/>
    <w:rsid w:val="00A82CFC"/>
    <w:rsid w:val="00A8364B"/>
    <w:rsid w:val="00A83B1F"/>
    <w:rsid w:val="00A83D07"/>
    <w:rsid w:val="00A8428A"/>
    <w:rsid w:val="00A84469"/>
    <w:rsid w:val="00A84669"/>
    <w:rsid w:val="00A8467F"/>
    <w:rsid w:val="00A8473A"/>
    <w:rsid w:val="00A84778"/>
    <w:rsid w:val="00A84BAC"/>
    <w:rsid w:val="00A84E82"/>
    <w:rsid w:val="00A84EAD"/>
    <w:rsid w:val="00A85040"/>
    <w:rsid w:val="00A8511C"/>
    <w:rsid w:val="00A859BA"/>
    <w:rsid w:val="00A85B8E"/>
    <w:rsid w:val="00A85C78"/>
    <w:rsid w:val="00A862F3"/>
    <w:rsid w:val="00A8654F"/>
    <w:rsid w:val="00A86626"/>
    <w:rsid w:val="00A86850"/>
    <w:rsid w:val="00A86AB9"/>
    <w:rsid w:val="00A873DC"/>
    <w:rsid w:val="00A874F2"/>
    <w:rsid w:val="00A87AE5"/>
    <w:rsid w:val="00A87B59"/>
    <w:rsid w:val="00A90382"/>
    <w:rsid w:val="00A90408"/>
    <w:rsid w:val="00A90C8E"/>
    <w:rsid w:val="00A90CD7"/>
    <w:rsid w:val="00A911ED"/>
    <w:rsid w:val="00A91386"/>
    <w:rsid w:val="00A914A2"/>
    <w:rsid w:val="00A91656"/>
    <w:rsid w:val="00A92122"/>
    <w:rsid w:val="00A92230"/>
    <w:rsid w:val="00A923BD"/>
    <w:rsid w:val="00A9244E"/>
    <w:rsid w:val="00A92A95"/>
    <w:rsid w:val="00A92B1D"/>
    <w:rsid w:val="00A9344E"/>
    <w:rsid w:val="00A93490"/>
    <w:rsid w:val="00A934FA"/>
    <w:rsid w:val="00A937D0"/>
    <w:rsid w:val="00A939DB"/>
    <w:rsid w:val="00A93CE6"/>
    <w:rsid w:val="00A94ABF"/>
    <w:rsid w:val="00A94EE2"/>
    <w:rsid w:val="00A954DF"/>
    <w:rsid w:val="00A954F5"/>
    <w:rsid w:val="00A95978"/>
    <w:rsid w:val="00A95A26"/>
    <w:rsid w:val="00A95CCE"/>
    <w:rsid w:val="00A95D66"/>
    <w:rsid w:val="00A95E74"/>
    <w:rsid w:val="00A95EF2"/>
    <w:rsid w:val="00A96781"/>
    <w:rsid w:val="00A96B69"/>
    <w:rsid w:val="00A96D82"/>
    <w:rsid w:val="00A9772F"/>
    <w:rsid w:val="00A978AB"/>
    <w:rsid w:val="00A979B5"/>
    <w:rsid w:val="00A979B9"/>
    <w:rsid w:val="00A979CF"/>
    <w:rsid w:val="00A97B7D"/>
    <w:rsid w:val="00A97C8F"/>
    <w:rsid w:val="00AA018C"/>
    <w:rsid w:val="00AA0484"/>
    <w:rsid w:val="00AA0928"/>
    <w:rsid w:val="00AA0E48"/>
    <w:rsid w:val="00AA11BD"/>
    <w:rsid w:val="00AA120E"/>
    <w:rsid w:val="00AA12DC"/>
    <w:rsid w:val="00AA155B"/>
    <w:rsid w:val="00AA166E"/>
    <w:rsid w:val="00AA1833"/>
    <w:rsid w:val="00AA1E66"/>
    <w:rsid w:val="00AA21D1"/>
    <w:rsid w:val="00AA2A48"/>
    <w:rsid w:val="00AA2F99"/>
    <w:rsid w:val="00AA32CE"/>
    <w:rsid w:val="00AA348C"/>
    <w:rsid w:val="00AA3E93"/>
    <w:rsid w:val="00AA3F4D"/>
    <w:rsid w:val="00AA3FC4"/>
    <w:rsid w:val="00AA4013"/>
    <w:rsid w:val="00AA44EA"/>
    <w:rsid w:val="00AA5097"/>
    <w:rsid w:val="00AA5165"/>
    <w:rsid w:val="00AA5319"/>
    <w:rsid w:val="00AA541B"/>
    <w:rsid w:val="00AA56AE"/>
    <w:rsid w:val="00AA592F"/>
    <w:rsid w:val="00AA5CE5"/>
    <w:rsid w:val="00AA601D"/>
    <w:rsid w:val="00AA6056"/>
    <w:rsid w:val="00AA619C"/>
    <w:rsid w:val="00AA623A"/>
    <w:rsid w:val="00AA6591"/>
    <w:rsid w:val="00AA66A2"/>
    <w:rsid w:val="00AA673A"/>
    <w:rsid w:val="00AA698D"/>
    <w:rsid w:val="00AA71D2"/>
    <w:rsid w:val="00AA7269"/>
    <w:rsid w:val="00AA767D"/>
    <w:rsid w:val="00AA778E"/>
    <w:rsid w:val="00AA7A25"/>
    <w:rsid w:val="00AA7AD1"/>
    <w:rsid w:val="00AA7B3A"/>
    <w:rsid w:val="00AA7B5A"/>
    <w:rsid w:val="00AA7BD7"/>
    <w:rsid w:val="00AB013E"/>
    <w:rsid w:val="00AB041A"/>
    <w:rsid w:val="00AB04C8"/>
    <w:rsid w:val="00AB04F3"/>
    <w:rsid w:val="00AB0BD2"/>
    <w:rsid w:val="00AB1372"/>
    <w:rsid w:val="00AB15D4"/>
    <w:rsid w:val="00AB1633"/>
    <w:rsid w:val="00AB1B90"/>
    <w:rsid w:val="00AB1CC1"/>
    <w:rsid w:val="00AB1D08"/>
    <w:rsid w:val="00AB1E54"/>
    <w:rsid w:val="00AB2156"/>
    <w:rsid w:val="00AB23F3"/>
    <w:rsid w:val="00AB25E7"/>
    <w:rsid w:val="00AB2815"/>
    <w:rsid w:val="00AB2968"/>
    <w:rsid w:val="00AB2979"/>
    <w:rsid w:val="00AB2ADE"/>
    <w:rsid w:val="00AB2D9A"/>
    <w:rsid w:val="00AB2E87"/>
    <w:rsid w:val="00AB318B"/>
    <w:rsid w:val="00AB31C5"/>
    <w:rsid w:val="00AB3202"/>
    <w:rsid w:val="00AB33B1"/>
    <w:rsid w:val="00AB365A"/>
    <w:rsid w:val="00AB3B01"/>
    <w:rsid w:val="00AB3B48"/>
    <w:rsid w:val="00AB4053"/>
    <w:rsid w:val="00AB4610"/>
    <w:rsid w:val="00AB4A19"/>
    <w:rsid w:val="00AB4A63"/>
    <w:rsid w:val="00AB4BDC"/>
    <w:rsid w:val="00AB510D"/>
    <w:rsid w:val="00AB5579"/>
    <w:rsid w:val="00AB5627"/>
    <w:rsid w:val="00AB56F8"/>
    <w:rsid w:val="00AB5B2F"/>
    <w:rsid w:val="00AB5C9C"/>
    <w:rsid w:val="00AB624E"/>
    <w:rsid w:val="00AB6306"/>
    <w:rsid w:val="00AB6374"/>
    <w:rsid w:val="00AB6EFC"/>
    <w:rsid w:val="00AB702A"/>
    <w:rsid w:val="00AB723C"/>
    <w:rsid w:val="00AB77D7"/>
    <w:rsid w:val="00AB79EE"/>
    <w:rsid w:val="00AC0056"/>
    <w:rsid w:val="00AC039B"/>
    <w:rsid w:val="00AC03A0"/>
    <w:rsid w:val="00AC0463"/>
    <w:rsid w:val="00AC04A7"/>
    <w:rsid w:val="00AC04A9"/>
    <w:rsid w:val="00AC060F"/>
    <w:rsid w:val="00AC07CA"/>
    <w:rsid w:val="00AC0935"/>
    <w:rsid w:val="00AC0AAD"/>
    <w:rsid w:val="00AC1026"/>
    <w:rsid w:val="00AC12FE"/>
    <w:rsid w:val="00AC186E"/>
    <w:rsid w:val="00AC1A5D"/>
    <w:rsid w:val="00AC1E17"/>
    <w:rsid w:val="00AC224C"/>
    <w:rsid w:val="00AC2709"/>
    <w:rsid w:val="00AC28BF"/>
    <w:rsid w:val="00AC293C"/>
    <w:rsid w:val="00AC2BAA"/>
    <w:rsid w:val="00AC3771"/>
    <w:rsid w:val="00AC3F7A"/>
    <w:rsid w:val="00AC43C4"/>
    <w:rsid w:val="00AC44E3"/>
    <w:rsid w:val="00AC4500"/>
    <w:rsid w:val="00AC46CA"/>
    <w:rsid w:val="00AC4702"/>
    <w:rsid w:val="00AC523E"/>
    <w:rsid w:val="00AC53A3"/>
    <w:rsid w:val="00AC5609"/>
    <w:rsid w:val="00AC5914"/>
    <w:rsid w:val="00AC5BCA"/>
    <w:rsid w:val="00AC5F2B"/>
    <w:rsid w:val="00AC60B3"/>
    <w:rsid w:val="00AC63D9"/>
    <w:rsid w:val="00AC698B"/>
    <w:rsid w:val="00AC72C3"/>
    <w:rsid w:val="00AC7658"/>
    <w:rsid w:val="00AC76D2"/>
    <w:rsid w:val="00AC7733"/>
    <w:rsid w:val="00AC7A28"/>
    <w:rsid w:val="00AC7CC3"/>
    <w:rsid w:val="00AD01EE"/>
    <w:rsid w:val="00AD047E"/>
    <w:rsid w:val="00AD04F3"/>
    <w:rsid w:val="00AD05CC"/>
    <w:rsid w:val="00AD0982"/>
    <w:rsid w:val="00AD185B"/>
    <w:rsid w:val="00AD1897"/>
    <w:rsid w:val="00AD23BF"/>
    <w:rsid w:val="00AD286B"/>
    <w:rsid w:val="00AD2A6A"/>
    <w:rsid w:val="00AD2D47"/>
    <w:rsid w:val="00AD2E4A"/>
    <w:rsid w:val="00AD3140"/>
    <w:rsid w:val="00AD3CCD"/>
    <w:rsid w:val="00AD3F7A"/>
    <w:rsid w:val="00AD4045"/>
    <w:rsid w:val="00AD4052"/>
    <w:rsid w:val="00AD40D1"/>
    <w:rsid w:val="00AD41A8"/>
    <w:rsid w:val="00AD4C24"/>
    <w:rsid w:val="00AD4C42"/>
    <w:rsid w:val="00AD56BF"/>
    <w:rsid w:val="00AD57D4"/>
    <w:rsid w:val="00AD5865"/>
    <w:rsid w:val="00AD58C0"/>
    <w:rsid w:val="00AD60F8"/>
    <w:rsid w:val="00AD619A"/>
    <w:rsid w:val="00AD61D4"/>
    <w:rsid w:val="00AD6B11"/>
    <w:rsid w:val="00AD6CAF"/>
    <w:rsid w:val="00AD6D35"/>
    <w:rsid w:val="00AD7177"/>
    <w:rsid w:val="00AD7B15"/>
    <w:rsid w:val="00AD7D7D"/>
    <w:rsid w:val="00AD7EEE"/>
    <w:rsid w:val="00AE033D"/>
    <w:rsid w:val="00AE074A"/>
    <w:rsid w:val="00AE0971"/>
    <w:rsid w:val="00AE0C03"/>
    <w:rsid w:val="00AE11EB"/>
    <w:rsid w:val="00AE1362"/>
    <w:rsid w:val="00AE1381"/>
    <w:rsid w:val="00AE1419"/>
    <w:rsid w:val="00AE1555"/>
    <w:rsid w:val="00AE1A1B"/>
    <w:rsid w:val="00AE1D7D"/>
    <w:rsid w:val="00AE215A"/>
    <w:rsid w:val="00AE21AD"/>
    <w:rsid w:val="00AE2444"/>
    <w:rsid w:val="00AE2762"/>
    <w:rsid w:val="00AE2855"/>
    <w:rsid w:val="00AE3283"/>
    <w:rsid w:val="00AE38BF"/>
    <w:rsid w:val="00AE38F7"/>
    <w:rsid w:val="00AE398C"/>
    <w:rsid w:val="00AE39B0"/>
    <w:rsid w:val="00AE39F3"/>
    <w:rsid w:val="00AE3B33"/>
    <w:rsid w:val="00AE3D6E"/>
    <w:rsid w:val="00AE3F87"/>
    <w:rsid w:val="00AE4547"/>
    <w:rsid w:val="00AE4998"/>
    <w:rsid w:val="00AE4D67"/>
    <w:rsid w:val="00AE534E"/>
    <w:rsid w:val="00AE5698"/>
    <w:rsid w:val="00AE56C8"/>
    <w:rsid w:val="00AE5D55"/>
    <w:rsid w:val="00AE5EBB"/>
    <w:rsid w:val="00AE6185"/>
    <w:rsid w:val="00AE65FC"/>
    <w:rsid w:val="00AE69DC"/>
    <w:rsid w:val="00AE6F03"/>
    <w:rsid w:val="00AE7552"/>
    <w:rsid w:val="00AE77DD"/>
    <w:rsid w:val="00AE7A42"/>
    <w:rsid w:val="00AE7E53"/>
    <w:rsid w:val="00AF01A2"/>
    <w:rsid w:val="00AF036A"/>
    <w:rsid w:val="00AF0508"/>
    <w:rsid w:val="00AF083F"/>
    <w:rsid w:val="00AF0B19"/>
    <w:rsid w:val="00AF187E"/>
    <w:rsid w:val="00AF1BEE"/>
    <w:rsid w:val="00AF235A"/>
    <w:rsid w:val="00AF2AFE"/>
    <w:rsid w:val="00AF2B04"/>
    <w:rsid w:val="00AF2D56"/>
    <w:rsid w:val="00AF2FB6"/>
    <w:rsid w:val="00AF369A"/>
    <w:rsid w:val="00AF3843"/>
    <w:rsid w:val="00AF3D9C"/>
    <w:rsid w:val="00AF3E3A"/>
    <w:rsid w:val="00AF3FEE"/>
    <w:rsid w:val="00AF4040"/>
    <w:rsid w:val="00AF435A"/>
    <w:rsid w:val="00AF4762"/>
    <w:rsid w:val="00AF49FD"/>
    <w:rsid w:val="00AF50F8"/>
    <w:rsid w:val="00AF5525"/>
    <w:rsid w:val="00AF58D0"/>
    <w:rsid w:val="00AF61E0"/>
    <w:rsid w:val="00AF637B"/>
    <w:rsid w:val="00AF68E9"/>
    <w:rsid w:val="00AF6BC9"/>
    <w:rsid w:val="00AF769C"/>
    <w:rsid w:val="00AF79BF"/>
    <w:rsid w:val="00AF7E6F"/>
    <w:rsid w:val="00B001DD"/>
    <w:rsid w:val="00B003EC"/>
    <w:rsid w:val="00B005F9"/>
    <w:rsid w:val="00B00F84"/>
    <w:rsid w:val="00B0170F"/>
    <w:rsid w:val="00B0202C"/>
    <w:rsid w:val="00B0223E"/>
    <w:rsid w:val="00B02797"/>
    <w:rsid w:val="00B028D9"/>
    <w:rsid w:val="00B029AD"/>
    <w:rsid w:val="00B030AE"/>
    <w:rsid w:val="00B03754"/>
    <w:rsid w:val="00B03AD3"/>
    <w:rsid w:val="00B03B0E"/>
    <w:rsid w:val="00B03B5D"/>
    <w:rsid w:val="00B03C3B"/>
    <w:rsid w:val="00B04B72"/>
    <w:rsid w:val="00B05184"/>
    <w:rsid w:val="00B052FD"/>
    <w:rsid w:val="00B0594C"/>
    <w:rsid w:val="00B05D16"/>
    <w:rsid w:val="00B06495"/>
    <w:rsid w:val="00B066E4"/>
    <w:rsid w:val="00B068B4"/>
    <w:rsid w:val="00B068C2"/>
    <w:rsid w:val="00B06BC3"/>
    <w:rsid w:val="00B06FC5"/>
    <w:rsid w:val="00B07109"/>
    <w:rsid w:val="00B073C0"/>
    <w:rsid w:val="00B07F8E"/>
    <w:rsid w:val="00B10251"/>
    <w:rsid w:val="00B10427"/>
    <w:rsid w:val="00B10705"/>
    <w:rsid w:val="00B10D61"/>
    <w:rsid w:val="00B10DBC"/>
    <w:rsid w:val="00B1140B"/>
    <w:rsid w:val="00B11B5A"/>
    <w:rsid w:val="00B11C5C"/>
    <w:rsid w:val="00B11D44"/>
    <w:rsid w:val="00B12093"/>
    <w:rsid w:val="00B128C2"/>
    <w:rsid w:val="00B12A22"/>
    <w:rsid w:val="00B12DAE"/>
    <w:rsid w:val="00B12F96"/>
    <w:rsid w:val="00B13699"/>
    <w:rsid w:val="00B13E71"/>
    <w:rsid w:val="00B1418D"/>
    <w:rsid w:val="00B14205"/>
    <w:rsid w:val="00B14550"/>
    <w:rsid w:val="00B149BA"/>
    <w:rsid w:val="00B14F6E"/>
    <w:rsid w:val="00B14FED"/>
    <w:rsid w:val="00B1504D"/>
    <w:rsid w:val="00B152A4"/>
    <w:rsid w:val="00B15A22"/>
    <w:rsid w:val="00B15C63"/>
    <w:rsid w:val="00B15F9D"/>
    <w:rsid w:val="00B1604E"/>
    <w:rsid w:val="00B161ED"/>
    <w:rsid w:val="00B166DE"/>
    <w:rsid w:val="00B16D83"/>
    <w:rsid w:val="00B171C2"/>
    <w:rsid w:val="00B1760C"/>
    <w:rsid w:val="00B179AA"/>
    <w:rsid w:val="00B17D05"/>
    <w:rsid w:val="00B20298"/>
    <w:rsid w:val="00B20442"/>
    <w:rsid w:val="00B20A82"/>
    <w:rsid w:val="00B20E94"/>
    <w:rsid w:val="00B20EE9"/>
    <w:rsid w:val="00B20FB3"/>
    <w:rsid w:val="00B21221"/>
    <w:rsid w:val="00B2131D"/>
    <w:rsid w:val="00B21840"/>
    <w:rsid w:val="00B219BC"/>
    <w:rsid w:val="00B21C65"/>
    <w:rsid w:val="00B22331"/>
    <w:rsid w:val="00B22568"/>
    <w:rsid w:val="00B226CF"/>
    <w:rsid w:val="00B2291C"/>
    <w:rsid w:val="00B229D5"/>
    <w:rsid w:val="00B22F80"/>
    <w:rsid w:val="00B23053"/>
    <w:rsid w:val="00B2345E"/>
    <w:rsid w:val="00B2346A"/>
    <w:rsid w:val="00B23D63"/>
    <w:rsid w:val="00B24154"/>
    <w:rsid w:val="00B25036"/>
    <w:rsid w:val="00B25171"/>
    <w:rsid w:val="00B25324"/>
    <w:rsid w:val="00B25940"/>
    <w:rsid w:val="00B25CA2"/>
    <w:rsid w:val="00B25E9B"/>
    <w:rsid w:val="00B25EFF"/>
    <w:rsid w:val="00B26157"/>
    <w:rsid w:val="00B2651F"/>
    <w:rsid w:val="00B26B6F"/>
    <w:rsid w:val="00B26BBE"/>
    <w:rsid w:val="00B26C5F"/>
    <w:rsid w:val="00B27119"/>
    <w:rsid w:val="00B2731A"/>
    <w:rsid w:val="00B276D0"/>
    <w:rsid w:val="00B2783D"/>
    <w:rsid w:val="00B27C9B"/>
    <w:rsid w:val="00B302F2"/>
    <w:rsid w:val="00B309DC"/>
    <w:rsid w:val="00B30A48"/>
    <w:rsid w:val="00B30D61"/>
    <w:rsid w:val="00B314BA"/>
    <w:rsid w:val="00B314D9"/>
    <w:rsid w:val="00B31594"/>
    <w:rsid w:val="00B31B49"/>
    <w:rsid w:val="00B31CC1"/>
    <w:rsid w:val="00B33619"/>
    <w:rsid w:val="00B3385A"/>
    <w:rsid w:val="00B33A34"/>
    <w:rsid w:val="00B340D9"/>
    <w:rsid w:val="00B3414D"/>
    <w:rsid w:val="00B342EB"/>
    <w:rsid w:val="00B342F7"/>
    <w:rsid w:val="00B343A1"/>
    <w:rsid w:val="00B346A8"/>
    <w:rsid w:val="00B34D52"/>
    <w:rsid w:val="00B34E2B"/>
    <w:rsid w:val="00B34F89"/>
    <w:rsid w:val="00B353D0"/>
    <w:rsid w:val="00B359BB"/>
    <w:rsid w:val="00B35D5F"/>
    <w:rsid w:val="00B35DC5"/>
    <w:rsid w:val="00B35F46"/>
    <w:rsid w:val="00B364AD"/>
    <w:rsid w:val="00B368C6"/>
    <w:rsid w:val="00B36A72"/>
    <w:rsid w:val="00B36B85"/>
    <w:rsid w:val="00B3716D"/>
    <w:rsid w:val="00B3742F"/>
    <w:rsid w:val="00B37B07"/>
    <w:rsid w:val="00B37B16"/>
    <w:rsid w:val="00B4026B"/>
    <w:rsid w:val="00B40566"/>
    <w:rsid w:val="00B406B1"/>
    <w:rsid w:val="00B409C1"/>
    <w:rsid w:val="00B40A82"/>
    <w:rsid w:val="00B40E23"/>
    <w:rsid w:val="00B4131A"/>
    <w:rsid w:val="00B41356"/>
    <w:rsid w:val="00B41FA5"/>
    <w:rsid w:val="00B42051"/>
    <w:rsid w:val="00B426C7"/>
    <w:rsid w:val="00B42AF4"/>
    <w:rsid w:val="00B42E95"/>
    <w:rsid w:val="00B42F02"/>
    <w:rsid w:val="00B430F0"/>
    <w:rsid w:val="00B43278"/>
    <w:rsid w:val="00B432CC"/>
    <w:rsid w:val="00B435D9"/>
    <w:rsid w:val="00B43DE3"/>
    <w:rsid w:val="00B43EBA"/>
    <w:rsid w:val="00B43F85"/>
    <w:rsid w:val="00B440F0"/>
    <w:rsid w:val="00B445E5"/>
    <w:rsid w:val="00B449EF"/>
    <w:rsid w:val="00B44C14"/>
    <w:rsid w:val="00B44D2C"/>
    <w:rsid w:val="00B45E7C"/>
    <w:rsid w:val="00B45F15"/>
    <w:rsid w:val="00B45F21"/>
    <w:rsid w:val="00B467BE"/>
    <w:rsid w:val="00B469E0"/>
    <w:rsid w:val="00B46FF7"/>
    <w:rsid w:val="00B476BE"/>
    <w:rsid w:val="00B476FF"/>
    <w:rsid w:val="00B47725"/>
    <w:rsid w:val="00B47769"/>
    <w:rsid w:val="00B4781E"/>
    <w:rsid w:val="00B47C91"/>
    <w:rsid w:val="00B47DEC"/>
    <w:rsid w:val="00B5030F"/>
    <w:rsid w:val="00B50474"/>
    <w:rsid w:val="00B5063D"/>
    <w:rsid w:val="00B50E91"/>
    <w:rsid w:val="00B5127F"/>
    <w:rsid w:val="00B519C3"/>
    <w:rsid w:val="00B519F8"/>
    <w:rsid w:val="00B51CF1"/>
    <w:rsid w:val="00B51D82"/>
    <w:rsid w:val="00B52250"/>
    <w:rsid w:val="00B534AD"/>
    <w:rsid w:val="00B53544"/>
    <w:rsid w:val="00B5359D"/>
    <w:rsid w:val="00B5359E"/>
    <w:rsid w:val="00B53D29"/>
    <w:rsid w:val="00B53D84"/>
    <w:rsid w:val="00B540B2"/>
    <w:rsid w:val="00B540DB"/>
    <w:rsid w:val="00B544DE"/>
    <w:rsid w:val="00B545B1"/>
    <w:rsid w:val="00B54A07"/>
    <w:rsid w:val="00B54A0A"/>
    <w:rsid w:val="00B54EF9"/>
    <w:rsid w:val="00B55068"/>
    <w:rsid w:val="00B555B7"/>
    <w:rsid w:val="00B55A5D"/>
    <w:rsid w:val="00B55D00"/>
    <w:rsid w:val="00B55E4F"/>
    <w:rsid w:val="00B56065"/>
    <w:rsid w:val="00B565AD"/>
    <w:rsid w:val="00B567C4"/>
    <w:rsid w:val="00B568E7"/>
    <w:rsid w:val="00B56B5C"/>
    <w:rsid w:val="00B56E3C"/>
    <w:rsid w:val="00B56FFE"/>
    <w:rsid w:val="00B5710A"/>
    <w:rsid w:val="00B57375"/>
    <w:rsid w:val="00B5743A"/>
    <w:rsid w:val="00B57677"/>
    <w:rsid w:val="00B57821"/>
    <w:rsid w:val="00B6046A"/>
    <w:rsid w:val="00B6090F"/>
    <w:rsid w:val="00B6181B"/>
    <w:rsid w:val="00B62A3F"/>
    <w:rsid w:val="00B62BC8"/>
    <w:rsid w:val="00B62D03"/>
    <w:rsid w:val="00B62D2C"/>
    <w:rsid w:val="00B62E4E"/>
    <w:rsid w:val="00B62FD9"/>
    <w:rsid w:val="00B6309F"/>
    <w:rsid w:val="00B6386C"/>
    <w:rsid w:val="00B63F91"/>
    <w:rsid w:val="00B6464A"/>
    <w:rsid w:val="00B649A1"/>
    <w:rsid w:val="00B64BFC"/>
    <w:rsid w:val="00B64C7E"/>
    <w:rsid w:val="00B64ED4"/>
    <w:rsid w:val="00B6515B"/>
    <w:rsid w:val="00B651CE"/>
    <w:rsid w:val="00B652C5"/>
    <w:rsid w:val="00B653DA"/>
    <w:rsid w:val="00B655C3"/>
    <w:rsid w:val="00B6585A"/>
    <w:rsid w:val="00B658D6"/>
    <w:rsid w:val="00B65C74"/>
    <w:rsid w:val="00B66398"/>
    <w:rsid w:val="00B66501"/>
    <w:rsid w:val="00B665BC"/>
    <w:rsid w:val="00B66A53"/>
    <w:rsid w:val="00B66CE2"/>
    <w:rsid w:val="00B66D9D"/>
    <w:rsid w:val="00B675E0"/>
    <w:rsid w:val="00B67636"/>
    <w:rsid w:val="00B67D33"/>
    <w:rsid w:val="00B70066"/>
    <w:rsid w:val="00B701EF"/>
    <w:rsid w:val="00B70342"/>
    <w:rsid w:val="00B7050E"/>
    <w:rsid w:val="00B70DE7"/>
    <w:rsid w:val="00B71209"/>
    <w:rsid w:val="00B7157E"/>
    <w:rsid w:val="00B71875"/>
    <w:rsid w:val="00B71D2C"/>
    <w:rsid w:val="00B71EDC"/>
    <w:rsid w:val="00B71F7F"/>
    <w:rsid w:val="00B7211B"/>
    <w:rsid w:val="00B72158"/>
    <w:rsid w:val="00B722BE"/>
    <w:rsid w:val="00B72D82"/>
    <w:rsid w:val="00B72F29"/>
    <w:rsid w:val="00B730DB"/>
    <w:rsid w:val="00B74253"/>
    <w:rsid w:val="00B745F3"/>
    <w:rsid w:val="00B74665"/>
    <w:rsid w:val="00B748BD"/>
    <w:rsid w:val="00B748D3"/>
    <w:rsid w:val="00B750D0"/>
    <w:rsid w:val="00B75177"/>
    <w:rsid w:val="00B75776"/>
    <w:rsid w:val="00B75994"/>
    <w:rsid w:val="00B75B1F"/>
    <w:rsid w:val="00B75BE5"/>
    <w:rsid w:val="00B7609D"/>
    <w:rsid w:val="00B76BFA"/>
    <w:rsid w:val="00B773EA"/>
    <w:rsid w:val="00B77513"/>
    <w:rsid w:val="00B77544"/>
    <w:rsid w:val="00B801FB"/>
    <w:rsid w:val="00B803C0"/>
    <w:rsid w:val="00B80418"/>
    <w:rsid w:val="00B80474"/>
    <w:rsid w:val="00B80B15"/>
    <w:rsid w:val="00B80F10"/>
    <w:rsid w:val="00B812D6"/>
    <w:rsid w:val="00B8130D"/>
    <w:rsid w:val="00B8147A"/>
    <w:rsid w:val="00B8180E"/>
    <w:rsid w:val="00B81847"/>
    <w:rsid w:val="00B81E6E"/>
    <w:rsid w:val="00B8254B"/>
    <w:rsid w:val="00B82648"/>
    <w:rsid w:val="00B82B38"/>
    <w:rsid w:val="00B82F4C"/>
    <w:rsid w:val="00B830C2"/>
    <w:rsid w:val="00B83432"/>
    <w:rsid w:val="00B8345D"/>
    <w:rsid w:val="00B8354D"/>
    <w:rsid w:val="00B83A04"/>
    <w:rsid w:val="00B83A61"/>
    <w:rsid w:val="00B83F59"/>
    <w:rsid w:val="00B83F7E"/>
    <w:rsid w:val="00B843C8"/>
    <w:rsid w:val="00B84A59"/>
    <w:rsid w:val="00B84B41"/>
    <w:rsid w:val="00B84C8E"/>
    <w:rsid w:val="00B85042"/>
    <w:rsid w:val="00B8571B"/>
    <w:rsid w:val="00B8575B"/>
    <w:rsid w:val="00B858DA"/>
    <w:rsid w:val="00B85C2B"/>
    <w:rsid w:val="00B85D9B"/>
    <w:rsid w:val="00B86429"/>
    <w:rsid w:val="00B87357"/>
    <w:rsid w:val="00B87494"/>
    <w:rsid w:val="00B874C7"/>
    <w:rsid w:val="00B8755C"/>
    <w:rsid w:val="00B876AB"/>
    <w:rsid w:val="00B87D19"/>
    <w:rsid w:val="00B9013F"/>
    <w:rsid w:val="00B90189"/>
    <w:rsid w:val="00B90631"/>
    <w:rsid w:val="00B907A8"/>
    <w:rsid w:val="00B919E5"/>
    <w:rsid w:val="00B920D5"/>
    <w:rsid w:val="00B92589"/>
    <w:rsid w:val="00B92906"/>
    <w:rsid w:val="00B9365D"/>
    <w:rsid w:val="00B943BD"/>
    <w:rsid w:val="00B94C23"/>
    <w:rsid w:val="00B94FE1"/>
    <w:rsid w:val="00B951C8"/>
    <w:rsid w:val="00B956B9"/>
    <w:rsid w:val="00B958AD"/>
    <w:rsid w:val="00B95D4A"/>
    <w:rsid w:val="00B95F68"/>
    <w:rsid w:val="00B960DB"/>
    <w:rsid w:val="00B9617E"/>
    <w:rsid w:val="00B96284"/>
    <w:rsid w:val="00B96386"/>
    <w:rsid w:val="00B964CE"/>
    <w:rsid w:val="00B964E4"/>
    <w:rsid w:val="00B96B68"/>
    <w:rsid w:val="00B96EA2"/>
    <w:rsid w:val="00B9747A"/>
    <w:rsid w:val="00B974BC"/>
    <w:rsid w:val="00B9784D"/>
    <w:rsid w:val="00B97AFC"/>
    <w:rsid w:val="00B97BD8"/>
    <w:rsid w:val="00B97CE9"/>
    <w:rsid w:val="00BA0380"/>
    <w:rsid w:val="00BA05D2"/>
    <w:rsid w:val="00BA07DA"/>
    <w:rsid w:val="00BA0C9F"/>
    <w:rsid w:val="00BA1005"/>
    <w:rsid w:val="00BA1388"/>
    <w:rsid w:val="00BA1A08"/>
    <w:rsid w:val="00BA1B73"/>
    <w:rsid w:val="00BA1E1C"/>
    <w:rsid w:val="00BA220A"/>
    <w:rsid w:val="00BA29B6"/>
    <w:rsid w:val="00BA39E8"/>
    <w:rsid w:val="00BA4800"/>
    <w:rsid w:val="00BA48C6"/>
    <w:rsid w:val="00BA492B"/>
    <w:rsid w:val="00BA4AA7"/>
    <w:rsid w:val="00BA4F13"/>
    <w:rsid w:val="00BA53AC"/>
    <w:rsid w:val="00BA546E"/>
    <w:rsid w:val="00BA54E8"/>
    <w:rsid w:val="00BA57B0"/>
    <w:rsid w:val="00BA59F4"/>
    <w:rsid w:val="00BA5A50"/>
    <w:rsid w:val="00BA5CFD"/>
    <w:rsid w:val="00BA5DC7"/>
    <w:rsid w:val="00BA6172"/>
    <w:rsid w:val="00BA64AF"/>
    <w:rsid w:val="00BA6518"/>
    <w:rsid w:val="00BA69D6"/>
    <w:rsid w:val="00BA72B9"/>
    <w:rsid w:val="00BA74DD"/>
    <w:rsid w:val="00BA7A63"/>
    <w:rsid w:val="00BA7EFD"/>
    <w:rsid w:val="00BA7F64"/>
    <w:rsid w:val="00BB056F"/>
    <w:rsid w:val="00BB06C0"/>
    <w:rsid w:val="00BB0B37"/>
    <w:rsid w:val="00BB0C4A"/>
    <w:rsid w:val="00BB0EA1"/>
    <w:rsid w:val="00BB1109"/>
    <w:rsid w:val="00BB11D1"/>
    <w:rsid w:val="00BB1206"/>
    <w:rsid w:val="00BB1262"/>
    <w:rsid w:val="00BB154C"/>
    <w:rsid w:val="00BB1AC2"/>
    <w:rsid w:val="00BB1DB6"/>
    <w:rsid w:val="00BB20B3"/>
    <w:rsid w:val="00BB21D7"/>
    <w:rsid w:val="00BB2589"/>
    <w:rsid w:val="00BB2CC4"/>
    <w:rsid w:val="00BB3090"/>
    <w:rsid w:val="00BB326B"/>
    <w:rsid w:val="00BB3E6A"/>
    <w:rsid w:val="00BB493A"/>
    <w:rsid w:val="00BB50CD"/>
    <w:rsid w:val="00BB57C9"/>
    <w:rsid w:val="00BB57CC"/>
    <w:rsid w:val="00BB5CB4"/>
    <w:rsid w:val="00BB6563"/>
    <w:rsid w:val="00BB689D"/>
    <w:rsid w:val="00BB6AC9"/>
    <w:rsid w:val="00BB6C8E"/>
    <w:rsid w:val="00BB6EFF"/>
    <w:rsid w:val="00BB6F44"/>
    <w:rsid w:val="00BB6F85"/>
    <w:rsid w:val="00BB708C"/>
    <w:rsid w:val="00BB718D"/>
    <w:rsid w:val="00BB7672"/>
    <w:rsid w:val="00BB7B49"/>
    <w:rsid w:val="00BB7E25"/>
    <w:rsid w:val="00BB7F1E"/>
    <w:rsid w:val="00BB7F85"/>
    <w:rsid w:val="00BB7F8E"/>
    <w:rsid w:val="00BC018A"/>
    <w:rsid w:val="00BC1236"/>
    <w:rsid w:val="00BC12A0"/>
    <w:rsid w:val="00BC157D"/>
    <w:rsid w:val="00BC161E"/>
    <w:rsid w:val="00BC16E2"/>
    <w:rsid w:val="00BC1B1E"/>
    <w:rsid w:val="00BC1D78"/>
    <w:rsid w:val="00BC207A"/>
    <w:rsid w:val="00BC2593"/>
    <w:rsid w:val="00BC2A45"/>
    <w:rsid w:val="00BC2AF1"/>
    <w:rsid w:val="00BC2B45"/>
    <w:rsid w:val="00BC2B8C"/>
    <w:rsid w:val="00BC2E73"/>
    <w:rsid w:val="00BC3127"/>
    <w:rsid w:val="00BC37CA"/>
    <w:rsid w:val="00BC387A"/>
    <w:rsid w:val="00BC3B38"/>
    <w:rsid w:val="00BC3E75"/>
    <w:rsid w:val="00BC3FDA"/>
    <w:rsid w:val="00BC4230"/>
    <w:rsid w:val="00BC436A"/>
    <w:rsid w:val="00BC45DD"/>
    <w:rsid w:val="00BC4765"/>
    <w:rsid w:val="00BC4C54"/>
    <w:rsid w:val="00BC4F44"/>
    <w:rsid w:val="00BC556A"/>
    <w:rsid w:val="00BC55FF"/>
    <w:rsid w:val="00BC5E3F"/>
    <w:rsid w:val="00BC6BBA"/>
    <w:rsid w:val="00BC6CBD"/>
    <w:rsid w:val="00BC6F13"/>
    <w:rsid w:val="00BC75D5"/>
    <w:rsid w:val="00BC7821"/>
    <w:rsid w:val="00BC7D0E"/>
    <w:rsid w:val="00BC7F2F"/>
    <w:rsid w:val="00BD0180"/>
    <w:rsid w:val="00BD025A"/>
    <w:rsid w:val="00BD06B6"/>
    <w:rsid w:val="00BD0A11"/>
    <w:rsid w:val="00BD0A8A"/>
    <w:rsid w:val="00BD0B18"/>
    <w:rsid w:val="00BD1085"/>
    <w:rsid w:val="00BD10AC"/>
    <w:rsid w:val="00BD1998"/>
    <w:rsid w:val="00BD1CDE"/>
    <w:rsid w:val="00BD1ECF"/>
    <w:rsid w:val="00BD2062"/>
    <w:rsid w:val="00BD2425"/>
    <w:rsid w:val="00BD2503"/>
    <w:rsid w:val="00BD28C5"/>
    <w:rsid w:val="00BD2F0C"/>
    <w:rsid w:val="00BD304D"/>
    <w:rsid w:val="00BD3407"/>
    <w:rsid w:val="00BD39EE"/>
    <w:rsid w:val="00BD3A7E"/>
    <w:rsid w:val="00BD3D44"/>
    <w:rsid w:val="00BD3FAA"/>
    <w:rsid w:val="00BD40B9"/>
    <w:rsid w:val="00BD41C0"/>
    <w:rsid w:val="00BD44CB"/>
    <w:rsid w:val="00BD499C"/>
    <w:rsid w:val="00BD4A5D"/>
    <w:rsid w:val="00BD4FD0"/>
    <w:rsid w:val="00BD5007"/>
    <w:rsid w:val="00BD511F"/>
    <w:rsid w:val="00BD51B7"/>
    <w:rsid w:val="00BD562E"/>
    <w:rsid w:val="00BD56CC"/>
    <w:rsid w:val="00BD5713"/>
    <w:rsid w:val="00BD5D45"/>
    <w:rsid w:val="00BD63C9"/>
    <w:rsid w:val="00BD6731"/>
    <w:rsid w:val="00BD67E2"/>
    <w:rsid w:val="00BD6A2B"/>
    <w:rsid w:val="00BD75AD"/>
    <w:rsid w:val="00BD78CE"/>
    <w:rsid w:val="00BD7A03"/>
    <w:rsid w:val="00BD7C39"/>
    <w:rsid w:val="00BD7E5A"/>
    <w:rsid w:val="00BE032C"/>
    <w:rsid w:val="00BE036C"/>
    <w:rsid w:val="00BE0CB2"/>
    <w:rsid w:val="00BE0CE9"/>
    <w:rsid w:val="00BE120B"/>
    <w:rsid w:val="00BE1516"/>
    <w:rsid w:val="00BE165D"/>
    <w:rsid w:val="00BE188D"/>
    <w:rsid w:val="00BE2138"/>
    <w:rsid w:val="00BE2262"/>
    <w:rsid w:val="00BE22CE"/>
    <w:rsid w:val="00BE23C6"/>
    <w:rsid w:val="00BE2528"/>
    <w:rsid w:val="00BE2BC3"/>
    <w:rsid w:val="00BE2FDD"/>
    <w:rsid w:val="00BE34D8"/>
    <w:rsid w:val="00BE3641"/>
    <w:rsid w:val="00BE3853"/>
    <w:rsid w:val="00BE3928"/>
    <w:rsid w:val="00BE3FDB"/>
    <w:rsid w:val="00BE42FD"/>
    <w:rsid w:val="00BE4493"/>
    <w:rsid w:val="00BE4AD0"/>
    <w:rsid w:val="00BE4B26"/>
    <w:rsid w:val="00BE4E03"/>
    <w:rsid w:val="00BE615E"/>
    <w:rsid w:val="00BE6F02"/>
    <w:rsid w:val="00BE7364"/>
    <w:rsid w:val="00BE7491"/>
    <w:rsid w:val="00BE765C"/>
    <w:rsid w:val="00BE7E65"/>
    <w:rsid w:val="00BF00AA"/>
    <w:rsid w:val="00BF0391"/>
    <w:rsid w:val="00BF0A4C"/>
    <w:rsid w:val="00BF0DC5"/>
    <w:rsid w:val="00BF1151"/>
    <w:rsid w:val="00BF17A2"/>
    <w:rsid w:val="00BF180F"/>
    <w:rsid w:val="00BF19EF"/>
    <w:rsid w:val="00BF22AB"/>
    <w:rsid w:val="00BF24DB"/>
    <w:rsid w:val="00BF278D"/>
    <w:rsid w:val="00BF2A98"/>
    <w:rsid w:val="00BF3436"/>
    <w:rsid w:val="00BF3683"/>
    <w:rsid w:val="00BF375E"/>
    <w:rsid w:val="00BF3816"/>
    <w:rsid w:val="00BF3847"/>
    <w:rsid w:val="00BF3E1D"/>
    <w:rsid w:val="00BF3E84"/>
    <w:rsid w:val="00BF3F3E"/>
    <w:rsid w:val="00BF45A8"/>
    <w:rsid w:val="00BF4E84"/>
    <w:rsid w:val="00BF5865"/>
    <w:rsid w:val="00BF5AEB"/>
    <w:rsid w:val="00BF5CD4"/>
    <w:rsid w:val="00BF5E1D"/>
    <w:rsid w:val="00BF63B8"/>
    <w:rsid w:val="00BF64CF"/>
    <w:rsid w:val="00BF69A9"/>
    <w:rsid w:val="00BF6D03"/>
    <w:rsid w:val="00BF7724"/>
    <w:rsid w:val="00BF7890"/>
    <w:rsid w:val="00BF7B60"/>
    <w:rsid w:val="00BF7D29"/>
    <w:rsid w:val="00BF7D85"/>
    <w:rsid w:val="00BF7E13"/>
    <w:rsid w:val="00BF7F37"/>
    <w:rsid w:val="00C00715"/>
    <w:rsid w:val="00C00747"/>
    <w:rsid w:val="00C00826"/>
    <w:rsid w:val="00C00DCA"/>
    <w:rsid w:val="00C00F53"/>
    <w:rsid w:val="00C00F72"/>
    <w:rsid w:val="00C01880"/>
    <w:rsid w:val="00C018DE"/>
    <w:rsid w:val="00C01B26"/>
    <w:rsid w:val="00C01E30"/>
    <w:rsid w:val="00C027A7"/>
    <w:rsid w:val="00C02A07"/>
    <w:rsid w:val="00C02A0A"/>
    <w:rsid w:val="00C0320D"/>
    <w:rsid w:val="00C036D7"/>
    <w:rsid w:val="00C03764"/>
    <w:rsid w:val="00C03BBE"/>
    <w:rsid w:val="00C03DC8"/>
    <w:rsid w:val="00C043B4"/>
    <w:rsid w:val="00C0447F"/>
    <w:rsid w:val="00C045FA"/>
    <w:rsid w:val="00C0497B"/>
    <w:rsid w:val="00C04B7D"/>
    <w:rsid w:val="00C04E53"/>
    <w:rsid w:val="00C04F3D"/>
    <w:rsid w:val="00C0544C"/>
    <w:rsid w:val="00C05F96"/>
    <w:rsid w:val="00C06B8C"/>
    <w:rsid w:val="00C07006"/>
    <w:rsid w:val="00C075AB"/>
    <w:rsid w:val="00C07876"/>
    <w:rsid w:val="00C07F50"/>
    <w:rsid w:val="00C10148"/>
    <w:rsid w:val="00C10310"/>
    <w:rsid w:val="00C1063E"/>
    <w:rsid w:val="00C11163"/>
    <w:rsid w:val="00C11357"/>
    <w:rsid w:val="00C11646"/>
    <w:rsid w:val="00C1195B"/>
    <w:rsid w:val="00C119A7"/>
    <w:rsid w:val="00C11E19"/>
    <w:rsid w:val="00C1214B"/>
    <w:rsid w:val="00C12589"/>
    <w:rsid w:val="00C12619"/>
    <w:rsid w:val="00C127BD"/>
    <w:rsid w:val="00C12B76"/>
    <w:rsid w:val="00C12E88"/>
    <w:rsid w:val="00C1315B"/>
    <w:rsid w:val="00C1347E"/>
    <w:rsid w:val="00C1352B"/>
    <w:rsid w:val="00C13701"/>
    <w:rsid w:val="00C13B54"/>
    <w:rsid w:val="00C13D5D"/>
    <w:rsid w:val="00C13E7D"/>
    <w:rsid w:val="00C14DEF"/>
    <w:rsid w:val="00C14EE4"/>
    <w:rsid w:val="00C1525A"/>
    <w:rsid w:val="00C15289"/>
    <w:rsid w:val="00C1582F"/>
    <w:rsid w:val="00C15C41"/>
    <w:rsid w:val="00C15FAA"/>
    <w:rsid w:val="00C161F6"/>
    <w:rsid w:val="00C16466"/>
    <w:rsid w:val="00C1671F"/>
    <w:rsid w:val="00C17076"/>
    <w:rsid w:val="00C17212"/>
    <w:rsid w:val="00C1760D"/>
    <w:rsid w:val="00C176D8"/>
    <w:rsid w:val="00C17712"/>
    <w:rsid w:val="00C17737"/>
    <w:rsid w:val="00C17B9C"/>
    <w:rsid w:val="00C20094"/>
    <w:rsid w:val="00C2014B"/>
    <w:rsid w:val="00C205EB"/>
    <w:rsid w:val="00C20FBC"/>
    <w:rsid w:val="00C211B5"/>
    <w:rsid w:val="00C214C3"/>
    <w:rsid w:val="00C2187E"/>
    <w:rsid w:val="00C21A02"/>
    <w:rsid w:val="00C21D7E"/>
    <w:rsid w:val="00C21F49"/>
    <w:rsid w:val="00C22021"/>
    <w:rsid w:val="00C22391"/>
    <w:rsid w:val="00C225FB"/>
    <w:rsid w:val="00C23759"/>
    <w:rsid w:val="00C23A92"/>
    <w:rsid w:val="00C24214"/>
    <w:rsid w:val="00C2458E"/>
    <w:rsid w:val="00C24A95"/>
    <w:rsid w:val="00C24EA7"/>
    <w:rsid w:val="00C251E8"/>
    <w:rsid w:val="00C25C48"/>
    <w:rsid w:val="00C25FC1"/>
    <w:rsid w:val="00C26039"/>
    <w:rsid w:val="00C262B1"/>
    <w:rsid w:val="00C262ED"/>
    <w:rsid w:val="00C26402"/>
    <w:rsid w:val="00C26535"/>
    <w:rsid w:val="00C26B6B"/>
    <w:rsid w:val="00C26CD1"/>
    <w:rsid w:val="00C27073"/>
    <w:rsid w:val="00C2714F"/>
    <w:rsid w:val="00C27AF9"/>
    <w:rsid w:val="00C27B8A"/>
    <w:rsid w:val="00C27D4D"/>
    <w:rsid w:val="00C27E4A"/>
    <w:rsid w:val="00C27FAE"/>
    <w:rsid w:val="00C3031D"/>
    <w:rsid w:val="00C30853"/>
    <w:rsid w:val="00C30CA3"/>
    <w:rsid w:val="00C31714"/>
    <w:rsid w:val="00C32422"/>
    <w:rsid w:val="00C32534"/>
    <w:rsid w:val="00C32603"/>
    <w:rsid w:val="00C3294A"/>
    <w:rsid w:val="00C32B8A"/>
    <w:rsid w:val="00C32C40"/>
    <w:rsid w:val="00C32DC1"/>
    <w:rsid w:val="00C33071"/>
    <w:rsid w:val="00C33E9E"/>
    <w:rsid w:val="00C3430C"/>
    <w:rsid w:val="00C3471F"/>
    <w:rsid w:val="00C3478D"/>
    <w:rsid w:val="00C34E4F"/>
    <w:rsid w:val="00C3520A"/>
    <w:rsid w:val="00C35801"/>
    <w:rsid w:val="00C35931"/>
    <w:rsid w:val="00C35BF9"/>
    <w:rsid w:val="00C35E51"/>
    <w:rsid w:val="00C35EEC"/>
    <w:rsid w:val="00C35F2A"/>
    <w:rsid w:val="00C360DC"/>
    <w:rsid w:val="00C36112"/>
    <w:rsid w:val="00C36123"/>
    <w:rsid w:val="00C36159"/>
    <w:rsid w:val="00C362CB"/>
    <w:rsid w:val="00C36652"/>
    <w:rsid w:val="00C366DB"/>
    <w:rsid w:val="00C36765"/>
    <w:rsid w:val="00C36B76"/>
    <w:rsid w:val="00C370D4"/>
    <w:rsid w:val="00C37352"/>
    <w:rsid w:val="00C37B41"/>
    <w:rsid w:val="00C37B90"/>
    <w:rsid w:val="00C37E00"/>
    <w:rsid w:val="00C37E09"/>
    <w:rsid w:val="00C40545"/>
    <w:rsid w:val="00C405FC"/>
    <w:rsid w:val="00C40790"/>
    <w:rsid w:val="00C40B17"/>
    <w:rsid w:val="00C40C03"/>
    <w:rsid w:val="00C40D25"/>
    <w:rsid w:val="00C40EFF"/>
    <w:rsid w:val="00C40FC5"/>
    <w:rsid w:val="00C41043"/>
    <w:rsid w:val="00C410DF"/>
    <w:rsid w:val="00C41498"/>
    <w:rsid w:val="00C4182A"/>
    <w:rsid w:val="00C41DBF"/>
    <w:rsid w:val="00C42097"/>
    <w:rsid w:val="00C4254B"/>
    <w:rsid w:val="00C4276C"/>
    <w:rsid w:val="00C4283E"/>
    <w:rsid w:val="00C4286D"/>
    <w:rsid w:val="00C42E6D"/>
    <w:rsid w:val="00C4304B"/>
    <w:rsid w:val="00C43058"/>
    <w:rsid w:val="00C433A7"/>
    <w:rsid w:val="00C43850"/>
    <w:rsid w:val="00C43C4C"/>
    <w:rsid w:val="00C43CD2"/>
    <w:rsid w:val="00C44759"/>
    <w:rsid w:val="00C457C1"/>
    <w:rsid w:val="00C45923"/>
    <w:rsid w:val="00C45C6F"/>
    <w:rsid w:val="00C462E5"/>
    <w:rsid w:val="00C464BC"/>
    <w:rsid w:val="00C46CE2"/>
    <w:rsid w:val="00C4700E"/>
    <w:rsid w:val="00C47024"/>
    <w:rsid w:val="00C472A8"/>
    <w:rsid w:val="00C47844"/>
    <w:rsid w:val="00C47C81"/>
    <w:rsid w:val="00C47EDF"/>
    <w:rsid w:val="00C47F07"/>
    <w:rsid w:val="00C503A4"/>
    <w:rsid w:val="00C506A7"/>
    <w:rsid w:val="00C50A0F"/>
    <w:rsid w:val="00C50B20"/>
    <w:rsid w:val="00C51272"/>
    <w:rsid w:val="00C513EC"/>
    <w:rsid w:val="00C5175B"/>
    <w:rsid w:val="00C517B6"/>
    <w:rsid w:val="00C5184E"/>
    <w:rsid w:val="00C51DD1"/>
    <w:rsid w:val="00C52774"/>
    <w:rsid w:val="00C52DFA"/>
    <w:rsid w:val="00C538D1"/>
    <w:rsid w:val="00C53F15"/>
    <w:rsid w:val="00C5410D"/>
    <w:rsid w:val="00C54746"/>
    <w:rsid w:val="00C54863"/>
    <w:rsid w:val="00C54A49"/>
    <w:rsid w:val="00C54B26"/>
    <w:rsid w:val="00C55CB0"/>
    <w:rsid w:val="00C5609F"/>
    <w:rsid w:val="00C561A3"/>
    <w:rsid w:val="00C561C6"/>
    <w:rsid w:val="00C5659C"/>
    <w:rsid w:val="00C56A85"/>
    <w:rsid w:val="00C56C79"/>
    <w:rsid w:val="00C57777"/>
    <w:rsid w:val="00C57AFE"/>
    <w:rsid w:val="00C57C56"/>
    <w:rsid w:val="00C57EEB"/>
    <w:rsid w:val="00C57EF7"/>
    <w:rsid w:val="00C6005A"/>
    <w:rsid w:val="00C600F1"/>
    <w:rsid w:val="00C60181"/>
    <w:rsid w:val="00C601ED"/>
    <w:rsid w:val="00C6073A"/>
    <w:rsid w:val="00C60846"/>
    <w:rsid w:val="00C60AE8"/>
    <w:rsid w:val="00C60B6D"/>
    <w:rsid w:val="00C60CD1"/>
    <w:rsid w:val="00C60D22"/>
    <w:rsid w:val="00C61737"/>
    <w:rsid w:val="00C61977"/>
    <w:rsid w:val="00C61E35"/>
    <w:rsid w:val="00C621A5"/>
    <w:rsid w:val="00C62252"/>
    <w:rsid w:val="00C6226A"/>
    <w:rsid w:val="00C622C4"/>
    <w:rsid w:val="00C62DB2"/>
    <w:rsid w:val="00C62E2F"/>
    <w:rsid w:val="00C62F2E"/>
    <w:rsid w:val="00C63126"/>
    <w:rsid w:val="00C63536"/>
    <w:rsid w:val="00C63623"/>
    <w:rsid w:val="00C636FB"/>
    <w:rsid w:val="00C642B3"/>
    <w:rsid w:val="00C650E7"/>
    <w:rsid w:val="00C653C5"/>
    <w:rsid w:val="00C654C6"/>
    <w:rsid w:val="00C65668"/>
    <w:rsid w:val="00C659EB"/>
    <w:rsid w:val="00C66229"/>
    <w:rsid w:val="00C662F8"/>
    <w:rsid w:val="00C66562"/>
    <w:rsid w:val="00C66596"/>
    <w:rsid w:val="00C66790"/>
    <w:rsid w:val="00C66AC3"/>
    <w:rsid w:val="00C66B33"/>
    <w:rsid w:val="00C66D09"/>
    <w:rsid w:val="00C66E46"/>
    <w:rsid w:val="00C67284"/>
    <w:rsid w:val="00C70741"/>
    <w:rsid w:val="00C71788"/>
    <w:rsid w:val="00C71C94"/>
    <w:rsid w:val="00C71DCB"/>
    <w:rsid w:val="00C725AF"/>
    <w:rsid w:val="00C725C8"/>
    <w:rsid w:val="00C7270C"/>
    <w:rsid w:val="00C72974"/>
    <w:rsid w:val="00C72AB5"/>
    <w:rsid w:val="00C72BA4"/>
    <w:rsid w:val="00C73694"/>
    <w:rsid w:val="00C73B1B"/>
    <w:rsid w:val="00C73DFA"/>
    <w:rsid w:val="00C73E39"/>
    <w:rsid w:val="00C74033"/>
    <w:rsid w:val="00C7406A"/>
    <w:rsid w:val="00C741CB"/>
    <w:rsid w:val="00C743CD"/>
    <w:rsid w:val="00C74B9B"/>
    <w:rsid w:val="00C74E96"/>
    <w:rsid w:val="00C7557F"/>
    <w:rsid w:val="00C755E5"/>
    <w:rsid w:val="00C7644E"/>
    <w:rsid w:val="00C76F4B"/>
    <w:rsid w:val="00C76FBC"/>
    <w:rsid w:val="00C77183"/>
    <w:rsid w:val="00C7741C"/>
    <w:rsid w:val="00C77571"/>
    <w:rsid w:val="00C77640"/>
    <w:rsid w:val="00C77A03"/>
    <w:rsid w:val="00C77FE5"/>
    <w:rsid w:val="00C80982"/>
    <w:rsid w:val="00C80B5B"/>
    <w:rsid w:val="00C80E9C"/>
    <w:rsid w:val="00C80F09"/>
    <w:rsid w:val="00C813EA"/>
    <w:rsid w:val="00C81501"/>
    <w:rsid w:val="00C815FD"/>
    <w:rsid w:val="00C81CDA"/>
    <w:rsid w:val="00C81ECE"/>
    <w:rsid w:val="00C81EE2"/>
    <w:rsid w:val="00C820EF"/>
    <w:rsid w:val="00C8242F"/>
    <w:rsid w:val="00C828AD"/>
    <w:rsid w:val="00C829D2"/>
    <w:rsid w:val="00C82A5B"/>
    <w:rsid w:val="00C82F7A"/>
    <w:rsid w:val="00C8347D"/>
    <w:rsid w:val="00C836FF"/>
    <w:rsid w:val="00C838F3"/>
    <w:rsid w:val="00C839D5"/>
    <w:rsid w:val="00C83B21"/>
    <w:rsid w:val="00C844CF"/>
    <w:rsid w:val="00C84A0F"/>
    <w:rsid w:val="00C84ACC"/>
    <w:rsid w:val="00C85057"/>
    <w:rsid w:val="00C85599"/>
    <w:rsid w:val="00C85675"/>
    <w:rsid w:val="00C858F0"/>
    <w:rsid w:val="00C8599F"/>
    <w:rsid w:val="00C863D3"/>
    <w:rsid w:val="00C864E5"/>
    <w:rsid w:val="00C869F8"/>
    <w:rsid w:val="00C86AE9"/>
    <w:rsid w:val="00C86DDB"/>
    <w:rsid w:val="00C8709C"/>
    <w:rsid w:val="00C87224"/>
    <w:rsid w:val="00C873C6"/>
    <w:rsid w:val="00C8761B"/>
    <w:rsid w:val="00C87743"/>
    <w:rsid w:val="00C87745"/>
    <w:rsid w:val="00C87853"/>
    <w:rsid w:val="00C8791C"/>
    <w:rsid w:val="00C87CB3"/>
    <w:rsid w:val="00C87DED"/>
    <w:rsid w:val="00C87EE0"/>
    <w:rsid w:val="00C90055"/>
    <w:rsid w:val="00C90379"/>
    <w:rsid w:val="00C9086F"/>
    <w:rsid w:val="00C90B9F"/>
    <w:rsid w:val="00C912E0"/>
    <w:rsid w:val="00C9162E"/>
    <w:rsid w:val="00C917DC"/>
    <w:rsid w:val="00C91BD4"/>
    <w:rsid w:val="00C9278B"/>
    <w:rsid w:val="00C9288F"/>
    <w:rsid w:val="00C92DEF"/>
    <w:rsid w:val="00C93040"/>
    <w:rsid w:val="00C9388B"/>
    <w:rsid w:val="00C93D22"/>
    <w:rsid w:val="00C941AA"/>
    <w:rsid w:val="00C9421D"/>
    <w:rsid w:val="00C942CF"/>
    <w:rsid w:val="00C94CEB"/>
    <w:rsid w:val="00C94D9A"/>
    <w:rsid w:val="00C94E44"/>
    <w:rsid w:val="00C95202"/>
    <w:rsid w:val="00C95472"/>
    <w:rsid w:val="00C959F2"/>
    <w:rsid w:val="00C95AE3"/>
    <w:rsid w:val="00C95E90"/>
    <w:rsid w:val="00C96194"/>
    <w:rsid w:val="00C968D9"/>
    <w:rsid w:val="00C96E00"/>
    <w:rsid w:val="00C96F73"/>
    <w:rsid w:val="00C97630"/>
    <w:rsid w:val="00C9777D"/>
    <w:rsid w:val="00C977C1"/>
    <w:rsid w:val="00C97851"/>
    <w:rsid w:val="00C97AB0"/>
    <w:rsid w:val="00C97E13"/>
    <w:rsid w:val="00C97EB6"/>
    <w:rsid w:val="00CA00A2"/>
    <w:rsid w:val="00CA00D8"/>
    <w:rsid w:val="00CA0561"/>
    <w:rsid w:val="00CA0782"/>
    <w:rsid w:val="00CA1297"/>
    <w:rsid w:val="00CA162B"/>
    <w:rsid w:val="00CA1947"/>
    <w:rsid w:val="00CA19C6"/>
    <w:rsid w:val="00CA1F4F"/>
    <w:rsid w:val="00CA2243"/>
    <w:rsid w:val="00CA22E7"/>
    <w:rsid w:val="00CA2550"/>
    <w:rsid w:val="00CA2720"/>
    <w:rsid w:val="00CA2758"/>
    <w:rsid w:val="00CA32D4"/>
    <w:rsid w:val="00CA388D"/>
    <w:rsid w:val="00CA39C0"/>
    <w:rsid w:val="00CA3D49"/>
    <w:rsid w:val="00CA3E56"/>
    <w:rsid w:val="00CA3E61"/>
    <w:rsid w:val="00CA3FF8"/>
    <w:rsid w:val="00CA4105"/>
    <w:rsid w:val="00CA462B"/>
    <w:rsid w:val="00CA46AF"/>
    <w:rsid w:val="00CA46FB"/>
    <w:rsid w:val="00CA4BEB"/>
    <w:rsid w:val="00CA4F13"/>
    <w:rsid w:val="00CA5484"/>
    <w:rsid w:val="00CA58B3"/>
    <w:rsid w:val="00CA5ADC"/>
    <w:rsid w:val="00CA60DB"/>
    <w:rsid w:val="00CA655D"/>
    <w:rsid w:val="00CA67E4"/>
    <w:rsid w:val="00CA68D3"/>
    <w:rsid w:val="00CA68D8"/>
    <w:rsid w:val="00CA6993"/>
    <w:rsid w:val="00CA6F2B"/>
    <w:rsid w:val="00CA6F6F"/>
    <w:rsid w:val="00CA73AE"/>
    <w:rsid w:val="00CA74A5"/>
    <w:rsid w:val="00CA7972"/>
    <w:rsid w:val="00CA7A48"/>
    <w:rsid w:val="00CA7A62"/>
    <w:rsid w:val="00CB0101"/>
    <w:rsid w:val="00CB0361"/>
    <w:rsid w:val="00CB03E0"/>
    <w:rsid w:val="00CB08C2"/>
    <w:rsid w:val="00CB08C7"/>
    <w:rsid w:val="00CB0B52"/>
    <w:rsid w:val="00CB0B76"/>
    <w:rsid w:val="00CB0F2A"/>
    <w:rsid w:val="00CB0F37"/>
    <w:rsid w:val="00CB1974"/>
    <w:rsid w:val="00CB1A33"/>
    <w:rsid w:val="00CB1A4C"/>
    <w:rsid w:val="00CB1E30"/>
    <w:rsid w:val="00CB1F03"/>
    <w:rsid w:val="00CB2258"/>
    <w:rsid w:val="00CB23CD"/>
    <w:rsid w:val="00CB24B2"/>
    <w:rsid w:val="00CB2CBD"/>
    <w:rsid w:val="00CB2D73"/>
    <w:rsid w:val="00CB2E5D"/>
    <w:rsid w:val="00CB2FE9"/>
    <w:rsid w:val="00CB3069"/>
    <w:rsid w:val="00CB3D75"/>
    <w:rsid w:val="00CB3E37"/>
    <w:rsid w:val="00CB4985"/>
    <w:rsid w:val="00CB4C87"/>
    <w:rsid w:val="00CB4E0B"/>
    <w:rsid w:val="00CB4E27"/>
    <w:rsid w:val="00CB50A6"/>
    <w:rsid w:val="00CB50D7"/>
    <w:rsid w:val="00CB5200"/>
    <w:rsid w:val="00CB5337"/>
    <w:rsid w:val="00CB5B19"/>
    <w:rsid w:val="00CB5C1F"/>
    <w:rsid w:val="00CB5F67"/>
    <w:rsid w:val="00CB6718"/>
    <w:rsid w:val="00CB6C7F"/>
    <w:rsid w:val="00CB6F96"/>
    <w:rsid w:val="00CB700C"/>
    <w:rsid w:val="00CB7570"/>
    <w:rsid w:val="00CB770D"/>
    <w:rsid w:val="00CC004B"/>
    <w:rsid w:val="00CC00E6"/>
    <w:rsid w:val="00CC031B"/>
    <w:rsid w:val="00CC0643"/>
    <w:rsid w:val="00CC06E7"/>
    <w:rsid w:val="00CC06F0"/>
    <w:rsid w:val="00CC12BB"/>
    <w:rsid w:val="00CC19B4"/>
    <w:rsid w:val="00CC1F95"/>
    <w:rsid w:val="00CC2643"/>
    <w:rsid w:val="00CC2671"/>
    <w:rsid w:val="00CC2AEC"/>
    <w:rsid w:val="00CC2DA2"/>
    <w:rsid w:val="00CC2FF3"/>
    <w:rsid w:val="00CC3C98"/>
    <w:rsid w:val="00CC436A"/>
    <w:rsid w:val="00CC55BA"/>
    <w:rsid w:val="00CC5A15"/>
    <w:rsid w:val="00CC5B7E"/>
    <w:rsid w:val="00CC6779"/>
    <w:rsid w:val="00CC6BD3"/>
    <w:rsid w:val="00CC6CBA"/>
    <w:rsid w:val="00CC7073"/>
    <w:rsid w:val="00CC7089"/>
    <w:rsid w:val="00CC70F1"/>
    <w:rsid w:val="00CC7321"/>
    <w:rsid w:val="00CC7472"/>
    <w:rsid w:val="00CC7656"/>
    <w:rsid w:val="00CC78EB"/>
    <w:rsid w:val="00CC7F4A"/>
    <w:rsid w:val="00CD01D8"/>
    <w:rsid w:val="00CD0383"/>
    <w:rsid w:val="00CD04BD"/>
    <w:rsid w:val="00CD055E"/>
    <w:rsid w:val="00CD07E2"/>
    <w:rsid w:val="00CD0842"/>
    <w:rsid w:val="00CD087C"/>
    <w:rsid w:val="00CD10B6"/>
    <w:rsid w:val="00CD1219"/>
    <w:rsid w:val="00CD181E"/>
    <w:rsid w:val="00CD18A3"/>
    <w:rsid w:val="00CD1B67"/>
    <w:rsid w:val="00CD1CAD"/>
    <w:rsid w:val="00CD23F2"/>
    <w:rsid w:val="00CD2746"/>
    <w:rsid w:val="00CD2B3D"/>
    <w:rsid w:val="00CD2C19"/>
    <w:rsid w:val="00CD30A2"/>
    <w:rsid w:val="00CD3269"/>
    <w:rsid w:val="00CD3357"/>
    <w:rsid w:val="00CD335D"/>
    <w:rsid w:val="00CD3537"/>
    <w:rsid w:val="00CD3554"/>
    <w:rsid w:val="00CD3615"/>
    <w:rsid w:val="00CD3A13"/>
    <w:rsid w:val="00CD3A3D"/>
    <w:rsid w:val="00CD49D3"/>
    <w:rsid w:val="00CD55D9"/>
    <w:rsid w:val="00CD5915"/>
    <w:rsid w:val="00CD59C6"/>
    <w:rsid w:val="00CD5F5D"/>
    <w:rsid w:val="00CD653E"/>
    <w:rsid w:val="00CD6D7F"/>
    <w:rsid w:val="00CD7153"/>
    <w:rsid w:val="00CD7189"/>
    <w:rsid w:val="00CD71E1"/>
    <w:rsid w:val="00CD722E"/>
    <w:rsid w:val="00CD72F9"/>
    <w:rsid w:val="00CD73C2"/>
    <w:rsid w:val="00CD7659"/>
    <w:rsid w:val="00CD7BBA"/>
    <w:rsid w:val="00CE040C"/>
    <w:rsid w:val="00CE05C6"/>
    <w:rsid w:val="00CE0720"/>
    <w:rsid w:val="00CE0E88"/>
    <w:rsid w:val="00CE121D"/>
    <w:rsid w:val="00CE1DC6"/>
    <w:rsid w:val="00CE1F03"/>
    <w:rsid w:val="00CE1FA9"/>
    <w:rsid w:val="00CE2029"/>
    <w:rsid w:val="00CE268A"/>
    <w:rsid w:val="00CE2DDE"/>
    <w:rsid w:val="00CE2EDD"/>
    <w:rsid w:val="00CE2F59"/>
    <w:rsid w:val="00CE341B"/>
    <w:rsid w:val="00CE3623"/>
    <w:rsid w:val="00CE3986"/>
    <w:rsid w:val="00CE3A20"/>
    <w:rsid w:val="00CE3E51"/>
    <w:rsid w:val="00CE445C"/>
    <w:rsid w:val="00CE4A1F"/>
    <w:rsid w:val="00CE4A61"/>
    <w:rsid w:val="00CE5055"/>
    <w:rsid w:val="00CE5248"/>
    <w:rsid w:val="00CE5418"/>
    <w:rsid w:val="00CE55B7"/>
    <w:rsid w:val="00CE59A3"/>
    <w:rsid w:val="00CE5AF9"/>
    <w:rsid w:val="00CE5D58"/>
    <w:rsid w:val="00CE5F29"/>
    <w:rsid w:val="00CE605E"/>
    <w:rsid w:val="00CE6069"/>
    <w:rsid w:val="00CE60A6"/>
    <w:rsid w:val="00CE612E"/>
    <w:rsid w:val="00CE65B8"/>
    <w:rsid w:val="00CE65D7"/>
    <w:rsid w:val="00CE689D"/>
    <w:rsid w:val="00CE696E"/>
    <w:rsid w:val="00CE69C9"/>
    <w:rsid w:val="00CE6BA5"/>
    <w:rsid w:val="00CE6C08"/>
    <w:rsid w:val="00CE70D6"/>
    <w:rsid w:val="00CE789D"/>
    <w:rsid w:val="00CE7AC0"/>
    <w:rsid w:val="00CF02B0"/>
    <w:rsid w:val="00CF0E94"/>
    <w:rsid w:val="00CF150E"/>
    <w:rsid w:val="00CF1A7B"/>
    <w:rsid w:val="00CF2F7E"/>
    <w:rsid w:val="00CF30D3"/>
    <w:rsid w:val="00CF3516"/>
    <w:rsid w:val="00CF36B9"/>
    <w:rsid w:val="00CF384F"/>
    <w:rsid w:val="00CF39B4"/>
    <w:rsid w:val="00CF3A8A"/>
    <w:rsid w:val="00CF3AC7"/>
    <w:rsid w:val="00CF4087"/>
    <w:rsid w:val="00CF44B5"/>
    <w:rsid w:val="00CF4A29"/>
    <w:rsid w:val="00CF5001"/>
    <w:rsid w:val="00CF55B4"/>
    <w:rsid w:val="00CF5C48"/>
    <w:rsid w:val="00CF628B"/>
    <w:rsid w:val="00CF6599"/>
    <w:rsid w:val="00CF6971"/>
    <w:rsid w:val="00CF6AC8"/>
    <w:rsid w:val="00CF6CA1"/>
    <w:rsid w:val="00CF777F"/>
    <w:rsid w:val="00CF7835"/>
    <w:rsid w:val="00CF783C"/>
    <w:rsid w:val="00CF7A3D"/>
    <w:rsid w:val="00CF7AB7"/>
    <w:rsid w:val="00D00107"/>
    <w:rsid w:val="00D003F8"/>
    <w:rsid w:val="00D00694"/>
    <w:rsid w:val="00D00A91"/>
    <w:rsid w:val="00D00AD4"/>
    <w:rsid w:val="00D01068"/>
    <w:rsid w:val="00D010C9"/>
    <w:rsid w:val="00D0121F"/>
    <w:rsid w:val="00D01626"/>
    <w:rsid w:val="00D018E4"/>
    <w:rsid w:val="00D01A41"/>
    <w:rsid w:val="00D01D53"/>
    <w:rsid w:val="00D01F52"/>
    <w:rsid w:val="00D01FBE"/>
    <w:rsid w:val="00D026B3"/>
    <w:rsid w:val="00D02949"/>
    <w:rsid w:val="00D02961"/>
    <w:rsid w:val="00D02AB8"/>
    <w:rsid w:val="00D02D06"/>
    <w:rsid w:val="00D02E79"/>
    <w:rsid w:val="00D02FA5"/>
    <w:rsid w:val="00D030C4"/>
    <w:rsid w:val="00D0319A"/>
    <w:rsid w:val="00D03352"/>
    <w:rsid w:val="00D044BC"/>
    <w:rsid w:val="00D04931"/>
    <w:rsid w:val="00D0495E"/>
    <w:rsid w:val="00D04C1A"/>
    <w:rsid w:val="00D04CEF"/>
    <w:rsid w:val="00D04E16"/>
    <w:rsid w:val="00D054BD"/>
    <w:rsid w:val="00D055DF"/>
    <w:rsid w:val="00D057C8"/>
    <w:rsid w:val="00D05ADD"/>
    <w:rsid w:val="00D061E5"/>
    <w:rsid w:val="00D061F9"/>
    <w:rsid w:val="00D06436"/>
    <w:rsid w:val="00D06A65"/>
    <w:rsid w:val="00D06A6F"/>
    <w:rsid w:val="00D0700E"/>
    <w:rsid w:val="00D07579"/>
    <w:rsid w:val="00D075A1"/>
    <w:rsid w:val="00D07609"/>
    <w:rsid w:val="00D07711"/>
    <w:rsid w:val="00D07FE4"/>
    <w:rsid w:val="00D103A2"/>
    <w:rsid w:val="00D10887"/>
    <w:rsid w:val="00D10F4D"/>
    <w:rsid w:val="00D114E8"/>
    <w:rsid w:val="00D1150E"/>
    <w:rsid w:val="00D11EAE"/>
    <w:rsid w:val="00D12D55"/>
    <w:rsid w:val="00D1348D"/>
    <w:rsid w:val="00D135D3"/>
    <w:rsid w:val="00D13824"/>
    <w:rsid w:val="00D13D3E"/>
    <w:rsid w:val="00D14590"/>
    <w:rsid w:val="00D14706"/>
    <w:rsid w:val="00D14EBD"/>
    <w:rsid w:val="00D14F3F"/>
    <w:rsid w:val="00D15189"/>
    <w:rsid w:val="00D15257"/>
    <w:rsid w:val="00D1543D"/>
    <w:rsid w:val="00D15C24"/>
    <w:rsid w:val="00D16183"/>
    <w:rsid w:val="00D163C5"/>
    <w:rsid w:val="00D1645D"/>
    <w:rsid w:val="00D166D6"/>
    <w:rsid w:val="00D167EB"/>
    <w:rsid w:val="00D16B31"/>
    <w:rsid w:val="00D16BE0"/>
    <w:rsid w:val="00D16F13"/>
    <w:rsid w:val="00D17660"/>
    <w:rsid w:val="00D17709"/>
    <w:rsid w:val="00D17ABE"/>
    <w:rsid w:val="00D17E77"/>
    <w:rsid w:val="00D17EA5"/>
    <w:rsid w:val="00D17F8A"/>
    <w:rsid w:val="00D20106"/>
    <w:rsid w:val="00D20120"/>
    <w:rsid w:val="00D201B8"/>
    <w:rsid w:val="00D20292"/>
    <w:rsid w:val="00D20B1E"/>
    <w:rsid w:val="00D20B54"/>
    <w:rsid w:val="00D20C6B"/>
    <w:rsid w:val="00D20EB3"/>
    <w:rsid w:val="00D20F74"/>
    <w:rsid w:val="00D2109E"/>
    <w:rsid w:val="00D2158C"/>
    <w:rsid w:val="00D21734"/>
    <w:rsid w:val="00D2179F"/>
    <w:rsid w:val="00D21FEA"/>
    <w:rsid w:val="00D22469"/>
    <w:rsid w:val="00D22AB9"/>
    <w:rsid w:val="00D22C79"/>
    <w:rsid w:val="00D22CFC"/>
    <w:rsid w:val="00D23BDB"/>
    <w:rsid w:val="00D23D31"/>
    <w:rsid w:val="00D241A4"/>
    <w:rsid w:val="00D249E0"/>
    <w:rsid w:val="00D249EF"/>
    <w:rsid w:val="00D24A85"/>
    <w:rsid w:val="00D24AA5"/>
    <w:rsid w:val="00D24EF4"/>
    <w:rsid w:val="00D250C9"/>
    <w:rsid w:val="00D2596E"/>
    <w:rsid w:val="00D25A1C"/>
    <w:rsid w:val="00D25B43"/>
    <w:rsid w:val="00D25D27"/>
    <w:rsid w:val="00D25D45"/>
    <w:rsid w:val="00D25D5A"/>
    <w:rsid w:val="00D25E68"/>
    <w:rsid w:val="00D261CC"/>
    <w:rsid w:val="00D263EF"/>
    <w:rsid w:val="00D26E43"/>
    <w:rsid w:val="00D272FE"/>
    <w:rsid w:val="00D27341"/>
    <w:rsid w:val="00D2794A"/>
    <w:rsid w:val="00D30E47"/>
    <w:rsid w:val="00D3106C"/>
    <w:rsid w:val="00D3190F"/>
    <w:rsid w:val="00D31B0D"/>
    <w:rsid w:val="00D31D3B"/>
    <w:rsid w:val="00D320D9"/>
    <w:rsid w:val="00D32304"/>
    <w:rsid w:val="00D32310"/>
    <w:rsid w:val="00D32AAC"/>
    <w:rsid w:val="00D32C16"/>
    <w:rsid w:val="00D32FEC"/>
    <w:rsid w:val="00D33A85"/>
    <w:rsid w:val="00D33C4A"/>
    <w:rsid w:val="00D33CF2"/>
    <w:rsid w:val="00D33E4F"/>
    <w:rsid w:val="00D33F7F"/>
    <w:rsid w:val="00D33FBE"/>
    <w:rsid w:val="00D3451A"/>
    <w:rsid w:val="00D34BC7"/>
    <w:rsid w:val="00D34C86"/>
    <w:rsid w:val="00D3575B"/>
    <w:rsid w:val="00D357B0"/>
    <w:rsid w:val="00D35904"/>
    <w:rsid w:val="00D3593E"/>
    <w:rsid w:val="00D35B0A"/>
    <w:rsid w:val="00D35E61"/>
    <w:rsid w:val="00D361C4"/>
    <w:rsid w:val="00D361F3"/>
    <w:rsid w:val="00D36238"/>
    <w:rsid w:val="00D363ED"/>
    <w:rsid w:val="00D36998"/>
    <w:rsid w:val="00D369B3"/>
    <w:rsid w:val="00D37866"/>
    <w:rsid w:val="00D37EC2"/>
    <w:rsid w:val="00D40541"/>
    <w:rsid w:val="00D40710"/>
    <w:rsid w:val="00D40D61"/>
    <w:rsid w:val="00D40D9B"/>
    <w:rsid w:val="00D41762"/>
    <w:rsid w:val="00D41C42"/>
    <w:rsid w:val="00D42532"/>
    <w:rsid w:val="00D42C9F"/>
    <w:rsid w:val="00D4343F"/>
    <w:rsid w:val="00D439BC"/>
    <w:rsid w:val="00D43CE2"/>
    <w:rsid w:val="00D44157"/>
    <w:rsid w:val="00D44989"/>
    <w:rsid w:val="00D44B24"/>
    <w:rsid w:val="00D44D0C"/>
    <w:rsid w:val="00D44F02"/>
    <w:rsid w:val="00D453ED"/>
    <w:rsid w:val="00D4569B"/>
    <w:rsid w:val="00D45744"/>
    <w:rsid w:val="00D45DDF"/>
    <w:rsid w:val="00D460B0"/>
    <w:rsid w:val="00D462A2"/>
    <w:rsid w:val="00D46928"/>
    <w:rsid w:val="00D46930"/>
    <w:rsid w:val="00D46A1B"/>
    <w:rsid w:val="00D474A9"/>
    <w:rsid w:val="00D47E32"/>
    <w:rsid w:val="00D5079E"/>
    <w:rsid w:val="00D50867"/>
    <w:rsid w:val="00D50CC9"/>
    <w:rsid w:val="00D50DD0"/>
    <w:rsid w:val="00D50FF3"/>
    <w:rsid w:val="00D51C18"/>
    <w:rsid w:val="00D52698"/>
    <w:rsid w:val="00D52788"/>
    <w:rsid w:val="00D532EE"/>
    <w:rsid w:val="00D532F8"/>
    <w:rsid w:val="00D5455C"/>
    <w:rsid w:val="00D54884"/>
    <w:rsid w:val="00D551AD"/>
    <w:rsid w:val="00D551CF"/>
    <w:rsid w:val="00D555DD"/>
    <w:rsid w:val="00D5561C"/>
    <w:rsid w:val="00D55752"/>
    <w:rsid w:val="00D5588A"/>
    <w:rsid w:val="00D55ABF"/>
    <w:rsid w:val="00D55C70"/>
    <w:rsid w:val="00D560E7"/>
    <w:rsid w:val="00D563E7"/>
    <w:rsid w:val="00D56AD3"/>
    <w:rsid w:val="00D56C0A"/>
    <w:rsid w:val="00D56CB8"/>
    <w:rsid w:val="00D56E1F"/>
    <w:rsid w:val="00D57173"/>
    <w:rsid w:val="00D57732"/>
    <w:rsid w:val="00D57A50"/>
    <w:rsid w:val="00D57D28"/>
    <w:rsid w:val="00D57F79"/>
    <w:rsid w:val="00D60146"/>
    <w:rsid w:val="00D604D1"/>
    <w:rsid w:val="00D60DAB"/>
    <w:rsid w:val="00D612CD"/>
    <w:rsid w:val="00D6151A"/>
    <w:rsid w:val="00D61620"/>
    <w:rsid w:val="00D61A85"/>
    <w:rsid w:val="00D61C08"/>
    <w:rsid w:val="00D61CB4"/>
    <w:rsid w:val="00D62175"/>
    <w:rsid w:val="00D6270B"/>
    <w:rsid w:val="00D627B2"/>
    <w:rsid w:val="00D62C38"/>
    <w:rsid w:val="00D62E1C"/>
    <w:rsid w:val="00D62FA6"/>
    <w:rsid w:val="00D63160"/>
    <w:rsid w:val="00D631AA"/>
    <w:rsid w:val="00D632AF"/>
    <w:rsid w:val="00D63A1E"/>
    <w:rsid w:val="00D64072"/>
    <w:rsid w:val="00D64935"/>
    <w:rsid w:val="00D64B5F"/>
    <w:rsid w:val="00D64E9C"/>
    <w:rsid w:val="00D650CE"/>
    <w:rsid w:val="00D650F0"/>
    <w:rsid w:val="00D6546A"/>
    <w:rsid w:val="00D654AC"/>
    <w:rsid w:val="00D65799"/>
    <w:rsid w:val="00D657FA"/>
    <w:rsid w:val="00D65868"/>
    <w:rsid w:val="00D65898"/>
    <w:rsid w:val="00D65982"/>
    <w:rsid w:val="00D65BE8"/>
    <w:rsid w:val="00D65C89"/>
    <w:rsid w:val="00D662EF"/>
    <w:rsid w:val="00D66980"/>
    <w:rsid w:val="00D66DF8"/>
    <w:rsid w:val="00D6740A"/>
    <w:rsid w:val="00D674FD"/>
    <w:rsid w:val="00D6756D"/>
    <w:rsid w:val="00D67811"/>
    <w:rsid w:val="00D7070B"/>
    <w:rsid w:val="00D70773"/>
    <w:rsid w:val="00D70C29"/>
    <w:rsid w:val="00D70CDA"/>
    <w:rsid w:val="00D70D62"/>
    <w:rsid w:val="00D71135"/>
    <w:rsid w:val="00D717F4"/>
    <w:rsid w:val="00D71B65"/>
    <w:rsid w:val="00D71EF6"/>
    <w:rsid w:val="00D72807"/>
    <w:rsid w:val="00D7330E"/>
    <w:rsid w:val="00D7355A"/>
    <w:rsid w:val="00D73879"/>
    <w:rsid w:val="00D73A12"/>
    <w:rsid w:val="00D73EA0"/>
    <w:rsid w:val="00D74410"/>
    <w:rsid w:val="00D747AA"/>
    <w:rsid w:val="00D748D6"/>
    <w:rsid w:val="00D7508A"/>
    <w:rsid w:val="00D7511D"/>
    <w:rsid w:val="00D756A4"/>
    <w:rsid w:val="00D75910"/>
    <w:rsid w:val="00D7665D"/>
    <w:rsid w:val="00D767F0"/>
    <w:rsid w:val="00D768EE"/>
    <w:rsid w:val="00D76A8C"/>
    <w:rsid w:val="00D76AF3"/>
    <w:rsid w:val="00D76B26"/>
    <w:rsid w:val="00D76E9B"/>
    <w:rsid w:val="00D77261"/>
    <w:rsid w:val="00D774A6"/>
    <w:rsid w:val="00D777E1"/>
    <w:rsid w:val="00D77829"/>
    <w:rsid w:val="00D77AB4"/>
    <w:rsid w:val="00D77DF4"/>
    <w:rsid w:val="00D8039C"/>
    <w:rsid w:val="00D806C9"/>
    <w:rsid w:val="00D80B0F"/>
    <w:rsid w:val="00D80DD0"/>
    <w:rsid w:val="00D8134B"/>
    <w:rsid w:val="00D81597"/>
    <w:rsid w:val="00D81607"/>
    <w:rsid w:val="00D81F1C"/>
    <w:rsid w:val="00D81F2E"/>
    <w:rsid w:val="00D821B4"/>
    <w:rsid w:val="00D824F9"/>
    <w:rsid w:val="00D82707"/>
    <w:rsid w:val="00D8281D"/>
    <w:rsid w:val="00D82CEF"/>
    <w:rsid w:val="00D8345B"/>
    <w:rsid w:val="00D837D3"/>
    <w:rsid w:val="00D83ABC"/>
    <w:rsid w:val="00D83B81"/>
    <w:rsid w:val="00D83DCB"/>
    <w:rsid w:val="00D84554"/>
    <w:rsid w:val="00D84D61"/>
    <w:rsid w:val="00D84F8A"/>
    <w:rsid w:val="00D854CE"/>
    <w:rsid w:val="00D85520"/>
    <w:rsid w:val="00D85558"/>
    <w:rsid w:val="00D855A1"/>
    <w:rsid w:val="00D85DC7"/>
    <w:rsid w:val="00D85FA9"/>
    <w:rsid w:val="00D863B2"/>
    <w:rsid w:val="00D8641D"/>
    <w:rsid w:val="00D866F5"/>
    <w:rsid w:val="00D87A4D"/>
    <w:rsid w:val="00D87EA1"/>
    <w:rsid w:val="00D90161"/>
    <w:rsid w:val="00D9020D"/>
    <w:rsid w:val="00D9030C"/>
    <w:rsid w:val="00D908CB"/>
    <w:rsid w:val="00D90BF2"/>
    <w:rsid w:val="00D90C5A"/>
    <w:rsid w:val="00D90FC1"/>
    <w:rsid w:val="00D9185E"/>
    <w:rsid w:val="00D919DA"/>
    <w:rsid w:val="00D919FC"/>
    <w:rsid w:val="00D91CE3"/>
    <w:rsid w:val="00D933BB"/>
    <w:rsid w:val="00D9350A"/>
    <w:rsid w:val="00D935FA"/>
    <w:rsid w:val="00D93707"/>
    <w:rsid w:val="00D93A3B"/>
    <w:rsid w:val="00D93A8B"/>
    <w:rsid w:val="00D9401E"/>
    <w:rsid w:val="00D940FE"/>
    <w:rsid w:val="00D94123"/>
    <w:rsid w:val="00D941EF"/>
    <w:rsid w:val="00D943D5"/>
    <w:rsid w:val="00D94D1B"/>
    <w:rsid w:val="00D94EA8"/>
    <w:rsid w:val="00D94ED9"/>
    <w:rsid w:val="00D95607"/>
    <w:rsid w:val="00D958CC"/>
    <w:rsid w:val="00D9636C"/>
    <w:rsid w:val="00D96703"/>
    <w:rsid w:val="00D9690D"/>
    <w:rsid w:val="00D96D4E"/>
    <w:rsid w:val="00D97A2A"/>
    <w:rsid w:val="00D97CD3"/>
    <w:rsid w:val="00D97D57"/>
    <w:rsid w:val="00D97E14"/>
    <w:rsid w:val="00DA002D"/>
    <w:rsid w:val="00DA032A"/>
    <w:rsid w:val="00DA0D42"/>
    <w:rsid w:val="00DA0FBB"/>
    <w:rsid w:val="00DA12FE"/>
    <w:rsid w:val="00DA1340"/>
    <w:rsid w:val="00DA14C7"/>
    <w:rsid w:val="00DA1B24"/>
    <w:rsid w:val="00DA1D49"/>
    <w:rsid w:val="00DA1F71"/>
    <w:rsid w:val="00DA2081"/>
    <w:rsid w:val="00DA2588"/>
    <w:rsid w:val="00DA2688"/>
    <w:rsid w:val="00DA2B7A"/>
    <w:rsid w:val="00DA316E"/>
    <w:rsid w:val="00DA338C"/>
    <w:rsid w:val="00DA341F"/>
    <w:rsid w:val="00DA3531"/>
    <w:rsid w:val="00DA385B"/>
    <w:rsid w:val="00DA3D0C"/>
    <w:rsid w:val="00DA41DE"/>
    <w:rsid w:val="00DA427C"/>
    <w:rsid w:val="00DA48E8"/>
    <w:rsid w:val="00DA4936"/>
    <w:rsid w:val="00DA4BAD"/>
    <w:rsid w:val="00DA52B6"/>
    <w:rsid w:val="00DA5610"/>
    <w:rsid w:val="00DA576E"/>
    <w:rsid w:val="00DA584E"/>
    <w:rsid w:val="00DA5AB2"/>
    <w:rsid w:val="00DA5C42"/>
    <w:rsid w:val="00DA5F36"/>
    <w:rsid w:val="00DA6121"/>
    <w:rsid w:val="00DA64CE"/>
    <w:rsid w:val="00DA6718"/>
    <w:rsid w:val="00DA6860"/>
    <w:rsid w:val="00DA6932"/>
    <w:rsid w:val="00DA6B39"/>
    <w:rsid w:val="00DA6BE8"/>
    <w:rsid w:val="00DA78B4"/>
    <w:rsid w:val="00DA7A90"/>
    <w:rsid w:val="00DB05ED"/>
    <w:rsid w:val="00DB0D97"/>
    <w:rsid w:val="00DB10C5"/>
    <w:rsid w:val="00DB1874"/>
    <w:rsid w:val="00DB193C"/>
    <w:rsid w:val="00DB1C92"/>
    <w:rsid w:val="00DB1D8D"/>
    <w:rsid w:val="00DB241C"/>
    <w:rsid w:val="00DB2469"/>
    <w:rsid w:val="00DB255F"/>
    <w:rsid w:val="00DB27D7"/>
    <w:rsid w:val="00DB2C56"/>
    <w:rsid w:val="00DB35A1"/>
    <w:rsid w:val="00DB367E"/>
    <w:rsid w:val="00DB3F9E"/>
    <w:rsid w:val="00DB4391"/>
    <w:rsid w:val="00DB44FC"/>
    <w:rsid w:val="00DB4608"/>
    <w:rsid w:val="00DB49B6"/>
    <w:rsid w:val="00DB512D"/>
    <w:rsid w:val="00DB52B6"/>
    <w:rsid w:val="00DB52DA"/>
    <w:rsid w:val="00DB5BE6"/>
    <w:rsid w:val="00DB6226"/>
    <w:rsid w:val="00DB65D2"/>
    <w:rsid w:val="00DB6D90"/>
    <w:rsid w:val="00DB73A2"/>
    <w:rsid w:val="00DB78EA"/>
    <w:rsid w:val="00DB7BC1"/>
    <w:rsid w:val="00DC00D6"/>
    <w:rsid w:val="00DC0608"/>
    <w:rsid w:val="00DC06CB"/>
    <w:rsid w:val="00DC096A"/>
    <w:rsid w:val="00DC09D4"/>
    <w:rsid w:val="00DC13C5"/>
    <w:rsid w:val="00DC1B92"/>
    <w:rsid w:val="00DC1D16"/>
    <w:rsid w:val="00DC1EB7"/>
    <w:rsid w:val="00DC2412"/>
    <w:rsid w:val="00DC270C"/>
    <w:rsid w:val="00DC2E46"/>
    <w:rsid w:val="00DC393C"/>
    <w:rsid w:val="00DC3EF2"/>
    <w:rsid w:val="00DC420F"/>
    <w:rsid w:val="00DC42DC"/>
    <w:rsid w:val="00DC4371"/>
    <w:rsid w:val="00DC43FF"/>
    <w:rsid w:val="00DC4905"/>
    <w:rsid w:val="00DC4A4F"/>
    <w:rsid w:val="00DC53A8"/>
    <w:rsid w:val="00DC5AB9"/>
    <w:rsid w:val="00DC5E32"/>
    <w:rsid w:val="00DC63DA"/>
    <w:rsid w:val="00DC6525"/>
    <w:rsid w:val="00DC6AF6"/>
    <w:rsid w:val="00DC6BD3"/>
    <w:rsid w:val="00DC729A"/>
    <w:rsid w:val="00DC7716"/>
    <w:rsid w:val="00DC7864"/>
    <w:rsid w:val="00DC78F0"/>
    <w:rsid w:val="00DC7B38"/>
    <w:rsid w:val="00DC7F09"/>
    <w:rsid w:val="00DD0288"/>
    <w:rsid w:val="00DD040F"/>
    <w:rsid w:val="00DD0B61"/>
    <w:rsid w:val="00DD0C22"/>
    <w:rsid w:val="00DD0E1F"/>
    <w:rsid w:val="00DD0FC7"/>
    <w:rsid w:val="00DD1209"/>
    <w:rsid w:val="00DD14D2"/>
    <w:rsid w:val="00DD162C"/>
    <w:rsid w:val="00DD1632"/>
    <w:rsid w:val="00DD17F6"/>
    <w:rsid w:val="00DD19FE"/>
    <w:rsid w:val="00DD1A44"/>
    <w:rsid w:val="00DD1A54"/>
    <w:rsid w:val="00DD1D18"/>
    <w:rsid w:val="00DD1D2A"/>
    <w:rsid w:val="00DD24F2"/>
    <w:rsid w:val="00DD2828"/>
    <w:rsid w:val="00DD2B40"/>
    <w:rsid w:val="00DD2EE1"/>
    <w:rsid w:val="00DD2F29"/>
    <w:rsid w:val="00DD2F3D"/>
    <w:rsid w:val="00DD3094"/>
    <w:rsid w:val="00DD323B"/>
    <w:rsid w:val="00DD3546"/>
    <w:rsid w:val="00DD3837"/>
    <w:rsid w:val="00DD4D98"/>
    <w:rsid w:val="00DD51B1"/>
    <w:rsid w:val="00DD574B"/>
    <w:rsid w:val="00DD5CA5"/>
    <w:rsid w:val="00DD66EE"/>
    <w:rsid w:val="00DD79B4"/>
    <w:rsid w:val="00DD7A93"/>
    <w:rsid w:val="00DD7D7A"/>
    <w:rsid w:val="00DE03C9"/>
    <w:rsid w:val="00DE0481"/>
    <w:rsid w:val="00DE0768"/>
    <w:rsid w:val="00DE0AE4"/>
    <w:rsid w:val="00DE0B90"/>
    <w:rsid w:val="00DE16DA"/>
    <w:rsid w:val="00DE1884"/>
    <w:rsid w:val="00DE1B06"/>
    <w:rsid w:val="00DE1BBC"/>
    <w:rsid w:val="00DE1EE5"/>
    <w:rsid w:val="00DE1F92"/>
    <w:rsid w:val="00DE21CB"/>
    <w:rsid w:val="00DE24C5"/>
    <w:rsid w:val="00DE2A2E"/>
    <w:rsid w:val="00DE2B4E"/>
    <w:rsid w:val="00DE2F93"/>
    <w:rsid w:val="00DE351E"/>
    <w:rsid w:val="00DE3811"/>
    <w:rsid w:val="00DE3819"/>
    <w:rsid w:val="00DE3CEF"/>
    <w:rsid w:val="00DE3E06"/>
    <w:rsid w:val="00DE42E9"/>
    <w:rsid w:val="00DE45BB"/>
    <w:rsid w:val="00DE4DA0"/>
    <w:rsid w:val="00DE4DD4"/>
    <w:rsid w:val="00DE55D0"/>
    <w:rsid w:val="00DE5648"/>
    <w:rsid w:val="00DE5AE6"/>
    <w:rsid w:val="00DE5DFB"/>
    <w:rsid w:val="00DE6008"/>
    <w:rsid w:val="00DE6075"/>
    <w:rsid w:val="00DE6088"/>
    <w:rsid w:val="00DE637D"/>
    <w:rsid w:val="00DE6579"/>
    <w:rsid w:val="00DE660B"/>
    <w:rsid w:val="00DE669F"/>
    <w:rsid w:val="00DE68F4"/>
    <w:rsid w:val="00DE6928"/>
    <w:rsid w:val="00DE6BD3"/>
    <w:rsid w:val="00DE6F47"/>
    <w:rsid w:val="00DE6FCC"/>
    <w:rsid w:val="00DE73F6"/>
    <w:rsid w:val="00DE7CFB"/>
    <w:rsid w:val="00DE7D7C"/>
    <w:rsid w:val="00DF05BD"/>
    <w:rsid w:val="00DF07B6"/>
    <w:rsid w:val="00DF07CB"/>
    <w:rsid w:val="00DF0844"/>
    <w:rsid w:val="00DF0A97"/>
    <w:rsid w:val="00DF0FCF"/>
    <w:rsid w:val="00DF189D"/>
    <w:rsid w:val="00DF245C"/>
    <w:rsid w:val="00DF3638"/>
    <w:rsid w:val="00DF3C60"/>
    <w:rsid w:val="00DF4127"/>
    <w:rsid w:val="00DF44F9"/>
    <w:rsid w:val="00DF4550"/>
    <w:rsid w:val="00DF46E7"/>
    <w:rsid w:val="00DF4F35"/>
    <w:rsid w:val="00DF5430"/>
    <w:rsid w:val="00DF5A5F"/>
    <w:rsid w:val="00DF5B79"/>
    <w:rsid w:val="00DF5E60"/>
    <w:rsid w:val="00DF5EC2"/>
    <w:rsid w:val="00DF5FFE"/>
    <w:rsid w:val="00DF658C"/>
    <w:rsid w:val="00DF69C4"/>
    <w:rsid w:val="00DF71F2"/>
    <w:rsid w:val="00DF7353"/>
    <w:rsid w:val="00DF76AF"/>
    <w:rsid w:val="00DF7745"/>
    <w:rsid w:val="00DF7EFF"/>
    <w:rsid w:val="00E00044"/>
    <w:rsid w:val="00E000E9"/>
    <w:rsid w:val="00E0095D"/>
    <w:rsid w:val="00E00A2D"/>
    <w:rsid w:val="00E00C5D"/>
    <w:rsid w:val="00E00D7B"/>
    <w:rsid w:val="00E00FD6"/>
    <w:rsid w:val="00E017F7"/>
    <w:rsid w:val="00E01B36"/>
    <w:rsid w:val="00E01FAA"/>
    <w:rsid w:val="00E01FDB"/>
    <w:rsid w:val="00E02375"/>
    <w:rsid w:val="00E024F8"/>
    <w:rsid w:val="00E02B5D"/>
    <w:rsid w:val="00E0381C"/>
    <w:rsid w:val="00E03840"/>
    <w:rsid w:val="00E0386A"/>
    <w:rsid w:val="00E0476F"/>
    <w:rsid w:val="00E0490F"/>
    <w:rsid w:val="00E04A64"/>
    <w:rsid w:val="00E04E4B"/>
    <w:rsid w:val="00E04EA8"/>
    <w:rsid w:val="00E059F7"/>
    <w:rsid w:val="00E05A1C"/>
    <w:rsid w:val="00E05CBD"/>
    <w:rsid w:val="00E06015"/>
    <w:rsid w:val="00E060DC"/>
    <w:rsid w:val="00E06417"/>
    <w:rsid w:val="00E06666"/>
    <w:rsid w:val="00E066D3"/>
    <w:rsid w:val="00E0678C"/>
    <w:rsid w:val="00E067E7"/>
    <w:rsid w:val="00E06BCB"/>
    <w:rsid w:val="00E06CB3"/>
    <w:rsid w:val="00E07099"/>
    <w:rsid w:val="00E07204"/>
    <w:rsid w:val="00E07555"/>
    <w:rsid w:val="00E07744"/>
    <w:rsid w:val="00E07A67"/>
    <w:rsid w:val="00E07F9E"/>
    <w:rsid w:val="00E10193"/>
    <w:rsid w:val="00E107E9"/>
    <w:rsid w:val="00E10865"/>
    <w:rsid w:val="00E10A50"/>
    <w:rsid w:val="00E111D4"/>
    <w:rsid w:val="00E114C6"/>
    <w:rsid w:val="00E11648"/>
    <w:rsid w:val="00E116EC"/>
    <w:rsid w:val="00E11A11"/>
    <w:rsid w:val="00E11C17"/>
    <w:rsid w:val="00E11F25"/>
    <w:rsid w:val="00E11FCE"/>
    <w:rsid w:val="00E124CF"/>
    <w:rsid w:val="00E128EB"/>
    <w:rsid w:val="00E12F32"/>
    <w:rsid w:val="00E1327F"/>
    <w:rsid w:val="00E132E9"/>
    <w:rsid w:val="00E135B3"/>
    <w:rsid w:val="00E13AB2"/>
    <w:rsid w:val="00E13BAD"/>
    <w:rsid w:val="00E13CAC"/>
    <w:rsid w:val="00E13D88"/>
    <w:rsid w:val="00E1420C"/>
    <w:rsid w:val="00E142A4"/>
    <w:rsid w:val="00E1449A"/>
    <w:rsid w:val="00E1482F"/>
    <w:rsid w:val="00E14CD0"/>
    <w:rsid w:val="00E155A0"/>
    <w:rsid w:val="00E15732"/>
    <w:rsid w:val="00E1596A"/>
    <w:rsid w:val="00E15EBF"/>
    <w:rsid w:val="00E15EEE"/>
    <w:rsid w:val="00E163B9"/>
    <w:rsid w:val="00E16416"/>
    <w:rsid w:val="00E1641F"/>
    <w:rsid w:val="00E1658A"/>
    <w:rsid w:val="00E16611"/>
    <w:rsid w:val="00E16F64"/>
    <w:rsid w:val="00E170B2"/>
    <w:rsid w:val="00E17916"/>
    <w:rsid w:val="00E17941"/>
    <w:rsid w:val="00E201EF"/>
    <w:rsid w:val="00E202D7"/>
    <w:rsid w:val="00E204B9"/>
    <w:rsid w:val="00E2052B"/>
    <w:rsid w:val="00E2084B"/>
    <w:rsid w:val="00E20E20"/>
    <w:rsid w:val="00E20EF6"/>
    <w:rsid w:val="00E213CE"/>
    <w:rsid w:val="00E21768"/>
    <w:rsid w:val="00E21A99"/>
    <w:rsid w:val="00E21C89"/>
    <w:rsid w:val="00E2288F"/>
    <w:rsid w:val="00E22BC5"/>
    <w:rsid w:val="00E22C07"/>
    <w:rsid w:val="00E22C20"/>
    <w:rsid w:val="00E22FBF"/>
    <w:rsid w:val="00E23B62"/>
    <w:rsid w:val="00E241C4"/>
    <w:rsid w:val="00E2450D"/>
    <w:rsid w:val="00E24B2A"/>
    <w:rsid w:val="00E24E43"/>
    <w:rsid w:val="00E254C0"/>
    <w:rsid w:val="00E2588C"/>
    <w:rsid w:val="00E2593D"/>
    <w:rsid w:val="00E25AC2"/>
    <w:rsid w:val="00E25C77"/>
    <w:rsid w:val="00E265A4"/>
    <w:rsid w:val="00E26A57"/>
    <w:rsid w:val="00E26A75"/>
    <w:rsid w:val="00E26C9C"/>
    <w:rsid w:val="00E26D73"/>
    <w:rsid w:val="00E2773E"/>
    <w:rsid w:val="00E27F9B"/>
    <w:rsid w:val="00E301F3"/>
    <w:rsid w:val="00E30333"/>
    <w:rsid w:val="00E30348"/>
    <w:rsid w:val="00E30881"/>
    <w:rsid w:val="00E3088A"/>
    <w:rsid w:val="00E30948"/>
    <w:rsid w:val="00E30B2F"/>
    <w:rsid w:val="00E310C6"/>
    <w:rsid w:val="00E311E8"/>
    <w:rsid w:val="00E314FB"/>
    <w:rsid w:val="00E3199D"/>
    <w:rsid w:val="00E31B91"/>
    <w:rsid w:val="00E32148"/>
    <w:rsid w:val="00E3214C"/>
    <w:rsid w:val="00E32283"/>
    <w:rsid w:val="00E3251E"/>
    <w:rsid w:val="00E32977"/>
    <w:rsid w:val="00E32DB6"/>
    <w:rsid w:val="00E33C4B"/>
    <w:rsid w:val="00E33CCA"/>
    <w:rsid w:val="00E3411E"/>
    <w:rsid w:val="00E342EE"/>
    <w:rsid w:val="00E34416"/>
    <w:rsid w:val="00E3451A"/>
    <w:rsid w:val="00E34B62"/>
    <w:rsid w:val="00E3506B"/>
    <w:rsid w:val="00E35290"/>
    <w:rsid w:val="00E35327"/>
    <w:rsid w:val="00E3533E"/>
    <w:rsid w:val="00E353A8"/>
    <w:rsid w:val="00E35A6B"/>
    <w:rsid w:val="00E35AB7"/>
    <w:rsid w:val="00E35CA1"/>
    <w:rsid w:val="00E360F1"/>
    <w:rsid w:val="00E36AFE"/>
    <w:rsid w:val="00E36F9E"/>
    <w:rsid w:val="00E36FE3"/>
    <w:rsid w:val="00E3790A"/>
    <w:rsid w:val="00E37938"/>
    <w:rsid w:val="00E37A91"/>
    <w:rsid w:val="00E37F8B"/>
    <w:rsid w:val="00E400E6"/>
    <w:rsid w:val="00E408CC"/>
    <w:rsid w:val="00E411FA"/>
    <w:rsid w:val="00E414F1"/>
    <w:rsid w:val="00E41A40"/>
    <w:rsid w:val="00E41B3C"/>
    <w:rsid w:val="00E41CD1"/>
    <w:rsid w:val="00E41D7D"/>
    <w:rsid w:val="00E421A5"/>
    <w:rsid w:val="00E42391"/>
    <w:rsid w:val="00E4341E"/>
    <w:rsid w:val="00E437ED"/>
    <w:rsid w:val="00E43A66"/>
    <w:rsid w:val="00E43F57"/>
    <w:rsid w:val="00E44318"/>
    <w:rsid w:val="00E4473D"/>
    <w:rsid w:val="00E44915"/>
    <w:rsid w:val="00E449FE"/>
    <w:rsid w:val="00E44B99"/>
    <w:rsid w:val="00E44BE8"/>
    <w:rsid w:val="00E45169"/>
    <w:rsid w:val="00E455D8"/>
    <w:rsid w:val="00E45ABC"/>
    <w:rsid w:val="00E45C75"/>
    <w:rsid w:val="00E45FEE"/>
    <w:rsid w:val="00E4600B"/>
    <w:rsid w:val="00E461B7"/>
    <w:rsid w:val="00E468E0"/>
    <w:rsid w:val="00E46A47"/>
    <w:rsid w:val="00E46CB7"/>
    <w:rsid w:val="00E46EE4"/>
    <w:rsid w:val="00E4724B"/>
    <w:rsid w:val="00E4738B"/>
    <w:rsid w:val="00E477E6"/>
    <w:rsid w:val="00E47CB1"/>
    <w:rsid w:val="00E47F89"/>
    <w:rsid w:val="00E500A6"/>
    <w:rsid w:val="00E5083A"/>
    <w:rsid w:val="00E508E2"/>
    <w:rsid w:val="00E5095A"/>
    <w:rsid w:val="00E50A9B"/>
    <w:rsid w:val="00E50E4F"/>
    <w:rsid w:val="00E514E8"/>
    <w:rsid w:val="00E5152F"/>
    <w:rsid w:val="00E51647"/>
    <w:rsid w:val="00E5165F"/>
    <w:rsid w:val="00E51704"/>
    <w:rsid w:val="00E51785"/>
    <w:rsid w:val="00E51C50"/>
    <w:rsid w:val="00E51D90"/>
    <w:rsid w:val="00E51E89"/>
    <w:rsid w:val="00E51EAC"/>
    <w:rsid w:val="00E5280E"/>
    <w:rsid w:val="00E52878"/>
    <w:rsid w:val="00E52940"/>
    <w:rsid w:val="00E53786"/>
    <w:rsid w:val="00E53AA8"/>
    <w:rsid w:val="00E53FB1"/>
    <w:rsid w:val="00E545B6"/>
    <w:rsid w:val="00E5476B"/>
    <w:rsid w:val="00E54A31"/>
    <w:rsid w:val="00E552ED"/>
    <w:rsid w:val="00E5593E"/>
    <w:rsid w:val="00E55B1C"/>
    <w:rsid w:val="00E55B1E"/>
    <w:rsid w:val="00E55CFD"/>
    <w:rsid w:val="00E55D07"/>
    <w:rsid w:val="00E55D4D"/>
    <w:rsid w:val="00E55E36"/>
    <w:rsid w:val="00E55F3D"/>
    <w:rsid w:val="00E560B7"/>
    <w:rsid w:val="00E562A0"/>
    <w:rsid w:val="00E56441"/>
    <w:rsid w:val="00E569AA"/>
    <w:rsid w:val="00E56A44"/>
    <w:rsid w:val="00E56EED"/>
    <w:rsid w:val="00E57910"/>
    <w:rsid w:val="00E57A8A"/>
    <w:rsid w:val="00E57A98"/>
    <w:rsid w:val="00E57AAB"/>
    <w:rsid w:val="00E57F2F"/>
    <w:rsid w:val="00E60139"/>
    <w:rsid w:val="00E607D5"/>
    <w:rsid w:val="00E609A8"/>
    <w:rsid w:val="00E60B4C"/>
    <w:rsid w:val="00E611B1"/>
    <w:rsid w:val="00E6138A"/>
    <w:rsid w:val="00E6168E"/>
    <w:rsid w:val="00E61A4B"/>
    <w:rsid w:val="00E62424"/>
    <w:rsid w:val="00E6243C"/>
    <w:rsid w:val="00E62825"/>
    <w:rsid w:val="00E62C05"/>
    <w:rsid w:val="00E630D6"/>
    <w:rsid w:val="00E63383"/>
    <w:rsid w:val="00E6347C"/>
    <w:rsid w:val="00E63647"/>
    <w:rsid w:val="00E637F4"/>
    <w:rsid w:val="00E63A1D"/>
    <w:rsid w:val="00E6443E"/>
    <w:rsid w:val="00E64D71"/>
    <w:rsid w:val="00E65003"/>
    <w:rsid w:val="00E6537D"/>
    <w:rsid w:val="00E66067"/>
    <w:rsid w:val="00E6610C"/>
    <w:rsid w:val="00E664A9"/>
    <w:rsid w:val="00E66C49"/>
    <w:rsid w:val="00E66D65"/>
    <w:rsid w:val="00E67262"/>
    <w:rsid w:val="00E67381"/>
    <w:rsid w:val="00E673ED"/>
    <w:rsid w:val="00E67CB0"/>
    <w:rsid w:val="00E67FA1"/>
    <w:rsid w:val="00E70337"/>
    <w:rsid w:val="00E7046B"/>
    <w:rsid w:val="00E70E00"/>
    <w:rsid w:val="00E710C4"/>
    <w:rsid w:val="00E71C80"/>
    <w:rsid w:val="00E71E82"/>
    <w:rsid w:val="00E72137"/>
    <w:rsid w:val="00E72263"/>
    <w:rsid w:val="00E72446"/>
    <w:rsid w:val="00E727FE"/>
    <w:rsid w:val="00E72A09"/>
    <w:rsid w:val="00E7328A"/>
    <w:rsid w:val="00E73586"/>
    <w:rsid w:val="00E73E20"/>
    <w:rsid w:val="00E741C0"/>
    <w:rsid w:val="00E74799"/>
    <w:rsid w:val="00E748D1"/>
    <w:rsid w:val="00E74A5E"/>
    <w:rsid w:val="00E74C96"/>
    <w:rsid w:val="00E750BB"/>
    <w:rsid w:val="00E759BB"/>
    <w:rsid w:val="00E75FB0"/>
    <w:rsid w:val="00E76460"/>
    <w:rsid w:val="00E765E0"/>
    <w:rsid w:val="00E7684A"/>
    <w:rsid w:val="00E7687A"/>
    <w:rsid w:val="00E80191"/>
    <w:rsid w:val="00E80654"/>
    <w:rsid w:val="00E80BD9"/>
    <w:rsid w:val="00E8106A"/>
    <w:rsid w:val="00E8128C"/>
    <w:rsid w:val="00E816FA"/>
    <w:rsid w:val="00E81A6B"/>
    <w:rsid w:val="00E81C4E"/>
    <w:rsid w:val="00E81D04"/>
    <w:rsid w:val="00E82048"/>
    <w:rsid w:val="00E820B7"/>
    <w:rsid w:val="00E821B0"/>
    <w:rsid w:val="00E8243A"/>
    <w:rsid w:val="00E827BF"/>
    <w:rsid w:val="00E82909"/>
    <w:rsid w:val="00E829A8"/>
    <w:rsid w:val="00E82BDD"/>
    <w:rsid w:val="00E82EA5"/>
    <w:rsid w:val="00E832F3"/>
    <w:rsid w:val="00E83653"/>
    <w:rsid w:val="00E83C97"/>
    <w:rsid w:val="00E83CC7"/>
    <w:rsid w:val="00E83D23"/>
    <w:rsid w:val="00E83EA2"/>
    <w:rsid w:val="00E841FA"/>
    <w:rsid w:val="00E846EF"/>
    <w:rsid w:val="00E84AFA"/>
    <w:rsid w:val="00E84C98"/>
    <w:rsid w:val="00E8582D"/>
    <w:rsid w:val="00E85A8E"/>
    <w:rsid w:val="00E86099"/>
    <w:rsid w:val="00E86107"/>
    <w:rsid w:val="00E86134"/>
    <w:rsid w:val="00E867BB"/>
    <w:rsid w:val="00E86B67"/>
    <w:rsid w:val="00E8705C"/>
    <w:rsid w:val="00E87188"/>
    <w:rsid w:val="00E8751A"/>
    <w:rsid w:val="00E8779C"/>
    <w:rsid w:val="00E878E7"/>
    <w:rsid w:val="00E900A2"/>
    <w:rsid w:val="00E9045B"/>
    <w:rsid w:val="00E905ED"/>
    <w:rsid w:val="00E9062B"/>
    <w:rsid w:val="00E907F4"/>
    <w:rsid w:val="00E90A3F"/>
    <w:rsid w:val="00E90E5B"/>
    <w:rsid w:val="00E90E7E"/>
    <w:rsid w:val="00E91102"/>
    <w:rsid w:val="00E91A26"/>
    <w:rsid w:val="00E91AAA"/>
    <w:rsid w:val="00E91D73"/>
    <w:rsid w:val="00E92172"/>
    <w:rsid w:val="00E924FA"/>
    <w:rsid w:val="00E92571"/>
    <w:rsid w:val="00E926F5"/>
    <w:rsid w:val="00E92812"/>
    <w:rsid w:val="00E92CA3"/>
    <w:rsid w:val="00E93075"/>
    <w:rsid w:val="00E931CD"/>
    <w:rsid w:val="00E93594"/>
    <w:rsid w:val="00E93A24"/>
    <w:rsid w:val="00E93BB9"/>
    <w:rsid w:val="00E93BCF"/>
    <w:rsid w:val="00E9489D"/>
    <w:rsid w:val="00E949BF"/>
    <w:rsid w:val="00E94C90"/>
    <w:rsid w:val="00E94E07"/>
    <w:rsid w:val="00E950B1"/>
    <w:rsid w:val="00E95F2C"/>
    <w:rsid w:val="00E9600D"/>
    <w:rsid w:val="00E96094"/>
    <w:rsid w:val="00E9654D"/>
    <w:rsid w:val="00E9672C"/>
    <w:rsid w:val="00E9726E"/>
    <w:rsid w:val="00E9729B"/>
    <w:rsid w:val="00E97D47"/>
    <w:rsid w:val="00EA01B6"/>
    <w:rsid w:val="00EA0565"/>
    <w:rsid w:val="00EA068A"/>
    <w:rsid w:val="00EA0A52"/>
    <w:rsid w:val="00EA0CA7"/>
    <w:rsid w:val="00EA1244"/>
    <w:rsid w:val="00EA172C"/>
    <w:rsid w:val="00EA1FA9"/>
    <w:rsid w:val="00EA2091"/>
    <w:rsid w:val="00EA23F8"/>
    <w:rsid w:val="00EA2410"/>
    <w:rsid w:val="00EA25D6"/>
    <w:rsid w:val="00EA2690"/>
    <w:rsid w:val="00EA28BC"/>
    <w:rsid w:val="00EA2E5C"/>
    <w:rsid w:val="00EA32D4"/>
    <w:rsid w:val="00EA339B"/>
    <w:rsid w:val="00EA3717"/>
    <w:rsid w:val="00EA3817"/>
    <w:rsid w:val="00EA3B67"/>
    <w:rsid w:val="00EA3E6D"/>
    <w:rsid w:val="00EA41D9"/>
    <w:rsid w:val="00EA442E"/>
    <w:rsid w:val="00EA44AE"/>
    <w:rsid w:val="00EA51E9"/>
    <w:rsid w:val="00EA5C05"/>
    <w:rsid w:val="00EA618C"/>
    <w:rsid w:val="00EA741A"/>
    <w:rsid w:val="00EA748A"/>
    <w:rsid w:val="00EA7A4F"/>
    <w:rsid w:val="00EA7F71"/>
    <w:rsid w:val="00EB01AE"/>
    <w:rsid w:val="00EB064A"/>
    <w:rsid w:val="00EB077B"/>
    <w:rsid w:val="00EB0ACD"/>
    <w:rsid w:val="00EB0B04"/>
    <w:rsid w:val="00EB1361"/>
    <w:rsid w:val="00EB1382"/>
    <w:rsid w:val="00EB174C"/>
    <w:rsid w:val="00EB19BB"/>
    <w:rsid w:val="00EB238E"/>
    <w:rsid w:val="00EB27FF"/>
    <w:rsid w:val="00EB2C33"/>
    <w:rsid w:val="00EB2F63"/>
    <w:rsid w:val="00EB3063"/>
    <w:rsid w:val="00EB31EF"/>
    <w:rsid w:val="00EB31FF"/>
    <w:rsid w:val="00EB339A"/>
    <w:rsid w:val="00EB34E4"/>
    <w:rsid w:val="00EB35BD"/>
    <w:rsid w:val="00EB364F"/>
    <w:rsid w:val="00EB3BD4"/>
    <w:rsid w:val="00EB3C13"/>
    <w:rsid w:val="00EB3C61"/>
    <w:rsid w:val="00EB3D63"/>
    <w:rsid w:val="00EB3D99"/>
    <w:rsid w:val="00EB3F95"/>
    <w:rsid w:val="00EB470D"/>
    <w:rsid w:val="00EB4E13"/>
    <w:rsid w:val="00EB4ED4"/>
    <w:rsid w:val="00EB5045"/>
    <w:rsid w:val="00EB5090"/>
    <w:rsid w:val="00EB54D2"/>
    <w:rsid w:val="00EB560F"/>
    <w:rsid w:val="00EB593A"/>
    <w:rsid w:val="00EB5A04"/>
    <w:rsid w:val="00EB680C"/>
    <w:rsid w:val="00EB74BE"/>
    <w:rsid w:val="00EB7C37"/>
    <w:rsid w:val="00EB7D34"/>
    <w:rsid w:val="00EC0350"/>
    <w:rsid w:val="00EC03BB"/>
    <w:rsid w:val="00EC0997"/>
    <w:rsid w:val="00EC0AB0"/>
    <w:rsid w:val="00EC0D61"/>
    <w:rsid w:val="00EC110B"/>
    <w:rsid w:val="00EC11D6"/>
    <w:rsid w:val="00EC14AC"/>
    <w:rsid w:val="00EC1808"/>
    <w:rsid w:val="00EC1A3B"/>
    <w:rsid w:val="00EC1BA0"/>
    <w:rsid w:val="00EC1E72"/>
    <w:rsid w:val="00EC2010"/>
    <w:rsid w:val="00EC2182"/>
    <w:rsid w:val="00EC2305"/>
    <w:rsid w:val="00EC2443"/>
    <w:rsid w:val="00EC249B"/>
    <w:rsid w:val="00EC2814"/>
    <w:rsid w:val="00EC2AED"/>
    <w:rsid w:val="00EC2B34"/>
    <w:rsid w:val="00EC2F27"/>
    <w:rsid w:val="00EC3468"/>
    <w:rsid w:val="00EC3481"/>
    <w:rsid w:val="00EC363E"/>
    <w:rsid w:val="00EC3FB8"/>
    <w:rsid w:val="00EC45AD"/>
    <w:rsid w:val="00EC45E4"/>
    <w:rsid w:val="00EC48B6"/>
    <w:rsid w:val="00EC4E1D"/>
    <w:rsid w:val="00EC5816"/>
    <w:rsid w:val="00EC59CF"/>
    <w:rsid w:val="00EC5A44"/>
    <w:rsid w:val="00EC5BAE"/>
    <w:rsid w:val="00EC5BBA"/>
    <w:rsid w:val="00EC5E6D"/>
    <w:rsid w:val="00EC5FB0"/>
    <w:rsid w:val="00EC63F5"/>
    <w:rsid w:val="00EC6685"/>
    <w:rsid w:val="00EC69D1"/>
    <w:rsid w:val="00EC6FAA"/>
    <w:rsid w:val="00EC7023"/>
    <w:rsid w:val="00EC72F2"/>
    <w:rsid w:val="00EC7356"/>
    <w:rsid w:val="00EC7681"/>
    <w:rsid w:val="00EC7815"/>
    <w:rsid w:val="00EC7D19"/>
    <w:rsid w:val="00ED004D"/>
    <w:rsid w:val="00ED01CC"/>
    <w:rsid w:val="00ED04A9"/>
    <w:rsid w:val="00ED0986"/>
    <w:rsid w:val="00ED0ABA"/>
    <w:rsid w:val="00ED0ABF"/>
    <w:rsid w:val="00ED0B6A"/>
    <w:rsid w:val="00ED0D98"/>
    <w:rsid w:val="00ED13D5"/>
    <w:rsid w:val="00ED1BF8"/>
    <w:rsid w:val="00ED1CF8"/>
    <w:rsid w:val="00ED1D58"/>
    <w:rsid w:val="00ED2283"/>
    <w:rsid w:val="00ED2392"/>
    <w:rsid w:val="00ED24D5"/>
    <w:rsid w:val="00ED2698"/>
    <w:rsid w:val="00ED2902"/>
    <w:rsid w:val="00ED2C05"/>
    <w:rsid w:val="00ED2D76"/>
    <w:rsid w:val="00ED2DE4"/>
    <w:rsid w:val="00ED3122"/>
    <w:rsid w:val="00ED390E"/>
    <w:rsid w:val="00ED3EF6"/>
    <w:rsid w:val="00ED4211"/>
    <w:rsid w:val="00ED46C7"/>
    <w:rsid w:val="00ED47AA"/>
    <w:rsid w:val="00ED4C2E"/>
    <w:rsid w:val="00ED4C37"/>
    <w:rsid w:val="00ED5376"/>
    <w:rsid w:val="00ED59DE"/>
    <w:rsid w:val="00ED5B63"/>
    <w:rsid w:val="00ED5C12"/>
    <w:rsid w:val="00ED5F84"/>
    <w:rsid w:val="00ED62D2"/>
    <w:rsid w:val="00ED676F"/>
    <w:rsid w:val="00ED6A62"/>
    <w:rsid w:val="00ED740F"/>
    <w:rsid w:val="00ED7565"/>
    <w:rsid w:val="00ED7A26"/>
    <w:rsid w:val="00ED7A77"/>
    <w:rsid w:val="00EE0999"/>
    <w:rsid w:val="00EE0A6F"/>
    <w:rsid w:val="00EE0BF5"/>
    <w:rsid w:val="00EE0DE3"/>
    <w:rsid w:val="00EE0E33"/>
    <w:rsid w:val="00EE0EBA"/>
    <w:rsid w:val="00EE15BD"/>
    <w:rsid w:val="00EE1855"/>
    <w:rsid w:val="00EE2575"/>
    <w:rsid w:val="00EE27D3"/>
    <w:rsid w:val="00EE2837"/>
    <w:rsid w:val="00EE2A07"/>
    <w:rsid w:val="00EE2A95"/>
    <w:rsid w:val="00EE2B1F"/>
    <w:rsid w:val="00EE2B62"/>
    <w:rsid w:val="00EE32D6"/>
    <w:rsid w:val="00EE336A"/>
    <w:rsid w:val="00EE35B5"/>
    <w:rsid w:val="00EE3C59"/>
    <w:rsid w:val="00EE3C9F"/>
    <w:rsid w:val="00EE3D9A"/>
    <w:rsid w:val="00EE3E29"/>
    <w:rsid w:val="00EE3F78"/>
    <w:rsid w:val="00EE421D"/>
    <w:rsid w:val="00EE425B"/>
    <w:rsid w:val="00EE431B"/>
    <w:rsid w:val="00EE437D"/>
    <w:rsid w:val="00EE46CF"/>
    <w:rsid w:val="00EE4802"/>
    <w:rsid w:val="00EE4D9A"/>
    <w:rsid w:val="00EE4E44"/>
    <w:rsid w:val="00EE5450"/>
    <w:rsid w:val="00EE550A"/>
    <w:rsid w:val="00EE569F"/>
    <w:rsid w:val="00EE56D1"/>
    <w:rsid w:val="00EE57EC"/>
    <w:rsid w:val="00EE5913"/>
    <w:rsid w:val="00EE5A96"/>
    <w:rsid w:val="00EE5E1B"/>
    <w:rsid w:val="00EE6013"/>
    <w:rsid w:val="00EE6800"/>
    <w:rsid w:val="00EE6DB6"/>
    <w:rsid w:val="00EE6FBD"/>
    <w:rsid w:val="00EE7A20"/>
    <w:rsid w:val="00EE7E64"/>
    <w:rsid w:val="00EF0201"/>
    <w:rsid w:val="00EF027F"/>
    <w:rsid w:val="00EF047F"/>
    <w:rsid w:val="00EF04E0"/>
    <w:rsid w:val="00EF068C"/>
    <w:rsid w:val="00EF070E"/>
    <w:rsid w:val="00EF08C1"/>
    <w:rsid w:val="00EF08FD"/>
    <w:rsid w:val="00EF16E3"/>
    <w:rsid w:val="00EF1A7C"/>
    <w:rsid w:val="00EF1E93"/>
    <w:rsid w:val="00EF21C6"/>
    <w:rsid w:val="00EF25D9"/>
    <w:rsid w:val="00EF26F4"/>
    <w:rsid w:val="00EF298B"/>
    <w:rsid w:val="00EF2AC4"/>
    <w:rsid w:val="00EF2CA4"/>
    <w:rsid w:val="00EF2FB4"/>
    <w:rsid w:val="00EF3016"/>
    <w:rsid w:val="00EF30AE"/>
    <w:rsid w:val="00EF34C1"/>
    <w:rsid w:val="00EF39DF"/>
    <w:rsid w:val="00EF3B77"/>
    <w:rsid w:val="00EF3CA1"/>
    <w:rsid w:val="00EF404A"/>
    <w:rsid w:val="00EF40CC"/>
    <w:rsid w:val="00EF4228"/>
    <w:rsid w:val="00EF4771"/>
    <w:rsid w:val="00EF48B4"/>
    <w:rsid w:val="00EF4B3B"/>
    <w:rsid w:val="00EF4E8A"/>
    <w:rsid w:val="00EF4ED5"/>
    <w:rsid w:val="00EF4F3E"/>
    <w:rsid w:val="00EF5152"/>
    <w:rsid w:val="00EF55F4"/>
    <w:rsid w:val="00EF570A"/>
    <w:rsid w:val="00EF5A76"/>
    <w:rsid w:val="00EF5B17"/>
    <w:rsid w:val="00EF5D7D"/>
    <w:rsid w:val="00EF5F6E"/>
    <w:rsid w:val="00EF60EC"/>
    <w:rsid w:val="00EF64D1"/>
    <w:rsid w:val="00EF676C"/>
    <w:rsid w:val="00EF68E9"/>
    <w:rsid w:val="00EF6B35"/>
    <w:rsid w:val="00EF6E80"/>
    <w:rsid w:val="00EF71EC"/>
    <w:rsid w:val="00EF74AB"/>
    <w:rsid w:val="00EF74B4"/>
    <w:rsid w:val="00EF7F2C"/>
    <w:rsid w:val="00F002BD"/>
    <w:rsid w:val="00F0031A"/>
    <w:rsid w:val="00F00334"/>
    <w:rsid w:val="00F0056F"/>
    <w:rsid w:val="00F0063F"/>
    <w:rsid w:val="00F00807"/>
    <w:rsid w:val="00F009A6"/>
    <w:rsid w:val="00F01F43"/>
    <w:rsid w:val="00F01FB2"/>
    <w:rsid w:val="00F02334"/>
    <w:rsid w:val="00F024A1"/>
    <w:rsid w:val="00F02876"/>
    <w:rsid w:val="00F0298C"/>
    <w:rsid w:val="00F02E4A"/>
    <w:rsid w:val="00F02FEE"/>
    <w:rsid w:val="00F03328"/>
    <w:rsid w:val="00F03578"/>
    <w:rsid w:val="00F03919"/>
    <w:rsid w:val="00F0397C"/>
    <w:rsid w:val="00F03AF1"/>
    <w:rsid w:val="00F044CB"/>
    <w:rsid w:val="00F049C5"/>
    <w:rsid w:val="00F05091"/>
    <w:rsid w:val="00F050FC"/>
    <w:rsid w:val="00F054D1"/>
    <w:rsid w:val="00F05B60"/>
    <w:rsid w:val="00F05BEF"/>
    <w:rsid w:val="00F05E4B"/>
    <w:rsid w:val="00F060C2"/>
    <w:rsid w:val="00F063B1"/>
    <w:rsid w:val="00F070A8"/>
    <w:rsid w:val="00F07E2D"/>
    <w:rsid w:val="00F10263"/>
    <w:rsid w:val="00F10483"/>
    <w:rsid w:val="00F11233"/>
    <w:rsid w:val="00F11633"/>
    <w:rsid w:val="00F117C3"/>
    <w:rsid w:val="00F1193D"/>
    <w:rsid w:val="00F11D08"/>
    <w:rsid w:val="00F11F6C"/>
    <w:rsid w:val="00F12429"/>
    <w:rsid w:val="00F12D4E"/>
    <w:rsid w:val="00F13DE6"/>
    <w:rsid w:val="00F13F01"/>
    <w:rsid w:val="00F14182"/>
    <w:rsid w:val="00F144AE"/>
    <w:rsid w:val="00F14569"/>
    <w:rsid w:val="00F14A87"/>
    <w:rsid w:val="00F14C0A"/>
    <w:rsid w:val="00F1501C"/>
    <w:rsid w:val="00F15058"/>
    <w:rsid w:val="00F154D7"/>
    <w:rsid w:val="00F15DA0"/>
    <w:rsid w:val="00F16073"/>
    <w:rsid w:val="00F16950"/>
    <w:rsid w:val="00F16B66"/>
    <w:rsid w:val="00F16BE2"/>
    <w:rsid w:val="00F16BE3"/>
    <w:rsid w:val="00F170E9"/>
    <w:rsid w:val="00F17638"/>
    <w:rsid w:val="00F17947"/>
    <w:rsid w:val="00F17A8C"/>
    <w:rsid w:val="00F17ABD"/>
    <w:rsid w:val="00F20010"/>
    <w:rsid w:val="00F20A8E"/>
    <w:rsid w:val="00F21886"/>
    <w:rsid w:val="00F21B6A"/>
    <w:rsid w:val="00F21D3A"/>
    <w:rsid w:val="00F21F55"/>
    <w:rsid w:val="00F22503"/>
    <w:rsid w:val="00F22798"/>
    <w:rsid w:val="00F22898"/>
    <w:rsid w:val="00F229B2"/>
    <w:rsid w:val="00F22A9F"/>
    <w:rsid w:val="00F22E81"/>
    <w:rsid w:val="00F23099"/>
    <w:rsid w:val="00F231E0"/>
    <w:rsid w:val="00F231E2"/>
    <w:rsid w:val="00F2328A"/>
    <w:rsid w:val="00F2363C"/>
    <w:rsid w:val="00F23B25"/>
    <w:rsid w:val="00F23B49"/>
    <w:rsid w:val="00F23E39"/>
    <w:rsid w:val="00F2437E"/>
    <w:rsid w:val="00F2470F"/>
    <w:rsid w:val="00F2471A"/>
    <w:rsid w:val="00F2477A"/>
    <w:rsid w:val="00F24B43"/>
    <w:rsid w:val="00F24C55"/>
    <w:rsid w:val="00F24DFB"/>
    <w:rsid w:val="00F25760"/>
    <w:rsid w:val="00F257C4"/>
    <w:rsid w:val="00F25821"/>
    <w:rsid w:val="00F259D8"/>
    <w:rsid w:val="00F25C6A"/>
    <w:rsid w:val="00F26159"/>
    <w:rsid w:val="00F261AC"/>
    <w:rsid w:val="00F26676"/>
    <w:rsid w:val="00F26A6C"/>
    <w:rsid w:val="00F26C46"/>
    <w:rsid w:val="00F26F7A"/>
    <w:rsid w:val="00F2749A"/>
    <w:rsid w:val="00F2771E"/>
    <w:rsid w:val="00F2777F"/>
    <w:rsid w:val="00F27AB4"/>
    <w:rsid w:val="00F27AEF"/>
    <w:rsid w:val="00F27F4B"/>
    <w:rsid w:val="00F30217"/>
    <w:rsid w:val="00F30241"/>
    <w:rsid w:val="00F30330"/>
    <w:rsid w:val="00F30838"/>
    <w:rsid w:val="00F30A4D"/>
    <w:rsid w:val="00F30AA6"/>
    <w:rsid w:val="00F30E40"/>
    <w:rsid w:val="00F30E4C"/>
    <w:rsid w:val="00F314EB"/>
    <w:rsid w:val="00F3185C"/>
    <w:rsid w:val="00F31985"/>
    <w:rsid w:val="00F319EB"/>
    <w:rsid w:val="00F31A6F"/>
    <w:rsid w:val="00F31A87"/>
    <w:rsid w:val="00F31F4C"/>
    <w:rsid w:val="00F31F6D"/>
    <w:rsid w:val="00F3219A"/>
    <w:rsid w:val="00F32A64"/>
    <w:rsid w:val="00F32B01"/>
    <w:rsid w:val="00F32C18"/>
    <w:rsid w:val="00F32D9A"/>
    <w:rsid w:val="00F331CB"/>
    <w:rsid w:val="00F33606"/>
    <w:rsid w:val="00F337C2"/>
    <w:rsid w:val="00F337FA"/>
    <w:rsid w:val="00F33C67"/>
    <w:rsid w:val="00F33E3D"/>
    <w:rsid w:val="00F33E98"/>
    <w:rsid w:val="00F344EF"/>
    <w:rsid w:val="00F34566"/>
    <w:rsid w:val="00F34622"/>
    <w:rsid w:val="00F34E71"/>
    <w:rsid w:val="00F34EAD"/>
    <w:rsid w:val="00F34FB6"/>
    <w:rsid w:val="00F351D4"/>
    <w:rsid w:val="00F3529D"/>
    <w:rsid w:val="00F35CFD"/>
    <w:rsid w:val="00F3678F"/>
    <w:rsid w:val="00F367AB"/>
    <w:rsid w:val="00F36A57"/>
    <w:rsid w:val="00F36EF4"/>
    <w:rsid w:val="00F37B19"/>
    <w:rsid w:val="00F37EB7"/>
    <w:rsid w:val="00F407FD"/>
    <w:rsid w:val="00F40E44"/>
    <w:rsid w:val="00F40F9F"/>
    <w:rsid w:val="00F413AE"/>
    <w:rsid w:val="00F4149B"/>
    <w:rsid w:val="00F4157C"/>
    <w:rsid w:val="00F418A5"/>
    <w:rsid w:val="00F41B1D"/>
    <w:rsid w:val="00F41C21"/>
    <w:rsid w:val="00F428EE"/>
    <w:rsid w:val="00F4323F"/>
    <w:rsid w:val="00F433C7"/>
    <w:rsid w:val="00F4372C"/>
    <w:rsid w:val="00F43B8A"/>
    <w:rsid w:val="00F43F9F"/>
    <w:rsid w:val="00F4490F"/>
    <w:rsid w:val="00F44BCF"/>
    <w:rsid w:val="00F44CBF"/>
    <w:rsid w:val="00F44CD1"/>
    <w:rsid w:val="00F4559B"/>
    <w:rsid w:val="00F45910"/>
    <w:rsid w:val="00F45DCC"/>
    <w:rsid w:val="00F45E37"/>
    <w:rsid w:val="00F461B6"/>
    <w:rsid w:val="00F46BC6"/>
    <w:rsid w:val="00F46D42"/>
    <w:rsid w:val="00F470F3"/>
    <w:rsid w:val="00F4784E"/>
    <w:rsid w:val="00F47D06"/>
    <w:rsid w:val="00F47EB0"/>
    <w:rsid w:val="00F50003"/>
    <w:rsid w:val="00F50344"/>
    <w:rsid w:val="00F50459"/>
    <w:rsid w:val="00F50478"/>
    <w:rsid w:val="00F50D07"/>
    <w:rsid w:val="00F5107E"/>
    <w:rsid w:val="00F5176A"/>
    <w:rsid w:val="00F5177A"/>
    <w:rsid w:val="00F51E64"/>
    <w:rsid w:val="00F521A6"/>
    <w:rsid w:val="00F522C6"/>
    <w:rsid w:val="00F5247E"/>
    <w:rsid w:val="00F528B8"/>
    <w:rsid w:val="00F52BA5"/>
    <w:rsid w:val="00F52BE7"/>
    <w:rsid w:val="00F532E5"/>
    <w:rsid w:val="00F53924"/>
    <w:rsid w:val="00F53AAF"/>
    <w:rsid w:val="00F53CC0"/>
    <w:rsid w:val="00F53D8D"/>
    <w:rsid w:val="00F54194"/>
    <w:rsid w:val="00F543B6"/>
    <w:rsid w:val="00F5448C"/>
    <w:rsid w:val="00F545D7"/>
    <w:rsid w:val="00F5473A"/>
    <w:rsid w:val="00F5475B"/>
    <w:rsid w:val="00F548FB"/>
    <w:rsid w:val="00F54CAA"/>
    <w:rsid w:val="00F54F7E"/>
    <w:rsid w:val="00F5527A"/>
    <w:rsid w:val="00F553BD"/>
    <w:rsid w:val="00F553D3"/>
    <w:rsid w:val="00F554B2"/>
    <w:rsid w:val="00F55511"/>
    <w:rsid w:val="00F556A6"/>
    <w:rsid w:val="00F5586A"/>
    <w:rsid w:val="00F55872"/>
    <w:rsid w:val="00F55C68"/>
    <w:rsid w:val="00F55DA5"/>
    <w:rsid w:val="00F55F96"/>
    <w:rsid w:val="00F55FA0"/>
    <w:rsid w:val="00F560EE"/>
    <w:rsid w:val="00F56375"/>
    <w:rsid w:val="00F563E3"/>
    <w:rsid w:val="00F56661"/>
    <w:rsid w:val="00F57CC8"/>
    <w:rsid w:val="00F60577"/>
    <w:rsid w:val="00F605DE"/>
    <w:rsid w:val="00F60A4B"/>
    <w:rsid w:val="00F60DE7"/>
    <w:rsid w:val="00F61121"/>
    <w:rsid w:val="00F6129F"/>
    <w:rsid w:val="00F61541"/>
    <w:rsid w:val="00F6157E"/>
    <w:rsid w:val="00F61722"/>
    <w:rsid w:val="00F618AB"/>
    <w:rsid w:val="00F62039"/>
    <w:rsid w:val="00F6259B"/>
    <w:rsid w:val="00F629D2"/>
    <w:rsid w:val="00F6304C"/>
    <w:rsid w:val="00F63C90"/>
    <w:rsid w:val="00F63DE2"/>
    <w:rsid w:val="00F644EE"/>
    <w:rsid w:val="00F64918"/>
    <w:rsid w:val="00F64A4B"/>
    <w:rsid w:val="00F65269"/>
    <w:rsid w:val="00F657E5"/>
    <w:rsid w:val="00F66301"/>
    <w:rsid w:val="00F668DC"/>
    <w:rsid w:val="00F66B6A"/>
    <w:rsid w:val="00F66D91"/>
    <w:rsid w:val="00F6731E"/>
    <w:rsid w:val="00F674F1"/>
    <w:rsid w:val="00F67942"/>
    <w:rsid w:val="00F67B67"/>
    <w:rsid w:val="00F67F06"/>
    <w:rsid w:val="00F703E1"/>
    <w:rsid w:val="00F70BB2"/>
    <w:rsid w:val="00F70EB0"/>
    <w:rsid w:val="00F71415"/>
    <w:rsid w:val="00F715F6"/>
    <w:rsid w:val="00F7166E"/>
    <w:rsid w:val="00F71863"/>
    <w:rsid w:val="00F71B7B"/>
    <w:rsid w:val="00F71F3B"/>
    <w:rsid w:val="00F72313"/>
    <w:rsid w:val="00F72436"/>
    <w:rsid w:val="00F72475"/>
    <w:rsid w:val="00F72A12"/>
    <w:rsid w:val="00F72A43"/>
    <w:rsid w:val="00F72C9B"/>
    <w:rsid w:val="00F72D6A"/>
    <w:rsid w:val="00F736A1"/>
    <w:rsid w:val="00F737DF"/>
    <w:rsid w:val="00F73FC3"/>
    <w:rsid w:val="00F7455F"/>
    <w:rsid w:val="00F7489C"/>
    <w:rsid w:val="00F74918"/>
    <w:rsid w:val="00F74A37"/>
    <w:rsid w:val="00F74D0E"/>
    <w:rsid w:val="00F74DFD"/>
    <w:rsid w:val="00F75004"/>
    <w:rsid w:val="00F75AD3"/>
    <w:rsid w:val="00F75D36"/>
    <w:rsid w:val="00F76031"/>
    <w:rsid w:val="00F762F1"/>
    <w:rsid w:val="00F76549"/>
    <w:rsid w:val="00F765F7"/>
    <w:rsid w:val="00F76896"/>
    <w:rsid w:val="00F769AA"/>
    <w:rsid w:val="00F76CC4"/>
    <w:rsid w:val="00F76D04"/>
    <w:rsid w:val="00F76DC0"/>
    <w:rsid w:val="00F76EA4"/>
    <w:rsid w:val="00F76F82"/>
    <w:rsid w:val="00F777DC"/>
    <w:rsid w:val="00F77ABC"/>
    <w:rsid w:val="00F77ECF"/>
    <w:rsid w:val="00F8000C"/>
    <w:rsid w:val="00F8000D"/>
    <w:rsid w:val="00F80197"/>
    <w:rsid w:val="00F806B4"/>
    <w:rsid w:val="00F80830"/>
    <w:rsid w:val="00F80ABD"/>
    <w:rsid w:val="00F80CB4"/>
    <w:rsid w:val="00F8120D"/>
    <w:rsid w:val="00F81483"/>
    <w:rsid w:val="00F8216C"/>
    <w:rsid w:val="00F82228"/>
    <w:rsid w:val="00F825D2"/>
    <w:rsid w:val="00F827B8"/>
    <w:rsid w:val="00F8296D"/>
    <w:rsid w:val="00F829C3"/>
    <w:rsid w:val="00F82A4F"/>
    <w:rsid w:val="00F82D10"/>
    <w:rsid w:val="00F82E3F"/>
    <w:rsid w:val="00F82F5B"/>
    <w:rsid w:val="00F833C3"/>
    <w:rsid w:val="00F83730"/>
    <w:rsid w:val="00F83A50"/>
    <w:rsid w:val="00F83C82"/>
    <w:rsid w:val="00F83DAD"/>
    <w:rsid w:val="00F83E13"/>
    <w:rsid w:val="00F841CA"/>
    <w:rsid w:val="00F843F8"/>
    <w:rsid w:val="00F84583"/>
    <w:rsid w:val="00F8482A"/>
    <w:rsid w:val="00F84896"/>
    <w:rsid w:val="00F84C5F"/>
    <w:rsid w:val="00F84D67"/>
    <w:rsid w:val="00F84D68"/>
    <w:rsid w:val="00F84E7D"/>
    <w:rsid w:val="00F84EBB"/>
    <w:rsid w:val="00F85212"/>
    <w:rsid w:val="00F859A4"/>
    <w:rsid w:val="00F85F19"/>
    <w:rsid w:val="00F86C11"/>
    <w:rsid w:val="00F87113"/>
    <w:rsid w:val="00F87880"/>
    <w:rsid w:val="00F87A27"/>
    <w:rsid w:val="00F87AA4"/>
    <w:rsid w:val="00F87B17"/>
    <w:rsid w:val="00F87EBE"/>
    <w:rsid w:val="00F87F8C"/>
    <w:rsid w:val="00F87F99"/>
    <w:rsid w:val="00F9002F"/>
    <w:rsid w:val="00F90210"/>
    <w:rsid w:val="00F9036C"/>
    <w:rsid w:val="00F90389"/>
    <w:rsid w:val="00F9064D"/>
    <w:rsid w:val="00F907CE"/>
    <w:rsid w:val="00F90FB8"/>
    <w:rsid w:val="00F917B3"/>
    <w:rsid w:val="00F91A4A"/>
    <w:rsid w:val="00F91B6B"/>
    <w:rsid w:val="00F91D9B"/>
    <w:rsid w:val="00F91F13"/>
    <w:rsid w:val="00F92028"/>
    <w:rsid w:val="00F92236"/>
    <w:rsid w:val="00F92292"/>
    <w:rsid w:val="00F923B0"/>
    <w:rsid w:val="00F92688"/>
    <w:rsid w:val="00F92806"/>
    <w:rsid w:val="00F92882"/>
    <w:rsid w:val="00F928DB"/>
    <w:rsid w:val="00F92DE3"/>
    <w:rsid w:val="00F93251"/>
    <w:rsid w:val="00F93310"/>
    <w:rsid w:val="00F933F2"/>
    <w:rsid w:val="00F9349B"/>
    <w:rsid w:val="00F93A56"/>
    <w:rsid w:val="00F93ADC"/>
    <w:rsid w:val="00F942A9"/>
    <w:rsid w:val="00F942BF"/>
    <w:rsid w:val="00F94A22"/>
    <w:rsid w:val="00F94C8B"/>
    <w:rsid w:val="00F9544E"/>
    <w:rsid w:val="00F9547C"/>
    <w:rsid w:val="00F9662D"/>
    <w:rsid w:val="00F966A0"/>
    <w:rsid w:val="00F96919"/>
    <w:rsid w:val="00F96B35"/>
    <w:rsid w:val="00F96B8C"/>
    <w:rsid w:val="00F96EA8"/>
    <w:rsid w:val="00F96FCC"/>
    <w:rsid w:val="00F975D1"/>
    <w:rsid w:val="00FA0269"/>
    <w:rsid w:val="00FA11BF"/>
    <w:rsid w:val="00FA173E"/>
    <w:rsid w:val="00FA17C9"/>
    <w:rsid w:val="00FA1891"/>
    <w:rsid w:val="00FA19F3"/>
    <w:rsid w:val="00FA1A91"/>
    <w:rsid w:val="00FA1B01"/>
    <w:rsid w:val="00FA1C54"/>
    <w:rsid w:val="00FA2311"/>
    <w:rsid w:val="00FA232E"/>
    <w:rsid w:val="00FA236F"/>
    <w:rsid w:val="00FA23E6"/>
    <w:rsid w:val="00FA27AA"/>
    <w:rsid w:val="00FA28E4"/>
    <w:rsid w:val="00FA2C03"/>
    <w:rsid w:val="00FA2DF2"/>
    <w:rsid w:val="00FA35E3"/>
    <w:rsid w:val="00FA3A85"/>
    <w:rsid w:val="00FA3B43"/>
    <w:rsid w:val="00FA3ECC"/>
    <w:rsid w:val="00FA425C"/>
    <w:rsid w:val="00FA45C5"/>
    <w:rsid w:val="00FA4D11"/>
    <w:rsid w:val="00FA4EB7"/>
    <w:rsid w:val="00FA4F97"/>
    <w:rsid w:val="00FA53E7"/>
    <w:rsid w:val="00FA5513"/>
    <w:rsid w:val="00FA5624"/>
    <w:rsid w:val="00FA57FF"/>
    <w:rsid w:val="00FA599B"/>
    <w:rsid w:val="00FA5D94"/>
    <w:rsid w:val="00FA633C"/>
    <w:rsid w:val="00FA6587"/>
    <w:rsid w:val="00FA6708"/>
    <w:rsid w:val="00FA68D9"/>
    <w:rsid w:val="00FA695C"/>
    <w:rsid w:val="00FA754F"/>
    <w:rsid w:val="00FA76F7"/>
    <w:rsid w:val="00FA7D52"/>
    <w:rsid w:val="00FB0169"/>
    <w:rsid w:val="00FB0976"/>
    <w:rsid w:val="00FB0E31"/>
    <w:rsid w:val="00FB0F41"/>
    <w:rsid w:val="00FB154F"/>
    <w:rsid w:val="00FB1685"/>
    <w:rsid w:val="00FB1851"/>
    <w:rsid w:val="00FB1DA7"/>
    <w:rsid w:val="00FB1FBA"/>
    <w:rsid w:val="00FB2029"/>
    <w:rsid w:val="00FB2362"/>
    <w:rsid w:val="00FB24BA"/>
    <w:rsid w:val="00FB260D"/>
    <w:rsid w:val="00FB2654"/>
    <w:rsid w:val="00FB2C68"/>
    <w:rsid w:val="00FB34DE"/>
    <w:rsid w:val="00FB3522"/>
    <w:rsid w:val="00FB35B4"/>
    <w:rsid w:val="00FB3D84"/>
    <w:rsid w:val="00FB4178"/>
    <w:rsid w:val="00FB437F"/>
    <w:rsid w:val="00FB4584"/>
    <w:rsid w:val="00FB4921"/>
    <w:rsid w:val="00FB49A4"/>
    <w:rsid w:val="00FB510B"/>
    <w:rsid w:val="00FB5230"/>
    <w:rsid w:val="00FB53E2"/>
    <w:rsid w:val="00FB57B1"/>
    <w:rsid w:val="00FB57BB"/>
    <w:rsid w:val="00FB5F21"/>
    <w:rsid w:val="00FB6217"/>
    <w:rsid w:val="00FB62FA"/>
    <w:rsid w:val="00FB64A3"/>
    <w:rsid w:val="00FB6E6C"/>
    <w:rsid w:val="00FB79B1"/>
    <w:rsid w:val="00FC0852"/>
    <w:rsid w:val="00FC0CA4"/>
    <w:rsid w:val="00FC1142"/>
    <w:rsid w:val="00FC181B"/>
    <w:rsid w:val="00FC1F06"/>
    <w:rsid w:val="00FC20F2"/>
    <w:rsid w:val="00FC22D4"/>
    <w:rsid w:val="00FC2682"/>
    <w:rsid w:val="00FC295D"/>
    <w:rsid w:val="00FC2B59"/>
    <w:rsid w:val="00FC2E20"/>
    <w:rsid w:val="00FC322E"/>
    <w:rsid w:val="00FC3657"/>
    <w:rsid w:val="00FC3A0D"/>
    <w:rsid w:val="00FC3A38"/>
    <w:rsid w:val="00FC3AEF"/>
    <w:rsid w:val="00FC4039"/>
    <w:rsid w:val="00FC43A1"/>
    <w:rsid w:val="00FC443F"/>
    <w:rsid w:val="00FC448F"/>
    <w:rsid w:val="00FC4556"/>
    <w:rsid w:val="00FC4AA9"/>
    <w:rsid w:val="00FC4BC8"/>
    <w:rsid w:val="00FC53AB"/>
    <w:rsid w:val="00FC59A1"/>
    <w:rsid w:val="00FC5AD1"/>
    <w:rsid w:val="00FC5CBA"/>
    <w:rsid w:val="00FC6779"/>
    <w:rsid w:val="00FC6A41"/>
    <w:rsid w:val="00FC6A43"/>
    <w:rsid w:val="00FC6F78"/>
    <w:rsid w:val="00FC74B6"/>
    <w:rsid w:val="00FD006B"/>
    <w:rsid w:val="00FD0085"/>
    <w:rsid w:val="00FD00A3"/>
    <w:rsid w:val="00FD0179"/>
    <w:rsid w:val="00FD063B"/>
    <w:rsid w:val="00FD094A"/>
    <w:rsid w:val="00FD0ABF"/>
    <w:rsid w:val="00FD0CBE"/>
    <w:rsid w:val="00FD1306"/>
    <w:rsid w:val="00FD1338"/>
    <w:rsid w:val="00FD1844"/>
    <w:rsid w:val="00FD1BF6"/>
    <w:rsid w:val="00FD201C"/>
    <w:rsid w:val="00FD230A"/>
    <w:rsid w:val="00FD233D"/>
    <w:rsid w:val="00FD2387"/>
    <w:rsid w:val="00FD243D"/>
    <w:rsid w:val="00FD25A3"/>
    <w:rsid w:val="00FD2952"/>
    <w:rsid w:val="00FD2C17"/>
    <w:rsid w:val="00FD2F5B"/>
    <w:rsid w:val="00FD333C"/>
    <w:rsid w:val="00FD345C"/>
    <w:rsid w:val="00FD351C"/>
    <w:rsid w:val="00FD36F8"/>
    <w:rsid w:val="00FD3742"/>
    <w:rsid w:val="00FD3791"/>
    <w:rsid w:val="00FD3A4B"/>
    <w:rsid w:val="00FD3A8C"/>
    <w:rsid w:val="00FD3D67"/>
    <w:rsid w:val="00FD427E"/>
    <w:rsid w:val="00FD44BA"/>
    <w:rsid w:val="00FD44FD"/>
    <w:rsid w:val="00FD4608"/>
    <w:rsid w:val="00FD47FC"/>
    <w:rsid w:val="00FD4C37"/>
    <w:rsid w:val="00FD4FDB"/>
    <w:rsid w:val="00FD515D"/>
    <w:rsid w:val="00FD516D"/>
    <w:rsid w:val="00FD59C9"/>
    <w:rsid w:val="00FD5C6F"/>
    <w:rsid w:val="00FD6003"/>
    <w:rsid w:val="00FD6411"/>
    <w:rsid w:val="00FD6C4F"/>
    <w:rsid w:val="00FD6F04"/>
    <w:rsid w:val="00FD70A3"/>
    <w:rsid w:val="00FD70A4"/>
    <w:rsid w:val="00FD7286"/>
    <w:rsid w:val="00FD741A"/>
    <w:rsid w:val="00FD74F7"/>
    <w:rsid w:val="00FD75EC"/>
    <w:rsid w:val="00FD7A3F"/>
    <w:rsid w:val="00FD7BAF"/>
    <w:rsid w:val="00FE0316"/>
    <w:rsid w:val="00FE0452"/>
    <w:rsid w:val="00FE047D"/>
    <w:rsid w:val="00FE0502"/>
    <w:rsid w:val="00FE0E24"/>
    <w:rsid w:val="00FE1223"/>
    <w:rsid w:val="00FE1228"/>
    <w:rsid w:val="00FE1493"/>
    <w:rsid w:val="00FE1511"/>
    <w:rsid w:val="00FE1634"/>
    <w:rsid w:val="00FE176F"/>
    <w:rsid w:val="00FE1A99"/>
    <w:rsid w:val="00FE1CE8"/>
    <w:rsid w:val="00FE26F3"/>
    <w:rsid w:val="00FE26FA"/>
    <w:rsid w:val="00FE2A6A"/>
    <w:rsid w:val="00FE2AED"/>
    <w:rsid w:val="00FE3055"/>
    <w:rsid w:val="00FE30C0"/>
    <w:rsid w:val="00FE3198"/>
    <w:rsid w:val="00FE32ED"/>
    <w:rsid w:val="00FE33B7"/>
    <w:rsid w:val="00FE3670"/>
    <w:rsid w:val="00FE3A7F"/>
    <w:rsid w:val="00FE3A83"/>
    <w:rsid w:val="00FE4932"/>
    <w:rsid w:val="00FE5305"/>
    <w:rsid w:val="00FE542F"/>
    <w:rsid w:val="00FE55A2"/>
    <w:rsid w:val="00FE5986"/>
    <w:rsid w:val="00FE5AEF"/>
    <w:rsid w:val="00FE5CCA"/>
    <w:rsid w:val="00FE5F54"/>
    <w:rsid w:val="00FE6199"/>
    <w:rsid w:val="00FE6473"/>
    <w:rsid w:val="00FE6DA3"/>
    <w:rsid w:val="00FE77EE"/>
    <w:rsid w:val="00FE79EB"/>
    <w:rsid w:val="00FE7BB7"/>
    <w:rsid w:val="00FE7E01"/>
    <w:rsid w:val="00FE7E58"/>
    <w:rsid w:val="00FF0391"/>
    <w:rsid w:val="00FF05B1"/>
    <w:rsid w:val="00FF0AD4"/>
    <w:rsid w:val="00FF0EC2"/>
    <w:rsid w:val="00FF1197"/>
    <w:rsid w:val="00FF1CCF"/>
    <w:rsid w:val="00FF221A"/>
    <w:rsid w:val="00FF262D"/>
    <w:rsid w:val="00FF2C46"/>
    <w:rsid w:val="00FF305E"/>
    <w:rsid w:val="00FF35A9"/>
    <w:rsid w:val="00FF3AFD"/>
    <w:rsid w:val="00FF4008"/>
    <w:rsid w:val="00FF41B6"/>
    <w:rsid w:val="00FF42F3"/>
    <w:rsid w:val="00FF440F"/>
    <w:rsid w:val="00FF4749"/>
    <w:rsid w:val="00FF480C"/>
    <w:rsid w:val="00FF4824"/>
    <w:rsid w:val="00FF49F0"/>
    <w:rsid w:val="00FF4A60"/>
    <w:rsid w:val="00FF50A5"/>
    <w:rsid w:val="00FF5228"/>
    <w:rsid w:val="00FF5229"/>
    <w:rsid w:val="00FF55DD"/>
    <w:rsid w:val="00FF58B1"/>
    <w:rsid w:val="00FF63C3"/>
    <w:rsid w:val="00FF6455"/>
    <w:rsid w:val="00FF6585"/>
    <w:rsid w:val="00FF65FF"/>
    <w:rsid w:val="00FF6F5C"/>
    <w:rsid w:val="00FF7728"/>
    <w:rsid w:val="00FF77F6"/>
    <w:rsid w:val="00FF7951"/>
    <w:rsid w:val="00FF7B24"/>
    <w:rsid w:val="00FF7CE0"/>
    <w:rsid w:val="00FF7ED9"/>
    <w:rsid w:val="010104BE"/>
    <w:rsid w:val="01110CAD"/>
    <w:rsid w:val="01190028"/>
    <w:rsid w:val="012DD93F"/>
    <w:rsid w:val="013CD5F9"/>
    <w:rsid w:val="013DE996"/>
    <w:rsid w:val="015F9008"/>
    <w:rsid w:val="017DA8E2"/>
    <w:rsid w:val="018EDC7C"/>
    <w:rsid w:val="01A1B546"/>
    <w:rsid w:val="01A6CA8D"/>
    <w:rsid w:val="01B53BCA"/>
    <w:rsid w:val="01C16724"/>
    <w:rsid w:val="01C7A8B0"/>
    <w:rsid w:val="01CAD764"/>
    <w:rsid w:val="01EA65EB"/>
    <w:rsid w:val="01ED44BF"/>
    <w:rsid w:val="01F93044"/>
    <w:rsid w:val="02174BF0"/>
    <w:rsid w:val="02364B99"/>
    <w:rsid w:val="025B6EE0"/>
    <w:rsid w:val="0260B83E"/>
    <w:rsid w:val="026325B6"/>
    <w:rsid w:val="0270FA1E"/>
    <w:rsid w:val="029693D2"/>
    <w:rsid w:val="02A0CF53"/>
    <w:rsid w:val="02B1C206"/>
    <w:rsid w:val="02C3EA45"/>
    <w:rsid w:val="02EB8D2B"/>
    <w:rsid w:val="02ED1CC3"/>
    <w:rsid w:val="03073B9B"/>
    <w:rsid w:val="031AEDF0"/>
    <w:rsid w:val="032C86CA"/>
    <w:rsid w:val="035D54B1"/>
    <w:rsid w:val="0375355B"/>
    <w:rsid w:val="0379A4FF"/>
    <w:rsid w:val="0382709B"/>
    <w:rsid w:val="03AB0E5C"/>
    <w:rsid w:val="03C1FE49"/>
    <w:rsid w:val="03CEC0C6"/>
    <w:rsid w:val="03DF29ED"/>
    <w:rsid w:val="0419B539"/>
    <w:rsid w:val="041D29C1"/>
    <w:rsid w:val="042593E7"/>
    <w:rsid w:val="0425E6F5"/>
    <w:rsid w:val="042B8DA3"/>
    <w:rsid w:val="044CC4DB"/>
    <w:rsid w:val="0450449D"/>
    <w:rsid w:val="04761BE7"/>
    <w:rsid w:val="04A59C2D"/>
    <w:rsid w:val="04A90607"/>
    <w:rsid w:val="04CCB674"/>
    <w:rsid w:val="04EF41FE"/>
    <w:rsid w:val="04F2CC11"/>
    <w:rsid w:val="04F480B1"/>
    <w:rsid w:val="050736B7"/>
    <w:rsid w:val="051FCB4C"/>
    <w:rsid w:val="05420565"/>
    <w:rsid w:val="054A3E88"/>
    <w:rsid w:val="054B6B52"/>
    <w:rsid w:val="056F5839"/>
    <w:rsid w:val="057BAFCD"/>
    <w:rsid w:val="057E7D8D"/>
    <w:rsid w:val="05823330"/>
    <w:rsid w:val="05903271"/>
    <w:rsid w:val="05992316"/>
    <w:rsid w:val="05AB5765"/>
    <w:rsid w:val="05C097C0"/>
    <w:rsid w:val="05C65F32"/>
    <w:rsid w:val="05D3505C"/>
    <w:rsid w:val="05E1B4D3"/>
    <w:rsid w:val="062CD765"/>
    <w:rsid w:val="06315837"/>
    <w:rsid w:val="0631903E"/>
    <w:rsid w:val="0657EA7C"/>
    <w:rsid w:val="065A4E61"/>
    <w:rsid w:val="0664BDEE"/>
    <w:rsid w:val="0672030E"/>
    <w:rsid w:val="06729164"/>
    <w:rsid w:val="06967047"/>
    <w:rsid w:val="06A399DA"/>
    <w:rsid w:val="06AE241E"/>
    <w:rsid w:val="06AFA25D"/>
    <w:rsid w:val="06C07D38"/>
    <w:rsid w:val="06E07A73"/>
    <w:rsid w:val="06E653B1"/>
    <w:rsid w:val="06EC58BE"/>
    <w:rsid w:val="071688DA"/>
    <w:rsid w:val="07198E37"/>
    <w:rsid w:val="0727C5BE"/>
    <w:rsid w:val="07511DD0"/>
    <w:rsid w:val="0751823F"/>
    <w:rsid w:val="07606397"/>
    <w:rsid w:val="077D99E4"/>
    <w:rsid w:val="078BEB5A"/>
    <w:rsid w:val="07BDBBD2"/>
    <w:rsid w:val="07CF8960"/>
    <w:rsid w:val="07E2F3DD"/>
    <w:rsid w:val="07F5BE0E"/>
    <w:rsid w:val="07F9C5BE"/>
    <w:rsid w:val="0800DEBA"/>
    <w:rsid w:val="0801A8B9"/>
    <w:rsid w:val="080C2FAD"/>
    <w:rsid w:val="080FC021"/>
    <w:rsid w:val="08163849"/>
    <w:rsid w:val="0828A7EB"/>
    <w:rsid w:val="08343029"/>
    <w:rsid w:val="084B1687"/>
    <w:rsid w:val="086BB8B8"/>
    <w:rsid w:val="0875497B"/>
    <w:rsid w:val="087EEF93"/>
    <w:rsid w:val="088D38FA"/>
    <w:rsid w:val="08912794"/>
    <w:rsid w:val="08B11184"/>
    <w:rsid w:val="08B37E9D"/>
    <w:rsid w:val="08C3E13E"/>
    <w:rsid w:val="08D2BDE1"/>
    <w:rsid w:val="08DD67B7"/>
    <w:rsid w:val="08ECA407"/>
    <w:rsid w:val="09248D32"/>
    <w:rsid w:val="0945E7D3"/>
    <w:rsid w:val="094D92A1"/>
    <w:rsid w:val="097A499C"/>
    <w:rsid w:val="0980A4A0"/>
    <w:rsid w:val="098A5995"/>
    <w:rsid w:val="098C8070"/>
    <w:rsid w:val="09A28E5B"/>
    <w:rsid w:val="09A9275E"/>
    <w:rsid w:val="09C10ACB"/>
    <w:rsid w:val="09E38543"/>
    <w:rsid w:val="09E950D0"/>
    <w:rsid w:val="09EA46AE"/>
    <w:rsid w:val="0A16874C"/>
    <w:rsid w:val="0A35EF79"/>
    <w:rsid w:val="0A5118B3"/>
    <w:rsid w:val="0A51C865"/>
    <w:rsid w:val="0A597951"/>
    <w:rsid w:val="0A8C4A67"/>
    <w:rsid w:val="0A956CE3"/>
    <w:rsid w:val="0AA30275"/>
    <w:rsid w:val="0ABA219B"/>
    <w:rsid w:val="0ABCD164"/>
    <w:rsid w:val="0AD1909D"/>
    <w:rsid w:val="0ADF220C"/>
    <w:rsid w:val="0AE36022"/>
    <w:rsid w:val="0AEB0B55"/>
    <w:rsid w:val="0AEBBD89"/>
    <w:rsid w:val="0B2D1BAA"/>
    <w:rsid w:val="0B4CAB76"/>
    <w:rsid w:val="0B5766A4"/>
    <w:rsid w:val="0B719A8B"/>
    <w:rsid w:val="0B724533"/>
    <w:rsid w:val="0B7AE6B8"/>
    <w:rsid w:val="0B905F55"/>
    <w:rsid w:val="0BA16C55"/>
    <w:rsid w:val="0BA52A70"/>
    <w:rsid w:val="0BC0D28C"/>
    <w:rsid w:val="0BE4C2E0"/>
    <w:rsid w:val="0C083FC1"/>
    <w:rsid w:val="0C1768E9"/>
    <w:rsid w:val="0C21D2B9"/>
    <w:rsid w:val="0C4291E0"/>
    <w:rsid w:val="0C53FFB1"/>
    <w:rsid w:val="0C5B3D9D"/>
    <w:rsid w:val="0CA92C41"/>
    <w:rsid w:val="0CAF9328"/>
    <w:rsid w:val="0CB6DF74"/>
    <w:rsid w:val="0CC89708"/>
    <w:rsid w:val="0CDDDAA1"/>
    <w:rsid w:val="0CE280CF"/>
    <w:rsid w:val="0CE9219E"/>
    <w:rsid w:val="0CF43639"/>
    <w:rsid w:val="0CF924EB"/>
    <w:rsid w:val="0D02B716"/>
    <w:rsid w:val="0D03B69A"/>
    <w:rsid w:val="0D09777D"/>
    <w:rsid w:val="0D17F034"/>
    <w:rsid w:val="0D230943"/>
    <w:rsid w:val="0D2DB18C"/>
    <w:rsid w:val="0D38AC16"/>
    <w:rsid w:val="0D449058"/>
    <w:rsid w:val="0D47EEDF"/>
    <w:rsid w:val="0D5FBCF0"/>
    <w:rsid w:val="0D63B84D"/>
    <w:rsid w:val="0D7FA0E0"/>
    <w:rsid w:val="0D8AEE24"/>
    <w:rsid w:val="0DB10CB2"/>
    <w:rsid w:val="0DB41DCB"/>
    <w:rsid w:val="0DE403DD"/>
    <w:rsid w:val="0DF8157F"/>
    <w:rsid w:val="0E165FB8"/>
    <w:rsid w:val="0E386CF0"/>
    <w:rsid w:val="0E39D856"/>
    <w:rsid w:val="0E549178"/>
    <w:rsid w:val="0E57F055"/>
    <w:rsid w:val="0E6DE90B"/>
    <w:rsid w:val="0E848BCC"/>
    <w:rsid w:val="0E86D0D8"/>
    <w:rsid w:val="0E89F55B"/>
    <w:rsid w:val="0E96A758"/>
    <w:rsid w:val="0EA9E5F5"/>
    <w:rsid w:val="0EB36D31"/>
    <w:rsid w:val="0EE07B76"/>
    <w:rsid w:val="0EEE6946"/>
    <w:rsid w:val="0F07F0D9"/>
    <w:rsid w:val="0F2B4AE2"/>
    <w:rsid w:val="0F2E3A05"/>
    <w:rsid w:val="0F433725"/>
    <w:rsid w:val="0F4C0A3B"/>
    <w:rsid w:val="0F69BDC2"/>
    <w:rsid w:val="0F6F7F8D"/>
    <w:rsid w:val="0F868618"/>
    <w:rsid w:val="0F8A88C2"/>
    <w:rsid w:val="0F8D714A"/>
    <w:rsid w:val="0FA8C65B"/>
    <w:rsid w:val="0FB68BFA"/>
    <w:rsid w:val="0FB75F44"/>
    <w:rsid w:val="0FBFAD1C"/>
    <w:rsid w:val="0FCB59D5"/>
    <w:rsid w:val="0FFAFC55"/>
    <w:rsid w:val="101C9CBE"/>
    <w:rsid w:val="1048B357"/>
    <w:rsid w:val="107AFBFD"/>
    <w:rsid w:val="1087B0D5"/>
    <w:rsid w:val="10921613"/>
    <w:rsid w:val="10957F61"/>
    <w:rsid w:val="10B0F74F"/>
    <w:rsid w:val="10B30E52"/>
    <w:rsid w:val="10B69B11"/>
    <w:rsid w:val="10DEF3E1"/>
    <w:rsid w:val="10FE0D3F"/>
    <w:rsid w:val="10FFC9CB"/>
    <w:rsid w:val="1104F7F0"/>
    <w:rsid w:val="112941AB"/>
    <w:rsid w:val="112F4518"/>
    <w:rsid w:val="11362D3B"/>
    <w:rsid w:val="113C2B7B"/>
    <w:rsid w:val="113CA21F"/>
    <w:rsid w:val="113EF4AD"/>
    <w:rsid w:val="11453E40"/>
    <w:rsid w:val="1156CE62"/>
    <w:rsid w:val="116EAB9F"/>
    <w:rsid w:val="116FB8CF"/>
    <w:rsid w:val="11744F08"/>
    <w:rsid w:val="118F97D1"/>
    <w:rsid w:val="11AC4B04"/>
    <w:rsid w:val="11B341DA"/>
    <w:rsid w:val="11BC9FB6"/>
    <w:rsid w:val="11C52F32"/>
    <w:rsid w:val="11E5CDB9"/>
    <w:rsid w:val="11F09D99"/>
    <w:rsid w:val="11FB5934"/>
    <w:rsid w:val="1212213A"/>
    <w:rsid w:val="1233BEBB"/>
    <w:rsid w:val="123F9A0A"/>
    <w:rsid w:val="125B8B8C"/>
    <w:rsid w:val="1260C3D5"/>
    <w:rsid w:val="126699FA"/>
    <w:rsid w:val="12780A63"/>
    <w:rsid w:val="127BF006"/>
    <w:rsid w:val="1292806B"/>
    <w:rsid w:val="12A08C1D"/>
    <w:rsid w:val="12A33ACE"/>
    <w:rsid w:val="12C3252F"/>
    <w:rsid w:val="12CC0F6C"/>
    <w:rsid w:val="12E3CE79"/>
    <w:rsid w:val="12F87713"/>
    <w:rsid w:val="12FB2C0A"/>
    <w:rsid w:val="1302D5D0"/>
    <w:rsid w:val="1323E0B3"/>
    <w:rsid w:val="132789B8"/>
    <w:rsid w:val="1340C5D0"/>
    <w:rsid w:val="13533198"/>
    <w:rsid w:val="137A49BD"/>
    <w:rsid w:val="138D0434"/>
    <w:rsid w:val="138FAE7E"/>
    <w:rsid w:val="13C59798"/>
    <w:rsid w:val="13CC7524"/>
    <w:rsid w:val="13CFD035"/>
    <w:rsid w:val="13E0F6F2"/>
    <w:rsid w:val="13ED3186"/>
    <w:rsid w:val="14006431"/>
    <w:rsid w:val="140947F5"/>
    <w:rsid w:val="142137C1"/>
    <w:rsid w:val="1423159F"/>
    <w:rsid w:val="14617CF5"/>
    <w:rsid w:val="148B7273"/>
    <w:rsid w:val="148CAC31"/>
    <w:rsid w:val="14A2C86F"/>
    <w:rsid w:val="14AC641A"/>
    <w:rsid w:val="14B8B262"/>
    <w:rsid w:val="14BF59DB"/>
    <w:rsid w:val="14C217E2"/>
    <w:rsid w:val="14D571C8"/>
    <w:rsid w:val="14D9D14B"/>
    <w:rsid w:val="150219A9"/>
    <w:rsid w:val="152D1D02"/>
    <w:rsid w:val="153D67B6"/>
    <w:rsid w:val="153E5999"/>
    <w:rsid w:val="15550B26"/>
    <w:rsid w:val="15841551"/>
    <w:rsid w:val="15960655"/>
    <w:rsid w:val="1599F68C"/>
    <w:rsid w:val="159F3B9A"/>
    <w:rsid w:val="15AFD695"/>
    <w:rsid w:val="15B19A31"/>
    <w:rsid w:val="15B5A687"/>
    <w:rsid w:val="15B8C7BA"/>
    <w:rsid w:val="15C6DA9E"/>
    <w:rsid w:val="15CE6C11"/>
    <w:rsid w:val="15D845BF"/>
    <w:rsid w:val="16042EAA"/>
    <w:rsid w:val="164C67CB"/>
    <w:rsid w:val="1670241F"/>
    <w:rsid w:val="1671A8D7"/>
    <w:rsid w:val="1679A612"/>
    <w:rsid w:val="167BCE3F"/>
    <w:rsid w:val="1693ED8E"/>
    <w:rsid w:val="16947371"/>
    <w:rsid w:val="16969B91"/>
    <w:rsid w:val="16980D6C"/>
    <w:rsid w:val="16984082"/>
    <w:rsid w:val="16BE106D"/>
    <w:rsid w:val="16C4FF27"/>
    <w:rsid w:val="16C70EFB"/>
    <w:rsid w:val="16CB1CAB"/>
    <w:rsid w:val="16CBFC42"/>
    <w:rsid w:val="16E02375"/>
    <w:rsid w:val="16FBCEBF"/>
    <w:rsid w:val="16FDC92D"/>
    <w:rsid w:val="1705B924"/>
    <w:rsid w:val="171B5098"/>
    <w:rsid w:val="17402428"/>
    <w:rsid w:val="17478EC8"/>
    <w:rsid w:val="174CD0D3"/>
    <w:rsid w:val="1756E0F2"/>
    <w:rsid w:val="17634EAB"/>
    <w:rsid w:val="177189B1"/>
    <w:rsid w:val="1776F16E"/>
    <w:rsid w:val="177BC512"/>
    <w:rsid w:val="17A08AB8"/>
    <w:rsid w:val="17BB6E8D"/>
    <w:rsid w:val="17D746F1"/>
    <w:rsid w:val="17DDAA96"/>
    <w:rsid w:val="17F4F687"/>
    <w:rsid w:val="17F5C204"/>
    <w:rsid w:val="180E46E3"/>
    <w:rsid w:val="18109838"/>
    <w:rsid w:val="1816E994"/>
    <w:rsid w:val="18359181"/>
    <w:rsid w:val="1851F0C0"/>
    <w:rsid w:val="1853B6D7"/>
    <w:rsid w:val="1855404F"/>
    <w:rsid w:val="185FDF1D"/>
    <w:rsid w:val="18728FA1"/>
    <w:rsid w:val="18865157"/>
    <w:rsid w:val="1899584E"/>
    <w:rsid w:val="18AE1D3E"/>
    <w:rsid w:val="18C07ADA"/>
    <w:rsid w:val="18CC3328"/>
    <w:rsid w:val="18CF0CF8"/>
    <w:rsid w:val="18D48A49"/>
    <w:rsid w:val="18F85C5E"/>
    <w:rsid w:val="1902CB0A"/>
    <w:rsid w:val="1917FFA1"/>
    <w:rsid w:val="191C94C2"/>
    <w:rsid w:val="19279F60"/>
    <w:rsid w:val="192E8BA7"/>
    <w:rsid w:val="195DF2DE"/>
    <w:rsid w:val="1973D659"/>
    <w:rsid w:val="19958403"/>
    <w:rsid w:val="19AC5158"/>
    <w:rsid w:val="19AF28D9"/>
    <w:rsid w:val="19B18959"/>
    <w:rsid w:val="19C170CC"/>
    <w:rsid w:val="19C94142"/>
    <w:rsid w:val="19D0E9A3"/>
    <w:rsid w:val="19D620D7"/>
    <w:rsid w:val="19DD731D"/>
    <w:rsid w:val="1A0CADAF"/>
    <w:rsid w:val="1A1A8ECB"/>
    <w:rsid w:val="1A56C055"/>
    <w:rsid w:val="1A5AFF84"/>
    <w:rsid w:val="1A648C60"/>
    <w:rsid w:val="1A6E444E"/>
    <w:rsid w:val="1A6F9F15"/>
    <w:rsid w:val="1A78D98B"/>
    <w:rsid w:val="1A914DE3"/>
    <w:rsid w:val="1A977D40"/>
    <w:rsid w:val="1AA36299"/>
    <w:rsid w:val="1AB906AF"/>
    <w:rsid w:val="1AC817E7"/>
    <w:rsid w:val="1AD21C58"/>
    <w:rsid w:val="1AF1F5B7"/>
    <w:rsid w:val="1B001F31"/>
    <w:rsid w:val="1B0066C8"/>
    <w:rsid w:val="1B0E5D07"/>
    <w:rsid w:val="1B1391C8"/>
    <w:rsid w:val="1B280E5C"/>
    <w:rsid w:val="1B2FEBDD"/>
    <w:rsid w:val="1B5755BA"/>
    <w:rsid w:val="1B6B2532"/>
    <w:rsid w:val="1B833511"/>
    <w:rsid w:val="1BA0A2A9"/>
    <w:rsid w:val="1BB62F56"/>
    <w:rsid w:val="1BDE15F4"/>
    <w:rsid w:val="1C0015FA"/>
    <w:rsid w:val="1C00CA50"/>
    <w:rsid w:val="1C2866B7"/>
    <w:rsid w:val="1C334DA1"/>
    <w:rsid w:val="1C454C7D"/>
    <w:rsid w:val="1C549FAF"/>
    <w:rsid w:val="1C5AB95C"/>
    <w:rsid w:val="1C7263B0"/>
    <w:rsid w:val="1C871D54"/>
    <w:rsid w:val="1CAA9FCF"/>
    <w:rsid w:val="1CCE6527"/>
    <w:rsid w:val="1CDE4ACA"/>
    <w:rsid w:val="1CEE2A7C"/>
    <w:rsid w:val="1CF8AEC9"/>
    <w:rsid w:val="1D05DD15"/>
    <w:rsid w:val="1D0CF5F2"/>
    <w:rsid w:val="1D1A2323"/>
    <w:rsid w:val="1D1BA0DD"/>
    <w:rsid w:val="1D266935"/>
    <w:rsid w:val="1D34D8D3"/>
    <w:rsid w:val="1D3B3DC6"/>
    <w:rsid w:val="1D3C0097"/>
    <w:rsid w:val="1D643E67"/>
    <w:rsid w:val="1D72F32B"/>
    <w:rsid w:val="1D75DAA7"/>
    <w:rsid w:val="1D7B69F3"/>
    <w:rsid w:val="1D988908"/>
    <w:rsid w:val="1DA185C6"/>
    <w:rsid w:val="1DB02E9B"/>
    <w:rsid w:val="1DC87ED5"/>
    <w:rsid w:val="1DDB7BE6"/>
    <w:rsid w:val="1DFEE2E0"/>
    <w:rsid w:val="1E216FD6"/>
    <w:rsid w:val="1E340D1E"/>
    <w:rsid w:val="1E48E455"/>
    <w:rsid w:val="1E514BC2"/>
    <w:rsid w:val="1E6D9E29"/>
    <w:rsid w:val="1E795D25"/>
    <w:rsid w:val="1E7EE9FF"/>
    <w:rsid w:val="1E96FE61"/>
    <w:rsid w:val="1EC6E945"/>
    <w:rsid w:val="1EF00E5E"/>
    <w:rsid w:val="1EF628C1"/>
    <w:rsid w:val="1F05CBA4"/>
    <w:rsid w:val="1F2F664D"/>
    <w:rsid w:val="1F4457FC"/>
    <w:rsid w:val="1F52DEA5"/>
    <w:rsid w:val="1F5A6497"/>
    <w:rsid w:val="1F5AB0EC"/>
    <w:rsid w:val="1F84464B"/>
    <w:rsid w:val="1FA62374"/>
    <w:rsid w:val="1FB5098A"/>
    <w:rsid w:val="1FD7C754"/>
    <w:rsid w:val="1FF4E56D"/>
    <w:rsid w:val="1FFBE599"/>
    <w:rsid w:val="200EBFE7"/>
    <w:rsid w:val="20240C16"/>
    <w:rsid w:val="203DDF06"/>
    <w:rsid w:val="20437366"/>
    <w:rsid w:val="20488046"/>
    <w:rsid w:val="204CF8B7"/>
    <w:rsid w:val="20A19C05"/>
    <w:rsid w:val="20BD56B9"/>
    <w:rsid w:val="20C15648"/>
    <w:rsid w:val="20CE47F6"/>
    <w:rsid w:val="20D023DD"/>
    <w:rsid w:val="20D4BE8B"/>
    <w:rsid w:val="20EF2365"/>
    <w:rsid w:val="20FB0C49"/>
    <w:rsid w:val="21017CED"/>
    <w:rsid w:val="210EF1A1"/>
    <w:rsid w:val="211A32AC"/>
    <w:rsid w:val="2138542C"/>
    <w:rsid w:val="2144F669"/>
    <w:rsid w:val="21454DEC"/>
    <w:rsid w:val="215BAE93"/>
    <w:rsid w:val="21AAC1CC"/>
    <w:rsid w:val="21CD81A6"/>
    <w:rsid w:val="21CE9F23"/>
    <w:rsid w:val="22074452"/>
    <w:rsid w:val="220EAEE9"/>
    <w:rsid w:val="2220AC9A"/>
    <w:rsid w:val="22532784"/>
    <w:rsid w:val="225D711C"/>
    <w:rsid w:val="22AB2905"/>
    <w:rsid w:val="22CA3599"/>
    <w:rsid w:val="22CC0F57"/>
    <w:rsid w:val="22DD732D"/>
    <w:rsid w:val="22E058C1"/>
    <w:rsid w:val="22E0DA62"/>
    <w:rsid w:val="22E7E876"/>
    <w:rsid w:val="22EB7008"/>
    <w:rsid w:val="22EF5A34"/>
    <w:rsid w:val="22F6D9D0"/>
    <w:rsid w:val="22F7A58D"/>
    <w:rsid w:val="230F38A9"/>
    <w:rsid w:val="231FD363"/>
    <w:rsid w:val="2330E94C"/>
    <w:rsid w:val="233E7916"/>
    <w:rsid w:val="23446555"/>
    <w:rsid w:val="2359C93C"/>
    <w:rsid w:val="235C83F3"/>
    <w:rsid w:val="2376CDCA"/>
    <w:rsid w:val="238680A7"/>
    <w:rsid w:val="239F1341"/>
    <w:rsid w:val="23A13294"/>
    <w:rsid w:val="23AA7F4A"/>
    <w:rsid w:val="23B558E9"/>
    <w:rsid w:val="23B78FB1"/>
    <w:rsid w:val="241F6AB6"/>
    <w:rsid w:val="2452076F"/>
    <w:rsid w:val="24608DB5"/>
    <w:rsid w:val="246D7059"/>
    <w:rsid w:val="24D118AA"/>
    <w:rsid w:val="24D8E7E9"/>
    <w:rsid w:val="24DE303B"/>
    <w:rsid w:val="25040A30"/>
    <w:rsid w:val="25168C80"/>
    <w:rsid w:val="253775BA"/>
    <w:rsid w:val="254DB98B"/>
    <w:rsid w:val="25752844"/>
    <w:rsid w:val="2578E38D"/>
    <w:rsid w:val="2586AEB2"/>
    <w:rsid w:val="258CADC9"/>
    <w:rsid w:val="25A19F79"/>
    <w:rsid w:val="25A3B2FA"/>
    <w:rsid w:val="25A6EB18"/>
    <w:rsid w:val="25A99ED7"/>
    <w:rsid w:val="25BEFFF8"/>
    <w:rsid w:val="25C075DC"/>
    <w:rsid w:val="25E4F508"/>
    <w:rsid w:val="25FC2999"/>
    <w:rsid w:val="25FF553D"/>
    <w:rsid w:val="26178CC6"/>
    <w:rsid w:val="2628A376"/>
    <w:rsid w:val="263D763A"/>
    <w:rsid w:val="263E6F8B"/>
    <w:rsid w:val="264FA9F1"/>
    <w:rsid w:val="26646624"/>
    <w:rsid w:val="2682495E"/>
    <w:rsid w:val="268BFA46"/>
    <w:rsid w:val="268CA696"/>
    <w:rsid w:val="269D582A"/>
    <w:rsid w:val="26A2E184"/>
    <w:rsid w:val="26A3700E"/>
    <w:rsid w:val="26B38542"/>
    <w:rsid w:val="26C2FC48"/>
    <w:rsid w:val="26FFE1B0"/>
    <w:rsid w:val="271E0346"/>
    <w:rsid w:val="27225876"/>
    <w:rsid w:val="273966FD"/>
    <w:rsid w:val="27421EF8"/>
    <w:rsid w:val="274920FE"/>
    <w:rsid w:val="2755D4BA"/>
    <w:rsid w:val="27829C93"/>
    <w:rsid w:val="279D6C22"/>
    <w:rsid w:val="27A2AAC1"/>
    <w:rsid w:val="27A2C28E"/>
    <w:rsid w:val="27A5A6F6"/>
    <w:rsid w:val="27AB90DB"/>
    <w:rsid w:val="27B5824B"/>
    <w:rsid w:val="27D265DE"/>
    <w:rsid w:val="27E27D46"/>
    <w:rsid w:val="27EE3011"/>
    <w:rsid w:val="27F05913"/>
    <w:rsid w:val="27F6A229"/>
    <w:rsid w:val="27FA4F17"/>
    <w:rsid w:val="2802F5B4"/>
    <w:rsid w:val="280EA2A8"/>
    <w:rsid w:val="281FB338"/>
    <w:rsid w:val="283AFB52"/>
    <w:rsid w:val="283D2BA5"/>
    <w:rsid w:val="2851D183"/>
    <w:rsid w:val="285B8BCF"/>
    <w:rsid w:val="28715F50"/>
    <w:rsid w:val="287806B8"/>
    <w:rsid w:val="287DD118"/>
    <w:rsid w:val="28872115"/>
    <w:rsid w:val="288D866F"/>
    <w:rsid w:val="288E875C"/>
    <w:rsid w:val="288FF8D2"/>
    <w:rsid w:val="289DD76E"/>
    <w:rsid w:val="289E0295"/>
    <w:rsid w:val="28B16E87"/>
    <w:rsid w:val="28E2571D"/>
    <w:rsid w:val="28E90C37"/>
    <w:rsid w:val="29100433"/>
    <w:rsid w:val="2920BA04"/>
    <w:rsid w:val="29227CD1"/>
    <w:rsid w:val="29395CD6"/>
    <w:rsid w:val="2949AE13"/>
    <w:rsid w:val="294A4010"/>
    <w:rsid w:val="29629C7E"/>
    <w:rsid w:val="29691CE5"/>
    <w:rsid w:val="296D86A5"/>
    <w:rsid w:val="29720451"/>
    <w:rsid w:val="2984CC86"/>
    <w:rsid w:val="298EBA83"/>
    <w:rsid w:val="29D86EF7"/>
    <w:rsid w:val="29E792DB"/>
    <w:rsid w:val="2A083293"/>
    <w:rsid w:val="2A0E1031"/>
    <w:rsid w:val="2A421100"/>
    <w:rsid w:val="2A446DE1"/>
    <w:rsid w:val="2AA88F07"/>
    <w:rsid w:val="2AD05ABD"/>
    <w:rsid w:val="2AD4D900"/>
    <w:rsid w:val="2AE9F139"/>
    <w:rsid w:val="2AEE2DA9"/>
    <w:rsid w:val="2B04928A"/>
    <w:rsid w:val="2B3278B9"/>
    <w:rsid w:val="2B3F9E6B"/>
    <w:rsid w:val="2B42DA72"/>
    <w:rsid w:val="2B5A4CAD"/>
    <w:rsid w:val="2B600A92"/>
    <w:rsid w:val="2B6320AA"/>
    <w:rsid w:val="2B677A2B"/>
    <w:rsid w:val="2B76944A"/>
    <w:rsid w:val="2B932C91"/>
    <w:rsid w:val="2B99C2BC"/>
    <w:rsid w:val="2B99F337"/>
    <w:rsid w:val="2B9BEDB8"/>
    <w:rsid w:val="2BC93DC4"/>
    <w:rsid w:val="2BD93D97"/>
    <w:rsid w:val="2BD94F17"/>
    <w:rsid w:val="2BF3B8E8"/>
    <w:rsid w:val="2BF5775B"/>
    <w:rsid w:val="2BFC1815"/>
    <w:rsid w:val="2C29494A"/>
    <w:rsid w:val="2C2A0ABB"/>
    <w:rsid w:val="2C3C49C8"/>
    <w:rsid w:val="2C445363"/>
    <w:rsid w:val="2C647AE1"/>
    <w:rsid w:val="2C6E6F04"/>
    <w:rsid w:val="2CA47090"/>
    <w:rsid w:val="2CA490CA"/>
    <w:rsid w:val="2CAD4B75"/>
    <w:rsid w:val="2CB6A7C0"/>
    <w:rsid w:val="2CC8B675"/>
    <w:rsid w:val="2CD59FEC"/>
    <w:rsid w:val="2CD818AF"/>
    <w:rsid w:val="2CEC4D7A"/>
    <w:rsid w:val="2CFF48A3"/>
    <w:rsid w:val="2D1C6972"/>
    <w:rsid w:val="2D328877"/>
    <w:rsid w:val="2D4866B9"/>
    <w:rsid w:val="2D56707F"/>
    <w:rsid w:val="2D5CD35F"/>
    <w:rsid w:val="2D7C0132"/>
    <w:rsid w:val="2D8637CD"/>
    <w:rsid w:val="2DA47569"/>
    <w:rsid w:val="2DC01AFE"/>
    <w:rsid w:val="2DC0414A"/>
    <w:rsid w:val="2DF3A9FF"/>
    <w:rsid w:val="2DF64F27"/>
    <w:rsid w:val="2E0626DE"/>
    <w:rsid w:val="2E06C353"/>
    <w:rsid w:val="2E3406A8"/>
    <w:rsid w:val="2E3868EA"/>
    <w:rsid w:val="2E3B3F64"/>
    <w:rsid w:val="2E40ABD2"/>
    <w:rsid w:val="2E50E0AC"/>
    <w:rsid w:val="2E90C3FC"/>
    <w:rsid w:val="2E9BF4F8"/>
    <w:rsid w:val="2EC13461"/>
    <w:rsid w:val="2EC2AB74"/>
    <w:rsid w:val="2EEC8083"/>
    <w:rsid w:val="2F00CE08"/>
    <w:rsid w:val="2F20AD4F"/>
    <w:rsid w:val="2F23A5C1"/>
    <w:rsid w:val="2F3B0A86"/>
    <w:rsid w:val="2F3ECE02"/>
    <w:rsid w:val="2F52C2D3"/>
    <w:rsid w:val="2F53F4B1"/>
    <w:rsid w:val="2F73A00A"/>
    <w:rsid w:val="2F7BAEDB"/>
    <w:rsid w:val="2F7E0921"/>
    <w:rsid w:val="2FA73F0D"/>
    <w:rsid w:val="2FA7B6EA"/>
    <w:rsid w:val="2FA98DF0"/>
    <w:rsid w:val="2FBA4424"/>
    <w:rsid w:val="2FDAE39B"/>
    <w:rsid w:val="2FF96F96"/>
    <w:rsid w:val="3005044C"/>
    <w:rsid w:val="300EFAF2"/>
    <w:rsid w:val="303B69CB"/>
    <w:rsid w:val="3044BA63"/>
    <w:rsid w:val="304B9237"/>
    <w:rsid w:val="304EA9CD"/>
    <w:rsid w:val="30517619"/>
    <w:rsid w:val="30522D24"/>
    <w:rsid w:val="306C0709"/>
    <w:rsid w:val="3072DF34"/>
    <w:rsid w:val="30813C48"/>
    <w:rsid w:val="3084B70C"/>
    <w:rsid w:val="3084E3DE"/>
    <w:rsid w:val="309C5D31"/>
    <w:rsid w:val="30A4CC0A"/>
    <w:rsid w:val="30A52793"/>
    <w:rsid w:val="30AFA96A"/>
    <w:rsid w:val="30B14FEB"/>
    <w:rsid w:val="30B52868"/>
    <w:rsid w:val="30C2DDD5"/>
    <w:rsid w:val="30C345DA"/>
    <w:rsid w:val="30C9C4EF"/>
    <w:rsid w:val="30DF8599"/>
    <w:rsid w:val="30E0ABAF"/>
    <w:rsid w:val="30F82A32"/>
    <w:rsid w:val="30FBD08A"/>
    <w:rsid w:val="310F2921"/>
    <w:rsid w:val="3112E545"/>
    <w:rsid w:val="31267390"/>
    <w:rsid w:val="31302686"/>
    <w:rsid w:val="3138908A"/>
    <w:rsid w:val="313A9FC0"/>
    <w:rsid w:val="31523791"/>
    <w:rsid w:val="3155AE39"/>
    <w:rsid w:val="315DC0E0"/>
    <w:rsid w:val="31675921"/>
    <w:rsid w:val="319302C8"/>
    <w:rsid w:val="319F3E71"/>
    <w:rsid w:val="31D0321F"/>
    <w:rsid w:val="31E00FF8"/>
    <w:rsid w:val="31F25DB3"/>
    <w:rsid w:val="320C36D3"/>
    <w:rsid w:val="322EF318"/>
    <w:rsid w:val="324D721D"/>
    <w:rsid w:val="32544D74"/>
    <w:rsid w:val="32610790"/>
    <w:rsid w:val="3268031B"/>
    <w:rsid w:val="3272BC99"/>
    <w:rsid w:val="327B316E"/>
    <w:rsid w:val="32A184FD"/>
    <w:rsid w:val="32B3E294"/>
    <w:rsid w:val="32BAFA86"/>
    <w:rsid w:val="32E9A5C5"/>
    <w:rsid w:val="330B1A68"/>
    <w:rsid w:val="331C0106"/>
    <w:rsid w:val="331E8D15"/>
    <w:rsid w:val="333434EA"/>
    <w:rsid w:val="33406866"/>
    <w:rsid w:val="3347F15B"/>
    <w:rsid w:val="3358AADA"/>
    <w:rsid w:val="335C67AE"/>
    <w:rsid w:val="33601220"/>
    <w:rsid w:val="3365DF07"/>
    <w:rsid w:val="33686C30"/>
    <w:rsid w:val="33943AA9"/>
    <w:rsid w:val="339F22AB"/>
    <w:rsid w:val="33C5D759"/>
    <w:rsid w:val="33E3D775"/>
    <w:rsid w:val="3404C8DA"/>
    <w:rsid w:val="34068216"/>
    <w:rsid w:val="3429F185"/>
    <w:rsid w:val="3443292B"/>
    <w:rsid w:val="344DAE9F"/>
    <w:rsid w:val="34506C15"/>
    <w:rsid w:val="347FDA34"/>
    <w:rsid w:val="349728E5"/>
    <w:rsid w:val="34A0DBC2"/>
    <w:rsid w:val="34A285BE"/>
    <w:rsid w:val="34A4D354"/>
    <w:rsid w:val="34B12A74"/>
    <w:rsid w:val="34B160A5"/>
    <w:rsid w:val="34B5C536"/>
    <w:rsid w:val="34B8DF51"/>
    <w:rsid w:val="34BD62BD"/>
    <w:rsid w:val="34C1C1A7"/>
    <w:rsid w:val="34E0211A"/>
    <w:rsid w:val="34E0A6AB"/>
    <w:rsid w:val="34E19349"/>
    <w:rsid w:val="3500FDEC"/>
    <w:rsid w:val="35245135"/>
    <w:rsid w:val="3527B113"/>
    <w:rsid w:val="353EAE61"/>
    <w:rsid w:val="353EDD40"/>
    <w:rsid w:val="354DB8EE"/>
    <w:rsid w:val="354EEDA0"/>
    <w:rsid w:val="354FE918"/>
    <w:rsid w:val="35682D88"/>
    <w:rsid w:val="3577F25E"/>
    <w:rsid w:val="3589CF20"/>
    <w:rsid w:val="35914966"/>
    <w:rsid w:val="3594B7C3"/>
    <w:rsid w:val="3596D0AF"/>
    <w:rsid w:val="359E6070"/>
    <w:rsid w:val="359FB1C3"/>
    <w:rsid w:val="35ADDAF3"/>
    <w:rsid w:val="35AE2A2F"/>
    <w:rsid w:val="35B71FE4"/>
    <w:rsid w:val="35BC8D53"/>
    <w:rsid w:val="35CA4AAD"/>
    <w:rsid w:val="35D0D77E"/>
    <w:rsid w:val="35ED0E08"/>
    <w:rsid w:val="363356E9"/>
    <w:rsid w:val="3652C2D2"/>
    <w:rsid w:val="36583D31"/>
    <w:rsid w:val="367EDEAC"/>
    <w:rsid w:val="368338CD"/>
    <w:rsid w:val="368C4109"/>
    <w:rsid w:val="36A3C6ED"/>
    <w:rsid w:val="36B2E089"/>
    <w:rsid w:val="36C62FD2"/>
    <w:rsid w:val="36D8D4FD"/>
    <w:rsid w:val="36DC5057"/>
    <w:rsid w:val="36EA1E62"/>
    <w:rsid w:val="36EFB456"/>
    <w:rsid w:val="3708E54E"/>
    <w:rsid w:val="3710BB0A"/>
    <w:rsid w:val="3712586B"/>
    <w:rsid w:val="3713CC96"/>
    <w:rsid w:val="37365179"/>
    <w:rsid w:val="373C23CE"/>
    <w:rsid w:val="374768E8"/>
    <w:rsid w:val="374ED05C"/>
    <w:rsid w:val="375323E8"/>
    <w:rsid w:val="376815FE"/>
    <w:rsid w:val="3774B845"/>
    <w:rsid w:val="377E8140"/>
    <w:rsid w:val="3788E9DD"/>
    <w:rsid w:val="37AB2079"/>
    <w:rsid w:val="37B38FEC"/>
    <w:rsid w:val="37B8C998"/>
    <w:rsid w:val="37CFAA00"/>
    <w:rsid w:val="37DBF0CF"/>
    <w:rsid w:val="37DF54D3"/>
    <w:rsid w:val="37EA33F1"/>
    <w:rsid w:val="380A4153"/>
    <w:rsid w:val="38191229"/>
    <w:rsid w:val="3825C370"/>
    <w:rsid w:val="38354076"/>
    <w:rsid w:val="384E181F"/>
    <w:rsid w:val="38715B35"/>
    <w:rsid w:val="387F6FA1"/>
    <w:rsid w:val="3884A9C4"/>
    <w:rsid w:val="388BB74E"/>
    <w:rsid w:val="389631C6"/>
    <w:rsid w:val="38A2481C"/>
    <w:rsid w:val="38A38684"/>
    <w:rsid w:val="38A74E20"/>
    <w:rsid w:val="38AA86A7"/>
    <w:rsid w:val="38AC9D9B"/>
    <w:rsid w:val="38B6DEB9"/>
    <w:rsid w:val="38C6ED78"/>
    <w:rsid w:val="38CC61CB"/>
    <w:rsid w:val="38DB58AF"/>
    <w:rsid w:val="38DB88F0"/>
    <w:rsid w:val="38E4C078"/>
    <w:rsid w:val="390197DC"/>
    <w:rsid w:val="39127B04"/>
    <w:rsid w:val="3926ED1D"/>
    <w:rsid w:val="39350722"/>
    <w:rsid w:val="394F37BA"/>
    <w:rsid w:val="396A60D2"/>
    <w:rsid w:val="396C3905"/>
    <w:rsid w:val="396EAECD"/>
    <w:rsid w:val="399D4B09"/>
    <w:rsid w:val="39A88C77"/>
    <w:rsid w:val="39A88E3E"/>
    <w:rsid w:val="39C82753"/>
    <w:rsid w:val="3A1CED57"/>
    <w:rsid w:val="3A427FC8"/>
    <w:rsid w:val="3A64C182"/>
    <w:rsid w:val="3A66DF45"/>
    <w:rsid w:val="3A6BC385"/>
    <w:rsid w:val="3A719BC8"/>
    <w:rsid w:val="3A766218"/>
    <w:rsid w:val="3A93A5BD"/>
    <w:rsid w:val="3A9D7B6C"/>
    <w:rsid w:val="3AB65224"/>
    <w:rsid w:val="3AD057FE"/>
    <w:rsid w:val="3AD95026"/>
    <w:rsid w:val="3AEAAC56"/>
    <w:rsid w:val="3AF50C27"/>
    <w:rsid w:val="3AFDA786"/>
    <w:rsid w:val="3B2BB407"/>
    <w:rsid w:val="3B347102"/>
    <w:rsid w:val="3B4DB0FA"/>
    <w:rsid w:val="3B63493E"/>
    <w:rsid w:val="3B654FFE"/>
    <w:rsid w:val="3B68BA92"/>
    <w:rsid w:val="3B7442F5"/>
    <w:rsid w:val="3BAD88BA"/>
    <w:rsid w:val="3BC524D4"/>
    <w:rsid w:val="3BC5EE92"/>
    <w:rsid w:val="3BEC63EC"/>
    <w:rsid w:val="3C0E9A38"/>
    <w:rsid w:val="3C1035B8"/>
    <w:rsid w:val="3C28E329"/>
    <w:rsid w:val="3C32B159"/>
    <w:rsid w:val="3C32FD74"/>
    <w:rsid w:val="3C3ABC22"/>
    <w:rsid w:val="3C7B67FA"/>
    <w:rsid w:val="3C9E2BEB"/>
    <w:rsid w:val="3CBB8C48"/>
    <w:rsid w:val="3CC1E555"/>
    <w:rsid w:val="3CC5E10E"/>
    <w:rsid w:val="3CE87FD2"/>
    <w:rsid w:val="3D2C148B"/>
    <w:rsid w:val="3D386B64"/>
    <w:rsid w:val="3D3D1A88"/>
    <w:rsid w:val="3D4E5CFD"/>
    <w:rsid w:val="3D58434A"/>
    <w:rsid w:val="3D5D1D97"/>
    <w:rsid w:val="3D7AFCA7"/>
    <w:rsid w:val="3D934A73"/>
    <w:rsid w:val="3DAC0D44"/>
    <w:rsid w:val="3DB03BD7"/>
    <w:rsid w:val="3DF22BA2"/>
    <w:rsid w:val="3E45228C"/>
    <w:rsid w:val="3E84212F"/>
    <w:rsid w:val="3EACE4B4"/>
    <w:rsid w:val="3ECF4E21"/>
    <w:rsid w:val="3EF0549C"/>
    <w:rsid w:val="3F0280BA"/>
    <w:rsid w:val="3F06F3F4"/>
    <w:rsid w:val="3F2596C0"/>
    <w:rsid w:val="3F32C83C"/>
    <w:rsid w:val="3F3E9E16"/>
    <w:rsid w:val="3F45B4FE"/>
    <w:rsid w:val="3F4AD263"/>
    <w:rsid w:val="3F4FFC38"/>
    <w:rsid w:val="3F5D01F7"/>
    <w:rsid w:val="3F5D4981"/>
    <w:rsid w:val="3F656208"/>
    <w:rsid w:val="3F6A2A6A"/>
    <w:rsid w:val="3F83B5BC"/>
    <w:rsid w:val="3FB22C57"/>
    <w:rsid w:val="3FCD26B0"/>
    <w:rsid w:val="3FCE7DE6"/>
    <w:rsid w:val="3FD098D3"/>
    <w:rsid w:val="3FDB32ED"/>
    <w:rsid w:val="3FDFDC1F"/>
    <w:rsid w:val="3FE38E76"/>
    <w:rsid w:val="3FEEFE24"/>
    <w:rsid w:val="4014691A"/>
    <w:rsid w:val="401A4D0F"/>
    <w:rsid w:val="40213D0D"/>
    <w:rsid w:val="406A7E37"/>
    <w:rsid w:val="4074A923"/>
    <w:rsid w:val="4088DB19"/>
    <w:rsid w:val="40B80A9F"/>
    <w:rsid w:val="40BAE39C"/>
    <w:rsid w:val="40BAEB06"/>
    <w:rsid w:val="40C92EC5"/>
    <w:rsid w:val="40E1B3E8"/>
    <w:rsid w:val="40E6F845"/>
    <w:rsid w:val="40F15948"/>
    <w:rsid w:val="410E18C5"/>
    <w:rsid w:val="41207104"/>
    <w:rsid w:val="414D775B"/>
    <w:rsid w:val="41522A0E"/>
    <w:rsid w:val="416A72F4"/>
    <w:rsid w:val="41835C5A"/>
    <w:rsid w:val="418EF0A1"/>
    <w:rsid w:val="41933404"/>
    <w:rsid w:val="41A0D168"/>
    <w:rsid w:val="41FE9BBD"/>
    <w:rsid w:val="4212DA7E"/>
    <w:rsid w:val="4221CE20"/>
    <w:rsid w:val="423E7F11"/>
    <w:rsid w:val="42559EB0"/>
    <w:rsid w:val="425725A4"/>
    <w:rsid w:val="427A2196"/>
    <w:rsid w:val="42873854"/>
    <w:rsid w:val="42878A5E"/>
    <w:rsid w:val="4287C1B7"/>
    <w:rsid w:val="42B23627"/>
    <w:rsid w:val="42C04250"/>
    <w:rsid w:val="42CE69D7"/>
    <w:rsid w:val="42D78C41"/>
    <w:rsid w:val="42EE0683"/>
    <w:rsid w:val="42F29CCA"/>
    <w:rsid w:val="42F8D5BB"/>
    <w:rsid w:val="43043001"/>
    <w:rsid w:val="43133B6F"/>
    <w:rsid w:val="43159B2D"/>
    <w:rsid w:val="433B7599"/>
    <w:rsid w:val="434672A1"/>
    <w:rsid w:val="434B5501"/>
    <w:rsid w:val="4352FBA5"/>
    <w:rsid w:val="4374F4BF"/>
    <w:rsid w:val="437F57E6"/>
    <w:rsid w:val="43A187A8"/>
    <w:rsid w:val="43BD9E81"/>
    <w:rsid w:val="43BF9341"/>
    <w:rsid w:val="43D31CBA"/>
    <w:rsid w:val="43DA366F"/>
    <w:rsid w:val="43F075CB"/>
    <w:rsid w:val="44277051"/>
    <w:rsid w:val="443E48D6"/>
    <w:rsid w:val="445411A3"/>
    <w:rsid w:val="4460B977"/>
    <w:rsid w:val="44654577"/>
    <w:rsid w:val="447F2A37"/>
    <w:rsid w:val="449BFFF9"/>
    <w:rsid w:val="44A93813"/>
    <w:rsid w:val="44A98E2A"/>
    <w:rsid w:val="44D1DCF4"/>
    <w:rsid w:val="44F67C3D"/>
    <w:rsid w:val="45030B46"/>
    <w:rsid w:val="450F779D"/>
    <w:rsid w:val="45141489"/>
    <w:rsid w:val="4523E3BA"/>
    <w:rsid w:val="45615810"/>
    <w:rsid w:val="4566C1FA"/>
    <w:rsid w:val="4568BE39"/>
    <w:rsid w:val="4571F071"/>
    <w:rsid w:val="457619FC"/>
    <w:rsid w:val="459113E1"/>
    <w:rsid w:val="45A7935B"/>
    <w:rsid w:val="45A96787"/>
    <w:rsid w:val="45B6A1D1"/>
    <w:rsid w:val="45CB358E"/>
    <w:rsid w:val="45CCFFCF"/>
    <w:rsid w:val="45CEDAD1"/>
    <w:rsid w:val="45E01C37"/>
    <w:rsid w:val="45E2F0FF"/>
    <w:rsid w:val="45E6485E"/>
    <w:rsid w:val="45F5C632"/>
    <w:rsid w:val="46274ED6"/>
    <w:rsid w:val="462DA17B"/>
    <w:rsid w:val="467BF18C"/>
    <w:rsid w:val="467D83F6"/>
    <w:rsid w:val="468784E0"/>
    <w:rsid w:val="46974959"/>
    <w:rsid w:val="469C4DDA"/>
    <w:rsid w:val="469C6EA8"/>
    <w:rsid w:val="469D6F33"/>
    <w:rsid w:val="46B3899D"/>
    <w:rsid w:val="46DED99F"/>
    <w:rsid w:val="46F06437"/>
    <w:rsid w:val="471259E0"/>
    <w:rsid w:val="47133DD9"/>
    <w:rsid w:val="4732F76C"/>
    <w:rsid w:val="47390B79"/>
    <w:rsid w:val="473FF6E0"/>
    <w:rsid w:val="47582D4C"/>
    <w:rsid w:val="476C82B9"/>
    <w:rsid w:val="476E140C"/>
    <w:rsid w:val="477D0575"/>
    <w:rsid w:val="478DCBD2"/>
    <w:rsid w:val="47B2F972"/>
    <w:rsid w:val="47BB4D8E"/>
    <w:rsid w:val="47BCD216"/>
    <w:rsid w:val="47E69D37"/>
    <w:rsid w:val="47F2686F"/>
    <w:rsid w:val="480ABCDA"/>
    <w:rsid w:val="482353B7"/>
    <w:rsid w:val="482CCA35"/>
    <w:rsid w:val="4833101B"/>
    <w:rsid w:val="4841599C"/>
    <w:rsid w:val="4850A4FE"/>
    <w:rsid w:val="4896B9F3"/>
    <w:rsid w:val="4898514D"/>
    <w:rsid w:val="489F2293"/>
    <w:rsid w:val="48A47334"/>
    <w:rsid w:val="48A9D6AB"/>
    <w:rsid w:val="48BD539E"/>
    <w:rsid w:val="48E19024"/>
    <w:rsid w:val="48F4E431"/>
    <w:rsid w:val="4916808B"/>
    <w:rsid w:val="491AE8E5"/>
    <w:rsid w:val="491BCBA5"/>
    <w:rsid w:val="492CF62A"/>
    <w:rsid w:val="49616627"/>
    <w:rsid w:val="496EF069"/>
    <w:rsid w:val="4976ECFC"/>
    <w:rsid w:val="49822DAA"/>
    <w:rsid w:val="49B4EF5A"/>
    <w:rsid w:val="49C28D39"/>
    <w:rsid w:val="49C44E9C"/>
    <w:rsid w:val="49E8D8CF"/>
    <w:rsid w:val="4A140BAE"/>
    <w:rsid w:val="4A174B72"/>
    <w:rsid w:val="4A20B1A6"/>
    <w:rsid w:val="4A2D62CF"/>
    <w:rsid w:val="4A59A586"/>
    <w:rsid w:val="4A63C6D7"/>
    <w:rsid w:val="4A744018"/>
    <w:rsid w:val="4A811437"/>
    <w:rsid w:val="4A9C8ECE"/>
    <w:rsid w:val="4AA9D588"/>
    <w:rsid w:val="4AD3D62F"/>
    <w:rsid w:val="4AD73FE1"/>
    <w:rsid w:val="4AE2066C"/>
    <w:rsid w:val="4B08A512"/>
    <w:rsid w:val="4B0C582A"/>
    <w:rsid w:val="4B4048BE"/>
    <w:rsid w:val="4B4CFC92"/>
    <w:rsid w:val="4B586905"/>
    <w:rsid w:val="4B6A5A19"/>
    <w:rsid w:val="4B7AEB6A"/>
    <w:rsid w:val="4B9CEC6C"/>
    <w:rsid w:val="4BB17A28"/>
    <w:rsid w:val="4BB5F614"/>
    <w:rsid w:val="4BBE879A"/>
    <w:rsid w:val="4BC21BC7"/>
    <w:rsid w:val="4BDB8710"/>
    <w:rsid w:val="4BDFD0E5"/>
    <w:rsid w:val="4BFB95C5"/>
    <w:rsid w:val="4BFFE9FC"/>
    <w:rsid w:val="4C19D799"/>
    <w:rsid w:val="4C1EAB39"/>
    <w:rsid w:val="4C2421B1"/>
    <w:rsid w:val="4C4796C2"/>
    <w:rsid w:val="4C4BBA1D"/>
    <w:rsid w:val="4C4D863E"/>
    <w:rsid w:val="4C4EA88F"/>
    <w:rsid w:val="4C4EB603"/>
    <w:rsid w:val="4C689208"/>
    <w:rsid w:val="4C7E8348"/>
    <w:rsid w:val="4C84C539"/>
    <w:rsid w:val="4C85DF8A"/>
    <w:rsid w:val="4C8AE40D"/>
    <w:rsid w:val="4CC5FD03"/>
    <w:rsid w:val="4CE67CC8"/>
    <w:rsid w:val="4CE9126B"/>
    <w:rsid w:val="4D19C0F8"/>
    <w:rsid w:val="4D2AE812"/>
    <w:rsid w:val="4D302AFF"/>
    <w:rsid w:val="4D56DFF1"/>
    <w:rsid w:val="4D58462C"/>
    <w:rsid w:val="4D5B4A75"/>
    <w:rsid w:val="4D7084FA"/>
    <w:rsid w:val="4D73C98D"/>
    <w:rsid w:val="4D82C321"/>
    <w:rsid w:val="4D97F921"/>
    <w:rsid w:val="4D9F2E7A"/>
    <w:rsid w:val="4DACD60A"/>
    <w:rsid w:val="4DAF200F"/>
    <w:rsid w:val="4DBD406B"/>
    <w:rsid w:val="4DC2C021"/>
    <w:rsid w:val="4DD3312B"/>
    <w:rsid w:val="4DDA4CEF"/>
    <w:rsid w:val="4DE82A18"/>
    <w:rsid w:val="4E2A2285"/>
    <w:rsid w:val="4E3139ED"/>
    <w:rsid w:val="4E4D7245"/>
    <w:rsid w:val="4E687251"/>
    <w:rsid w:val="4E6BA739"/>
    <w:rsid w:val="4E8B4DD1"/>
    <w:rsid w:val="4E9445EA"/>
    <w:rsid w:val="4E98FCB7"/>
    <w:rsid w:val="4EAFF7A4"/>
    <w:rsid w:val="4EB4E6B4"/>
    <w:rsid w:val="4EB5A96F"/>
    <w:rsid w:val="4EBA08FC"/>
    <w:rsid w:val="4EBFA225"/>
    <w:rsid w:val="4EC8EAF7"/>
    <w:rsid w:val="4ECCD10A"/>
    <w:rsid w:val="4ED1E560"/>
    <w:rsid w:val="4EDB9BA8"/>
    <w:rsid w:val="4EEB0015"/>
    <w:rsid w:val="4EFF9BD5"/>
    <w:rsid w:val="4F0C9EBE"/>
    <w:rsid w:val="4F0F7C4F"/>
    <w:rsid w:val="4F2E73EB"/>
    <w:rsid w:val="4F32DE02"/>
    <w:rsid w:val="4F3FA6E8"/>
    <w:rsid w:val="4F55B5CA"/>
    <w:rsid w:val="4F690F3D"/>
    <w:rsid w:val="4F8A53B4"/>
    <w:rsid w:val="4F9ECE6D"/>
    <w:rsid w:val="4F9F0BC8"/>
    <w:rsid w:val="4FAB0B34"/>
    <w:rsid w:val="4FB30B23"/>
    <w:rsid w:val="4FBB8954"/>
    <w:rsid w:val="4FC7D7F2"/>
    <w:rsid w:val="4FFD7FD5"/>
    <w:rsid w:val="5010DEB8"/>
    <w:rsid w:val="5027F599"/>
    <w:rsid w:val="50435551"/>
    <w:rsid w:val="505AC026"/>
    <w:rsid w:val="50A06517"/>
    <w:rsid w:val="50B107C7"/>
    <w:rsid w:val="50BF97CF"/>
    <w:rsid w:val="50C951A1"/>
    <w:rsid w:val="50D021F0"/>
    <w:rsid w:val="50D3F284"/>
    <w:rsid w:val="50E2DF22"/>
    <w:rsid w:val="50FB5933"/>
    <w:rsid w:val="510E422D"/>
    <w:rsid w:val="511C8FBB"/>
    <w:rsid w:val="512CA430"/>
    <w:rsid w:val="512EC0DD"/>
    <w:rsid w:val="5138BC15"/>
    <w:rsid w:val="514CAE7E"/>
    <w:rsid w:val="5151AEFE"/>
    <w:rsid w:val="515D36D1"/>
    <w:rsid w:val="51766DEA"/>
    <w:rsid w:val="51827FD6"/>
    <w:rsid w:val="518CCD29"/>
    <w:rsid w:val="518F22A0"/>
    <w:rsid w:val="51ACAF19"/>
    <w:rsid w:val="51ACF13B"/>
    <w:rsid w:val="51FF29DF"/>
    <w:rsid w:val="5221E000"/>
    <w:rsid w:val="525FE04D"/>
    <w:rsid w:val="526421A5"/>
    <w:rsid w:val="52793A00"/>
    <w:rsid w:val="52AE16E7"/>
    <w:rsid w:val="52D685BB"/>
    <w:rsid w:val="52E30B1B"/>
    <w:rsid w:val="5315B883"/>
    <w:rsid w:val="533D373F"/>
    <w:rsid w:val="5344005F"/>
    <w:rsid w:val="534E1EEB"/>
    <w:rsid w:val="535DF04B"/>
    <w:rsid w:val="53616FFB"/>
    <w:rsid w:val="537AF59B"/>
    <w:rsid w:val="53922C62"/>
    <w:rsid w:val="53BC5AE4"/>
    <w:rsid w:val="53C08AF7"/>
    <w:rsid w:val="53D0E078"/>
    <w:rsid w:val="541B3C2D"/>
    <w:rsid w:val="542ABAD4"/>
    <w:rsid w:val="54484B69"/>
    <w:rsid w:val="54511833"/>
    <w:rsid w:val="54512A94"/>
    <w:rsid w:val="545C71A1"/>
    <w:rsid w:val="545EFAA8"/>
    <w:rsid w:val="5464E43A"/>
    <w:rsid w:val="5465C058"/>
    <w:rsid w:val="546F398C"/>
    <w:rsid w:val="5472106C"/>
    <w:rsid w:val="547C229F"/>
    <w:rsid w:val="547EDB7C"/>
    <w:rsid w:val="5480A62A"/>
    <w:rsid w:val="548D9662"/>
    <w:rsid w:val="54922E0C"/>
    <w:rsid w:val="54A24CF7"/>
    <w:rsid w:val="54C6AF6E"/>
    <w:rsid w:val="54C94634"/>
    <w:rsid w:val="55139743"/>
    <w:rsid w:val="5521796F"/>
    <w:rsid w:val="552C80EB"/>
    <w:rsid w:val="55303C7A"/>
    <w:rsid w:val="553D5A24"/>
    <w:rsid w:val="55478AD1"/>
    <w:rsid w:val="554BB66B"/>
    <w:rsid w:val="554CFA8E"/>
    <w:rsid w:val="555E5DBF"/>
    <w:rsid w:val="556869FD"/>
    <w:rsid w:val="5580D581"/>
    <w:rsid w:val="55962370"/>
    <w:rsid w:val="559BD219"/>
    <w:rsid w:val="55AB4FC0"/>
    <w:rsid w:val="55AFF63F"/>
    <w:rsid w:val="55EADD42"/>
    <w:rsid w:val="56054A0D"/>
    <w:rsid w:val="56338212"/>
    <w:rsid w:val="564483FC"/>
    <w:rsid w:val="565D6BEA"/>
    <w:rsid w:val="566729CA"/>
    <w:rsid w:val="5683111B"/>
    <w:rsid w:val="568E75AA"/>
    <w:rsid w:val="56BEF7D8"/>
    <w:rsid w:val="56EEB58B"/>
    <w:rsid w:val="56FEAAC4"/>
    <w:rsid w:val="571CF284"/>
    <w:rsid w:val="571F27E0"/>
    <w:rsid w:val="573004B4"/>
    <w:rsid w:val="5732ACA4"/>
    <w:rsid w:val="5732D1B0"/>
    <w:rsid w:val="57474317"/>
    <w:rsid w:val="574AEDFA"/>
    <w:rsid w:val="574DEBE6"/>
    <w:rsid w:val="578000AC"/>
    <w:rsid w:val="578BB4C5"/>
    <w:rsid w:val="57B0A945"/>
    <w:rsid w:val="57B9E38C"/>
    <w:rsid w:val="57C7FAB6"/>
    <w:rsid w:val="57D67DD0"/>
    <w:rsid w:val="57DCB4B6"/>
    <w:rsid w:val="57DEC345"/>
    <w:rsid w:val="58360F01"/>
    <w:rsid w:val="58492FEB"/>
    <w:rsid w:val="586690A5"/>
    <w:rsid w:val="5868AD4C"/>
    <w:rsid w:val="586A349D"/>
    <w:rsid w:val="5877B136"/>
    <w:rsid w:val="58A16222"/>
    <w:rsid w:val="58AE2366"/>
    <w:rsid w:val="58B11EA1"/>
    <w:rsid w:val="58CB5256"/>
    <w:rsid w:val="58E601C5"/>
    <w:rsid w:val="58E6FD18"/>
    <w:rsid w:val="58FAAF35"/>
    <w:rsid w:val="5923A783"/>
    <w:rsid w:val="59242038"/>
    <w:rsid w:val="594486C0"/>
    <w:rsid w:val="594C96D3"/>
    <w:rsid w:val="596688AD"/>
    <w:rsid w:val="5981CE04"/>
    <w:rsid w:val="599C28AC"/>
    <w:rsid w:val="59A5A3FE"/>
    <w:rsid w:val="59AD0B8E"/>
    <w:rsid w:val="59AEA25C"/>
    <w:rsid w:val="59B3F5B8"/>
    <w:rsid w:val="59BCAF12"/>
    <w:rsid w:val="5A02F5D5"/>
    <w:rsid w:val="5A0301D5"/>
    <w:rsid w:val="5A038469"/>
    <w:rsid w:val="5A0F6A7E"/>
    <w:rsid w:val="5A19C425"/>
    <w:rsid w:val="5A1D9BC6"/>
    <w:rsid w:val="5A2C5557"/>
    <w:rsid w:val="5A398E85"/>
    <w:rsid w:val="5A3E63C7"/>
    <w:rsid w:val="5A4D5716"/>
    <w:rsid w:val="5A5125AF"/>
    <w:rsid w:val="5A61D101"/>
    <w:rsid w:val="5A730D71"/>
    <w:rsid w:val="5A85744E"/>
    <w:rsid w:val="5A87D01A"/>
    <w:rsid w:val="5A9C2FE8"/>
    <w:rsid w:val="5AA99D52"/>
    <w:rsid w:val="5AAFF86A"/>
    <w:rsid w:val="5AB72662"/>
    <w:rsid w:val="5AC73AC9"/>
    <w:rsid w:val="5AC80FAD"/>
    <w:rsid w:val="5ACF9E81"/>
    <w:rsid w:val="5ADC8864"/>
    <w:rsid w:val="5ADF587E"/>
    <w:rsid w:val="5AF3C29F"/>
    <w:rsid w:val="5AF9D0A6"/>
    <w:rsid w:val="5B0D62E4"/>
    <w:rsid w:val="5B35FDD6"/>
    <w:rsid w:val="5B3C59CF"/>
    <w:rsid w:val="5B4B31AF"/>
    <w:rsid w:val="5B55789C"/>
    <w:rsid w:val="5B5B9A02"/>
    <w:rsid w:val="5B616F31"/>
    <w:rsid w:val="5B64E337"/>
    <w:rsid w:val="5B68419D"/>
    <w:rsid w:val="5B905830"/>
    <w:rsid w:val="5B9AD8BE"/>
    <w:rsid w:val="5B9E229B"/>
    <w:rsid w:val="5BA378FC"/>
    <w:rsid w:val="5BAEFE90"/>
    <w:rsid w:val="5BD21599"/>
    <w:rsid w:val="5C194EDE"/>
    <w:rsid w:val="5C30A7AE"/>
    <w:rsid w:val="5C358DB8"/>
    <w:rsid w:val="5C39D284"/>
    <w:rsid w:val="5C642918"/>
    <w:rsid w:val="5C79513B"/>
    <w:rsid w:val="5C84ECF3"/>
    <w:rsid w:val="5CAA9425"/>
    <w:rsid w:val="5CAB74BC"/>
    <w:rsid w:val="5D217597"/>
    <w:rsid w:val="5D2820AB"/>
    <w:rsid w:val="5D37BD93"/>
    <w:rsid w:val="5D3ADC3B"/>
    <w:rsid w:val="5D3FF582"/>
    <w:rsid w:val="5D4587E8"/>
    <w:rsid w:val="5D71ECE4"/>
    <w:rsid w:val="5D7B03C6"/>
    <w:rsid w:val="5D868E67"/>
    <w:rsid w:val="5D9187DB"/>
    <w:rsid w:val="5D971E7B"/>
    <w:rsid w:val="5DA0348C"/>
    <w:rsid w:val="5DA5949D"/>
    <w:rsid w:val="5DBCB7EE"/>
    <w:rsid w:val="5DD5F338"/>
    <w:rsid w:val="5DD78738"/>
    <w:rsid w:val="5DDCB107"/>
    <w:rsid w:val="5DE82D8D"/>
    <w:rsid w:val="5DF15A23"/>
    <w:rsid w:val="5DFE6795"/>
    <w:rsid w:val="5E162DE4"/>
    <w:rsid w:val="5E1A7ED1"/>
    <w:rsid w:val="5E2D53FF"/>
    <w:rsid w:val="5E30465E"/>
    <w:rsid w:val="5E479B0D"/>
    <w:rsid w:val="5E6D1004"/>
    <w:rsid w:val="5E8BA401"/>
    <w:rsid w:val="5EB0C515"/>
    <w:rsid w:val="5EB5F3A3"/>
    <w:rsid w:val="5ECFCE8E"/>
    <w:rsid w:val="5EE44382"/>
    <w:rsid w:val="5EF2F389"/>
    <w:rsid w:val="5EFA8F57"/>
    <w:rsid w:val="5F02C731"/>
    <w:rsid w:val="5F18C0B5"/>
    <w:rsid w:val="5F1B8EEF"/>
    <w:rsid w:val="5F4027F8"/>
    <w:rsid w:val="5F41B193"/>
    <w:rsid w:val="5F48318B"/>
    <w:rsid w:val="5F5EE2A7"/>
    <w:rsid w:val="5F7FAF88"/>
    <w:rsid w:val="5F863EC5"/>
    <w:rsid w:val="5FA0FB82"/>
    <w:rsid w:val="5FA2D866"/>
    <w:rsid w:val="5FB27EA3"/>
    <w:rsid w:val="5FCBE35B"/>
    <w:rsid w:val="5FD1051F"/>
    <w:rsid w:val="5FDC98B1"/>
    <w:rsid w:val="5FF66167"/>
    <w:rsid w:val="600DDA25"/>
    <w:rsid w:val="601D5392"/>
    <w:rsid w:val="603C1700"/>
    <w:rsid w:val="603F9D8D"/>
    <w:rsid w:val="60608A37"/>
    <w:rsid w:val="607EF403"/>
    <w:rsid w:val="6092AECF"/>
    <w:rsid w:val="609BC5B0"/>
    <w:rsid w:val="60A079DB"/>
    <w:rsid w:val="60A18FC1"/>
    <w:rsid w:val="60ADCB34"/>
    <w:rsid w:val="60B7C55B"/>
    <w:rsid w:val="60BE948E"/>
    <w:rsid w:val="60CC737D"/>
    <w:rsid w:val="60DAA71B"/>
    <w:rsid w:val="61015F3C"/>
    <w:rsid w:val="6112510B"/>
    <w:rsid w:val="611B3561"/>
    <w:rsid w:val="61254DA3"/>
    <w:rsid w:val="612F5C3C"/>
    <w:rsid w:val="616259C2"/>
    <w:rsid w:val="61629F7C"/>
    <w:rsid w:val="6168807E"/>
    <w:rsid w:val="61734C67"/>
    <w:rsid w:val="6193C250"/>
    <w:rsid w:val="6194F637"/>
    <w:rsid w:val="61A51809"/>
    <w:rsid w:val="61B37F05"/>
    <w:rsid w:val="61DC32A8"/>
    <w:rsid w:val="61DCA1E0"/>
    <w:rsid w:val="61E1E6AA"/>
    <w:rsid w:val="61FEBD05"/>
    <w:rsid w:val="6210B965"/>
    <w:rsid w:val="62136032"/>
    <w:rsid w:val="621AC464"/>
    <w:rsid w:val="624F26AC"/>
    <w:rsid w:val="625A220E"/>
    <w:rsid w:val="627237EE"/>
    <w:rsid w:val="627AB927"/>
    <w:rsid w:val="6285727A"/>
    <w:rsid w:val="62D5817D"/>
    <w:rsid w:val="62E7659C"/>
    <w:rsid w:val="62E8981D"/>
    <w:rsid w:val="631791F1"/>
    <w:rsid w:val="63246593"/>
    <w:rsid w:val="6343DC78"/>
    <w:rsid w:val="63467923"/>
    <w:rsid w:val="6378A591"/>
    <w:rsid w:val="637F7445"/>
    <w:rsid w:val="63836927"/>
    <w:rsid w:val="63E7A49D"/>
    <w:rsid w:val="63EFD933"/>
    <w:rsid w:val="63F6AC8C"/>
    <w:rsid w:val="63FE1B6A"/>
    <w:rsid w:val="642A45FD"/>
    <w:rsid w:val="64445E4C"/>
    <w:rsid w:val="6444E486"/>
    <w:rsid w:val="6446411A"/>
    <w:rsid w:val="645630A6"/>
    <w:rsid w:val="6464BA3D"/>
    <w:rsid w:val="647A1393"/>
    <w:rsid w:val="6484ACA6"/>
    <w:rsid w:val="648CA432"/>
    <w:rsid w:val="64939645"/>
    <w:rsid w:val="6499D71A"/>
    <w:rsid w:val="64A6B644"/>
    <w:rsid w:val="64B840FF"/>
    <w:rsid w:val="64CC6E31"/>
    <w:rsid w:val="64ED917A"/>
    <w:rsid w:val="64F89BCD"/>
    <w:rsid w:val="64FB85DF"/>
    <w:rsid w:val="6508CAEF"/>
    <w:rsid w:val="65097EEC"/>
    <w:rsid w:val="6511C90E"/>
    <w:rsid w:val="65219590"/>
    <w:rsid w:val="653A7EE8"/>
    <w:rsid w:val="655FB4F9"/>
    <w:rsid w:val="657809E9"/>
    <w:rsid w:val="657897B2"/>
    <w:rsid w:val="6578BB92"/>
    <w:rsid w:val="658C3814"/>
    <w:rsid w:val="65922734"/>
    <w:rsid w:val="65A2AB94"/>
    <w:rsid w:val="65C4FFC7"/>
    <w:rsid w:val="65D478A3"/>
    <w:rsid w:val="65DCE303"/>
    <w:rsid w:val="65DD3367"/>
    <w:rsid w:val="66076C9B"/>
    <w:rsid w:val="664D8CDF"/>
    <w:rsid w:val="665C336C"/>
    <w:rsid w:val="665DD1A1"/>
    <w:rsid w:val="6665577C"/>
    <w:rsid w:val="66796775"/>
    <w:rsid w:val="66852D03"/>
    <w:rsid w:val="66B28438"/>
    <w:rsid w:val="66BFA292"/>
    <w:rsid w:val="66C0D6F9"/>
    <w:rsid w:val="66D466FA"/>
    <w:rsid w:val="66DBC53F"/>
    <w:rsid w:val="66F61283"/>
    <w:rsid w:val="67057B73"/>
    <w:rsid w:val="6708326C"/>
    <w:rsid w:val="67101A4D"/>
    <w:rsid w:val="6711A61D"/>
    <w:rsid w:val="6726CAE2"/>
    <w:rsid w:val="6729CAF7"/>
    <w:rsid w:val="673C12EE"/>
    <w:rsid w:val="6748BBC9"/>
    <w:rsid w:val="678699F1"/>
    <w:rsid w:val="67927517"/>
    <w:rsid w:val="679462DD"/>
    <w:rsid w:val="67B2B2E1"/>
    <w:rsid w:val="67C3ACE3"/>
    <w:rsid w:val="67CCE303"/>
    <w:rsid w:val="67D2EDF0"/>
    <w:rsid w:val="67E023FD"/>
    <w:rsid w:val="67F7700F"/>
    <w:rsid w:val="68040EF3"/>
    <w:rsid w:val="680F6015"/>
    <w:rsid w:val="682094C0"/>
    <w:rsid w:val="68296880"/>
    <w:rsid w:val="6833B044"/>
    <w:rsid w:val="68498DB9"/>
    <w:rsid w:val="684F220C"/>
    <w:rsid w:val="6858A8B7"/>
    <w:rsid w:val="685E6D2A"/>
    <w:rsid w:val="6866C71D"/>
    <w:rsid w:val="686CED60"/>
    <w:rsid w:val="68AFD87C"/>
    <w:rsid w:val="68B03164"/>
    <w:rsid w:val="68B19789"/>
    <w:rsid w:val="68B80831"/>
    <w:rsid w:val="68BF1E79"/>
    <w:rsid w:val="68F24240"/>
    <w:rsid w:val="690E0EEA"/>
    <w:rsid w:val="691931B4"/>
    <w:rsid w:val="69211BAF"/>
    <w:rsid w:val="6927732F"/>
    <w:rsid w:val="693C699A"/>
    <w:rsid w:val="6959899B"/>
    <w:rsid w:val="696F97C9"/>
    <w:rsid w:val="69797CEB"/>
    <w:rsid w:val="699C036B"/>
    <w:rsid w:val="699FDF54"/>
    <w:rsid w:val="69BA79E6"/>
    <w:rsid w:val="69C142B5"/>
    <w:rsid w:val="69E6D526"/>
    <w:rsid w:val="69F4AFD0"/>
    <w:rsid w:val="69FAB9C8"/>
    <w:rsid w:val="69FAEEEC"/>
    <w:rsid w:val="6A37D2BD"/>
    <w:rsid w:val="6A3E5CD9"/>
    <w:rsid w:val="6A437E86"/>
    <w:rsid w:val="6A4B5339"/>
    <w:rsid w:val="6A4E73D5"/>
    <w:rsid w:val="6A6D77C4"/>
    <w:rsid w:val="6A72A8A6"/>
    <w:rsid w:val="6A7DC915"/>
    <w:rsid w:val="6A8677E3"/>
    <w:rsid w:val="6AA227FF"/>
    <w:rsid w:val="6AB74C0B"/>
    <w:rsid w:val="6AB80DA8"/>
    <w:rsid w:val="6B3112D9"/>
    <w:rsid w:val="6B5B7AC6"/>
    <w:rsid w:val="6B71C227"/>
    <w:rsid w:val="6B735C19"/>
    <w:rsid w:val="6B769D92"/>
    <w:rsid w:val="6B79B496"/>
    <w:rsid w:val="6B7CDA7F"/>
    <w:rsid w:val="6B808C0F"/>
    <w:rsid w:val="6B9D1CA4"/>
    <w:rsid w:val="6B9F78CF"/>
    <w:rsid w:val="6BA88D4C"/>
    <w:rsid w:val="6BA9D962"/>
    <w:rsid w:val="6BB485A5"/>
    <w:rsid w:val="6BB9DE0C"/>
    <w:rsid w:val="6BE8566E"/>
    <w:rsid w:val="6BF21D77"/>
    <w:rsid w:val="6BF6ACB9"/>
    <w:rsid w:val="6BF76692"/>
    <w:rsid w:val="6BFCFC6A"/>
    <w:rsid w:val="6C0B03F3"/>
    <w:rsid w:val="6C0D0E0A"/>
    <w:rsid w:val="6C0FA146"/>
    <w:rsid w:val="6C130873"/>
    <w:rsid w:val="6C19CBB0"/>
    <w:rsid w:val="6C29E302"/>
    <w:rsid w:val="6C2EC7BB"/>
    <w:rsid w:val="6C329185"/>
    <w:rsid w:val="6C5434DA"/>
    <w:rsid w:val="6C54A3D4"/>
    <w:rsid w:val="6C6603F3"/>
    <w:rsid w:val="6CAE204C"/>
    <w:rsid w:val="6CB7FB20"/>
    <w:rsid w:val="6CBD5628"/>
    <w:rsid w:val="6CC067FB"/>
    <w:rsid w:val="6CEE028F"/>
    <w:rsid w:val="6D2D4CDB"/>
    <w:rsid w:val="6D73BAAC"/>
    <w:rsid w:val="6DB7A221"/>
    <w:rsid w:val="6DBC2C27"/>
    <w:rsid w:val="6DC98779"/>
    <w:rsid w:val="6DE3F024"/>
    <w:rsid w:val="6DEDE802"/>
    <w:rsid w:val="6DFCAC24"/>
    <w:rsid w:val="6DFF4782"/>
    <w:rsid w:val="6E160B85"/>
    <w:rsid w:val="6E2E950F"/>
    <w:rsid w:val="6E430836"/>
    <w:rsid w:val="6E508DFE"/>
    <w:rsid w:val="6E567E8B"/>
    <w:rsid w:val="6E73A045"/>
    <w:rsid w:val="6E787F5A"/>
    <w:rsid w:val="6E92778F"/>
    <w:rsid w:val="6E938B0F"/>
    <w:rsid w:val="6E9626A1"/>
    <w:rsid w:val="6E9FD4F8"/>
    <w:rsid w:val="6ECE48CA"/>
    <w:rsid w:val="6F00FE4C"/>
    <w:rsid w:val="6F113D84"/>
    <w:rsid w:val="6F1CC50A"/>
    <w:rsid w:val="6F1CE807"/>
    <w:rsid w:val="6F23A7AF"/>
    <w:rsid w:val="6F28EB62"/>
    <w:rsid w:val="6F2C12A1"/>
    <w:rsid w:val="6F2CA768"/>
    <w:rsid w:val="6F2E70F7"/>
    <w:rsid w:val="6F39B3B9"/>
    <w:rsid w:val="6F3B453F"/>
    <w:rsid w:val="6F47B6EC"/>
    <w:rsid w:val="6F50F8F3"/>
    <w:rsid w:val="6F6B3C5B"/>
    <w:rsid w:val="6F713624"/>
    <w:rsid w:val="6F71F073"/>
    <w:rsid w:val="6F7D4194"/>
    <w:rsid w:val="6F9E96A2"/>
    <w:rsid w:val="6FAEB954"/>
    <w:rsid w:val="6FB50453"/>
    <w:rsid w:val="6FB61A5A"/>
    <w:rsid w:val="6FDD12AC"/>
    <w:rsid w:val="6FF1E76E"/>
    <w:rsid w:val="6FF7EA9A"/>
    <w:rsid w:val="6FFC3894"/>
    <w:rsid w:val="6FFDCC3C"/>
    <w:rsid w:val="7011C698"/>
    <w:rsid w:val="702D39BD"/>
    <w:rsid w:val="70797086"/>
    <w:rsid w:val="707E9D86"/>
    <w:rsid w:val="70844A83"/>
    <w:rsid w:val="708855C5"/>
    <w:rsid w:val="708B0578"/>
    <w:rsid w:val="708F5202"/>
    <w:rsid w:val="708FF7D0"/>
    <w:rsid w:val="709DE092"/>
    <w:rsid w:val="709FD018"/>
    <w:rsid w:val="70AA7EF1"/>
    <w:rsid w:val="70BD65FF"/>
    <w:rsid w:val="70BDA3BB"/>
    <w:rsid w:val="70CC9C42"/>
    <w:rsid w:val="70D570A0"/>
    <w:rsid w:val="70DF2864"/>
    <w:rsid w:val="70E9BB6E"/>
    <w:rsid w:val="70FB2CF9"/>
    <w:rsid w:val="70FE9885"/>
    <w:rsid w:val="7106EB27"/>
    <w:rsid w:val="710768C2"/>
    <w:rsid w:val="7167C552"/>
    <w:rsid w:val="717D9BAA"/>
    <w:rsid w:val="718EC952"/>
    <w:rsid w:val="71A61429"/>
    <w:rsid w:val="71BE2FE1"/>
    <w:rsid w:val="71CA22C6"/>
    <w:rsid w:val="71D31418"/>
    <w:rsid w:val="71D8C7A1"/>
    <w:rsid w:val="71E103D0"/>
    <w:rsid w:val="71F92C49"/>
    <w:rsid w:val="72002EE1"/>
    <w:rsid w:val="7206617D"/>
    <w:rsid w:val="7215ABC0"/>
    <w:rsid w:val="722EF66E"/>
    <w:rsid w:val="725E4359"/>
    <w:rsid w:val="7273D39B"/>
    <w:rsid w:val="728245AF"/>
    <w:rsid w:val="72863A4F"/>
    <w:rsid w:val="728877F2"/>
    <w:rsid w:val="7291C65D"/>
    <w:rsid w:val="7298CA77"/>
    <w:rsid w:val="72A26731"/>
    <w:rsid w:val="72CF032F"/>
    <w:rsid w:val="72D7886B"/>
    <w:rsid w:val="72EB83C2"/>
    <w:rsid w:val="7308EE2C"/>
    <w:rsid w:val="731F5875"/>
    <w:rsid w:val="732C9248"/>
    <w:rsid w:val="73615820"/>
    <w:rsid w:val="7362496F"/>
    <w:rsid w:val="73636A4E"/>
    <w:rsid w:val="7382AFD3"/>
    <w:rsid w:val="739D2CC3"/>
    <w:rsid w:val="73CECF4B"/>
    <w:rsid w:val="73D4DAC2"/>
    <w:rsid w:val="7429E71B"/>
    <w:rsid w:val="74449159"/>
    <w:rsid w:val="744BD353"/>
    <w:rsid w:val="744F24BD"/>
    <w:rsid w:val="748D291C"/>
    <w:rsid w:val="7496B6A9"/>
    <w:rsid w:val="7497B696"/>
    <w:rsid w:val="749FA953"/>
    <w:rsid w:val="74CB2EC0"/>
    <w:rsid w:val="74F20333"/>
    <w:rsid w:val="74F5D0A3"/>
    <w:rsid w:val="75084B34"/>
    <w:rsid w:val="752E0162"/>
    <w:rsid w:val="752EAF6C"/>
    <w:rsid w:val="752ECB0A"/>
    <w:rsid w:val="753295FB"/>
    <w:rsid w:val="7536F2DD"/>
    <w:rsid w:val="7543EFA7"/>
    <w:rsid w:val="7560E945"/>
    <w:rsid w:val="758EEBB4"/>
    <w:rsid w:val="75909F22"/>
    <w:rsid w:val="75A3F17A"/>
    <w:rsid w:val="75A6BA4B"/>
    <w:rsid w:val="75B9A30B"/>
    <w:rsid w:val="75C46A85"/>
    <w:rsid w:val="75DD56C9"/>
    <w:rsid w:val="76503A66"/>
    <w:rsid w:val="76529E62"/>
    <w:rsid w:val="76862CC9"/>
    <w:rsid w:val="76933BFF"/>
    <w:rsid w:val="769ED8FE"/>
    <w:rsid w:val="76A3BA6F"/>
    <w:rsid w:val="76C42E2C"/>
    <w:rsid w:val="76DAB0D6"/>
    <w:rsid w:val="76DE453D"/>
    <w:rsid w:val="76EEBD5E"/>
    <w:rsid w:val="770F59C6"/>
    <w:rsid w:val="7716F58F"/>
    <w:rsid w:val="771996F2"/>
    <w:rsid w:val="771F471B"/>
    <w:rsid w:val="7723420E"/>
    <w:rsid w:val="7739299B"/>
    <w:rsid w:val="773EFDF2"/>
    <w:rsid w:val="7753133D"/>
    <w:rsid w:val="77561958"/>
    <w:rsid w:val="7777AE88"/>
    <w:rsid w:val="77854EBD"/>
    <w:rsid w:val="77AA5FB3"/>
    <w:rsid w:val="77B93F31"/>
    <w:rsid w:val="77D54666"/>
    <w:rsid w:val="77E31D22"/>
    <w:rsid w:val="77E493D3"/>
    <w:rsid w:val="77ED287A"/>
    <w:rsid w:val="782637EE"/>
    <w:rsid w:val="784FE46D"/>
    <w:rsid w:val="7869E5DA"/>
    <w:rsid w:val="7870E9DB"/>
    <w:rsid w:val="78AD44AB"/>
    <w:rsid w:val="78B07273"/>
    <w:rsid w:val="78B490E7"/>
    <w:rsid w:val="78D268B5"/>
    <w:rsid w:val="78D61DF7"/>
    <w:rsid w:val="79088D58"/>
    <w:rsid w:val="79182C98"/>
    <w:rsid w:val="79238B2A"/>
    <w:rsid w:val="7924F1C0"/>
    <w:rsid w:val="79421BFF"/>
    <w:rsid w:val="794E50E6"/>
    <w:rsid w:val="79510A36"/>
    <w:rsid w:val="7951E462"/>
    <w:rsid w:val="7973F077"/>
    <w:rsid w:val="797818A9"/>
    <w:rsid w:val="798FF3A8"/>
    <w:rsid w:val="799FBCB1"/>
    <w:rsid w:val="79A967FB"/>
    <w:rsid w:val="79CF67E9"/>
    <w:rsid w:val="79D533C0"/>
    <w:rsid w:val="79D6F89B"/>
    <w:rsid w:val="79DAD4D4"/>
    <w:rsid w:val="79DC6032"/>
    <w:rsid w:val="79F35D93"/>
    <w:rsid w:val="79F5D01D"/>
    <w:rsid w:val="79F7A183"/>
    <w:rsid w:val="7A002BA4"/>
    <w:rsid w:val="7A0573C3"/>
    <w:rsid w:val="7A2A1939"/>
    <w:rsid w:val="7A329821"/>
    <w:rsid w:val="7A3C94E5"/>
    <w:rsid w:val="7A856BE9"/>
    <w:rsid w:val="7A9F2F10"/>
    <w:rsid w:val="7AA4D8F5"/>
    <w:rsid w:val="7AB0E5F0"/>
    <w:rsid w:val="7ABE3DAC"/>
    <w:rsid w:val="7AC54ED1"/>
    <w:rsid w:val="7AC8D1DE"/>
    <w:rsid w:val="7ADA3741"/>
    <w:rsid w:val="7AE318A7"/>
    <w:rsid w:val="7AE3CDE0"/>
    <w:rsid w:val="7AFE1847"/>
    <w:rsid w:val="7B051565"/>
    <w:rsid w:val="7B16231E"/>
    <w:rsid w:val="7B1EE68C"/>
    <w:rsid w:val="7B287E6F"/>
    <w:rsid w:val="7B2BCF50"/>
    <w:rsid w:val="7B2E49AF"/>
    <w:rsid w:val="7B300191"/>
    <w:rsid w:val="7B3570C4"/>
    <w:rsid w:val="7B4B3046"/>
    <w:rsid w:val="7B60B590"/>
    <w:rsid w:val="7B72C5B0"/>
    <w:rsid w:val="7B7AA314"/>
    <w:rsid w:val="7B82D2FB"/>
    <w:rsid w:val="7B9D8087"/>
    <w:rsid w:val="7BAECF00"/>
    <w:rsid w:val="7BCA298B"/>
    <w:rsid w:val="7BCB9822"/>
    <w:rsid w:val="7BD355D9"/>
    <w:rsid w:val="7BE8A0DE"/>
    <w:rsid w:val="7BEEFC41"/>
    <w:rsid w:val="7BF6380B"/>
    <w:rsid w:val="7BF6839E"/>
    <w:rsid w:val="7BFADFBE"/>
    <w:rsid w:val="7BFAE4E1"/>
    <w:rsid w:val="7C014994"/>
    <w:rsid w:val="7C018D84"/>
    <w:rsid w:val="7C1E25BB"/>
    <w:rsid w:val="7C3976C1"/>
    <w:rsid w:val="7C3C516C"/>
    <w:rsid w:val="7C6ABA64"/>
    <w:rsid w:val="7C870FB5"/>
    <w:rsid w:val="7CB4BE45"/>
    <w:rsid w:val="7CBA8A60"/>
    <w:rsid w:val="7CCA65A5"/>
    <w:rsid w:val="7CD789E6"/>
    <w:rsid w:val="7CD79C92"/>
    <w:rsid w:val="7CD8B276"/>
    <w:rsid w:val="7CFC73A4"/>
    <w:rsid w:val="7CFEBAA2"/>
    <w:rsid w:val="7D0708AB"/>
    <w:rsid w:val="7D1E5A96"/>
    <w:rsid w:val="7D1E633C"/>
    <w:rsid w:val="7D318C27"/>
    <w:rsid w:val="7D39AD20"/>
    <w:rsid w:val="7D50FAD6"/>
    <w:rsid w:val="7D690FBA"/>
    <w:rsid w:val="7D747F46"/>
    <w:rsid w:val="7D814B6C"/>
    <w:rsid w:val="7D8C4C72"/>
    <w:rsid w:val="7DA07DC7"/>
    <w:rsid w:val="7DB27C9C"/>
    <w:rsid w:val="7DD7A0AD"/>
    <w:rsid w:val="7DDEF805"/>
    <w:rsid w:val="7DE9EFCD"/>
    <w:rsid w:val="7DF1AD92"/>
    <w:rsid w:val="7E193D0C"/>
    <w:rsid w:val="7E21FFED"/>
    <w:rsid w:val="7E4FF8A3"/>
    <w:rsid w:val="7E53BEDE"/>
    <w:rsid w:val="7E5915A6"/>
    <w:rsid w:val="7E8B00C5"/>
    <w:rsid w:val="7E948622"/>
    <w:rsid w:val="7E9A2A0D"/>
    <w:rsid w:val="7EA04A74"/>
    <w:rsid w:val="7EA2D90C"/>
    <w:rsid w:val="7EA4DBEA"/>
    <w:rsid w:val="7EB617B4"/>
    <w:rsid w:val="7ECC4C21"/>
    <w:rsid w:val="7F003F7E"/>
    <w:rsid w:val="7F112A4C"/>
    <w:rsid w:val="7F1AE405"/>
    <w:rsid w:val="7F1DE412"/>
    <w:rsid w:val="7F31E0E4"/>
    <w:rsid w:val="7F3994A3"/>
    <w:rsid w:val="7F3A6DDE"/>
    <w:rsid w:val="7F3BE9B9"/>
    <w:rsid w:val="7F58AA55"/>
    <w:rsid w:val="7F5C7C6B"/>
    <w:rsid w:val="7F682D9D"/>
    <w:rsid w:val="7F6DD741"/>
    <w:rsid w:val="7F75D07B"/>
    <w:rsid w:val="7F774D7F"/>
    <w:rsid w:val="7F7E74EC"/>
    <w:rsid w:val="7F888133"/>
    <w:rsid w:val="7F921080"/>
    <w:rsid w:val="7FA23AC0"/>
    <w:rsid w:val="7FAE6EDA"/>
    <w:rsid w:val="7FBE69DE"/>
    <w:rsid w:val="7FC34C95"/>
    <w:rsid w:val="7FE7D299"/>
    <w:rsid w:val="7FFC353D"/>
    <w:rsid w:val="7FFE21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EB1CA2"/>
  <w15:chartTrackingRefBased/>
  <w15:docId w15:val="{E8790BB2-7A02-4DAF-8484-19C63BC5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27"/>
    <w:rPr>
      <w:rFonts w:ascii="Calibri" w:eastAsia="Calibri" w:hAnsi="Calibri" w:cs="Myanmar Text"/>
    </w:rPr>
  </w:style>
  <w:style w:type="paragraph" w:styleId="Heading1">
    <w:name w:val="heading 1"/>
    <w:basedOn w:val="Normal"/>
    <w:next w:val="Text1"/>
    <w:link w:val="Heading1Char"/>
    <w:uiPriority w:val="9"/>
    <w:qFormat/>
    <w:rsid w:val="007B4D63"/>
    <w:pPr>
      <w:keepNext/>
      <w:numPr>
        <w:numId w:val="9"/>
      </w:numPr>
      <w:tabs>
        <w:tab w:val="clear" w:pos="850"/>
        <w:tab w:val="num" w:pos="1984"/>
      </w:tabs>
      <w:spacing w:before="360" w:after="120" w:line="240" w:lineRule="auto"/>
      <w:ind w:left="1984" w:hanging="567"/>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rsid w:val="007B4D63"/>
    <w:pPr>
      <w:keepNext/>
      <w:numPr>
        <w:ilvl w:val="1"/>
        <w:numId w:val="9"/>
      </w:numPr>
      <w:tabs>
        <w:tab w:val="clear" w:pos="850"/>
        <w:tab w:val="num" w:pos="1984"/>
      </w:tabs>
      <w:spacing w:before="120" w:after="120" w:line="240" w:lineRule="auto"/>
      <w:ind w:left="1984" w:hanging="567"/>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rsid w:val="007B4D63"/>
    <w:pPr>
      <w:keepNext/>
      <w:numPr>
        <w:ilvl w:val="2"/>
        <w:numId w:val="9"/>
      </w:numPr>
      <w:tabs>
        <w:tab w:val="clear" w:pos="850"/>
        <w:tab w:val="num" w:pos="1984"/>
      </w:tabs>
      <w:spacing w:before="120" w:after="120" w:line="240" w:lineRule="auto"/>
      <w:ind w:left="1984" w:hanging="567"/>
      <w:jc w:val="both"/>
      <w:outlineLvl w:val="2"/>
    </w:pPr>
    <w:rPr>
      <w:rFonts w:ascii="Times New Roman" w:eastAsia="Times New Roman" w:hAnsi="Times New Roman" w:cs="Times New Roman"/>
      <w:bCs/>
      <w:i/>
      <w:sz w:val="24"/>
    </w:rPr>
  </w:style>
  <w:style w:type="paragraph" w:styleId="Heading4">
    <w:name w:val="heading 4"/>
    <w:basedOn w:val="Text1"/>
    <w:next w:val="Text1"/>
    <w:link w:val="Heading4Char"/>
    <w:uiPriority w:val="9"/>
    <w:unhideWhenUsed/>
    <w:qFormat/>
    <w:rsid w:val="00645BC7"/>
    <w:pPr>
      <w:ind w:left="680" w:firstLine="6"/>
      <w:outlineLvl w:val="3"/>
    </w:pPr>
    <w:rPr>
      <w:b/>
      <w:bCs/>
    </w:rPr>
  </w:style>
  <w:style w:type="paragraph" w:styleId="Heading5">
    <w:name w:val="heading 5"/>
    <w:basedOn w:val="Normal"/>
    <w:next w:val="Normal"/>
    <w:link w:val="Heading5Char"/>
    <w:uiPriority w:val="9"/>
    <w:unhideWhenUsed/>
    <w:qFormat/>
    <w:rsid w:val="00645BC7"/>
    <w:pPr>
      <w:keepNext/>
      <w:keepLines/>
      <w:spacing w:before="40" w:after="0" w:line="240" w:lineRule="auto"/>
      <w:jc w:val="both"/>
      <w:outlineLvl w:val="4"/>
    </w:pPr>
    <w:rPr>
      <w:rFonts w:ascii="Cambria" w:eastAsia="Times New Roman" w:hAnsi="Cambria"/>
      <w:color w:val="365F9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BC7"/>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rsid w:val="00645BC7"/>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645BC7"/>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rsid w:val="00645BC7"/>
    <w:rPr>
      <w:rFonts w:ascii="Times New Roman" w:eastAsia="Calibri" w:hAnsi="Times New Roman" w:cs="Times New Roman"/>
      <w:b/>
      <w:bCs/>
      <w:sz w:val="24"/>
      <w:lang w:val="et-EE"/>
    </w:rPr>
  </w:style>
  <w:style w:type="character" w:customStyle="1" w:styleId="Heading5Char">
    <w:name w:val="Heading 5 Char"/>
    <w:basedOn w:val="DefaultParagraphFont"/>
    <w:link w:val="Heading5"/>
    <w:uiPriority w:val="9"/>
    <w:rsid w:val="00645BC7"/>
    <w:rPr>
      <w:rFonts w:ascii="Cambria" w:eastAsia="Times New Roman" w:hAnsi="Cambria" w:cs="Myanmar Text"/>
      <w:color w:val="365F91"/>
      <w:sz w:val="24"/>
      <w:lang w:val="et-EE"/>
    </w:rPr>
  </w:style>
  <w:style w:type="numbering" w:customStyle="1" w:styleId="NoList1">
    <w:name w:val="No List1"/>
    <w:next w:val="NoList"/>
    <w:uiPriority w:val="99"/>
    <w:semiHidden/>
    <w:unhideWhenUsed/>
    <w:rsid w:val="00645BC7"/>
  </w:style>
  <w:style w:type="paragraph" w:styleId="Header">
    <w:name w:val="header"/>
    <w:basedOn w:val="Normal"/>
    <w:link w:val="HeaderChar"/>
    <w:uiPriority w:val="99"/>
    <w:unhideWhenUsed/>
    <w:rsid w:val="00645BC7"/>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645BC7"/>
    <w:rPr>
      <w:rFonts w:ascii="Times New Roman" w:eastAsia="Calibri" w:hAnsi="Times New Roman" w:cs="Times New Roman"/>
      <w:sz w:val="24"/>
      <w:lang w:val="et-EE"/>
    </w:rPr>
  </w:style>
  <w:style w:type="paragraph" w:styleId="Footer">
    <w:name w:val="footer"/>
    <w:basedOn w:val="Normal"/>
    <w:link w:val="FooterChar"/>
    <w:uiPriority w:val="99"/>
    <w:unhideWhenUsed/>
    <w:rsid w:val="00645BC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645BC7"/>
    <w:rPr>
      <w:rFonts w:ascii="Times New Roman" w:eastAsia="Calibri" w:hAnsi="Times New Roman" w:cs="Times New Roman"/>
      <w:sz w:val="24"/>
      <w:lang w:val="et-EE"/>
    </w:rPr>
  </w:style>
  <w:style w:type="paragraph" w:styleId="FootnoteText">
    <w:name w:val="footnote text"/>
    <w:basedOn w:val="Normal"/>
    <w:link w:val="FootnoteTextChar"/>
    <w:uiPriority w:val="99"/>
    <w:unhideWhenUsed/>
    <w:rsid w:val="006E0EA2"/>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45BC7"/>
    <w:rPr>
      <w:rFonts w:ascii="Times New Roman" w:eastAsia="Calibri" w:hAnsi="Times New Roman" w:cs="Times New Roman"/>
      <w:sz w:val="20"/>
      <w:szCs w:val="20"/>
    </w:rPr>
  </w:style>
  <w:style w:type="paragraph" w:styleId="TOCHeading">
    <w:name w:val="TOC Heading"/>
    <w:basedOn w:val="Normal"/>
    <w:next w:val="Normal"/>
    <w:uiPriority w:val="39"/>
    <w:semiHidden/>
    <w:unhideWhenUsed/>
    <w:qFormat/>
    <w:rsid w:val="00645BC7"/>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rsid w:val="00645BC7"/>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rsid w:val="00645BC7"/>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rsid w:val="00645BC7"/>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rsid w:val="00645BC7"/>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rsid w:val="00645BC7"/>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rsid w:val="00645BC7"/>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645BC7"/>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unhideWhenUsed/>
    <w:rsid w:val="006E0EA2"/>
    <w:rPr>
      <w:shd w:val="clear" w:color="auto" w:fill="auto"/>
      <w:vertAlign w:val="superscript"/>
    </w:rPr>
  </w:style>
  <w:style w:type="paragraph" w:customStyle="1" w:styleId="HeaderSensitivity">
    <w:name w:val="Header Sensitivity"/>
    <w:basedOn w:val="Normal"/>
    <w:rsid w:val="00645BC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CF7AB7"/>
    <w:pPr>
      <w:spacing w:after="120" w:line="240" w:lineRule="auto"/>
      <w:jc w:val="right"/>
    </w:pPr>
    <w:rPr>
      <w:rFonts w:ascii="Times New Roman" w:hAnsi="Times New Roman" w:cs="Times New Roman"/>
      <w:sz w:val="28"/>
    </w:rPr>
  </w:style>
  <w:style w:type="paragraph" w:customStyle="1" w:styleId="FooterSensitivity">
    <w:name w:val="Footer Sensitivity"/>
    <w:basedOn w:val="Normal"/>
    <w:rsid w:val="00645BC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rsid w:val="00645BC7"/>
    <w:pPr>
      <w:spacing w:before="120" w:after="120" w:line="240" w:lineRule="auto"/>
      <w:ind w:left="850"/>
      <w:jc w:val="both"/>
    </w:pPr>
    <w:rPr>
      <w:rFonts w:ascii="Times New Roman" w:hAnsi="Times New Roman" w:cs="Times New Roman"/>
      <w:sz w:val="24"/>
    </w:rPr>
  </w:style>
  <w:style w:type="paragraph" w:customStyle="1" w:styleId="Text2">
    <w:name w:val="Text 2"/>
    <w:basedOn w:val="Normal"/>
    <w:rsid w:val="00645BC7"/>
    <w:pPr>
      <w:spacing w:before="120" w:after="120" w:line="240" w:lineRule="auto"/>
      <w:ind w:left="1417"/>
      <w:jc w:val="both"/>
    </w:pPr>
    <w:rPr>
      <w:rFonts w:ascii="Times New Roman" w:hAnsi="Times New Roman" w:cs="Times New Roman"/>
      <w:sz w:val="24"/>
    </w:rPr>
  </w:style>
  <w:style w:type="paragraph" w:customStyle="1" w:styleId="Text3">
    <w:name w:val="Text 3"/>
    <w:basedOn w:val="Normal"/>
    <w:rsid w:val="00645BC7"/>
    <w:pPr>
      <w:spacing w:before="120" w:after="120" w:line="240" w:lineRule="auto"/>
      <w:ind w:left="1984"/>
      <w:jc w:val="both"/>
    </w:pPr>
    <w:rPr>
      <w:rFonts w:ascii="Times New Roman" w:hAnsi="Times New Roman" w:cs="Times New Roman"/>
      <w:sz w:val="24"/>
    </w:rPr>
  </w:style>
  <w:style w:type="paragraph" w:customStyle="1" w:styleId="Text4">
    <w:name w:val="Text 4"/>
    <w:basedOn w:val="Normal"/>
    <w:rsid w:val="00645BC7"/>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rsid w:val="00645BC7"/>
    <w:pPr>
      <w:spacing w:before="120" w:after="120" w:line="240" w:lineRule="auto"/>
      <w:jc w:val="center"/>
    </w:pPr>
    <w:rPr>
      <w:rFonts w:ascii="Times New Roman" w:hAnsi="Times New Roman" w:cs="Times New Roman"/>
      <w:sz w:val="24"/>
    </w:rPr>
  </w:style>
  <w:style w:type="paragraph" w:customStyle="1" w:styleId="NormalLeft">
    <w:name w:val="Normal Left"/>
    <w:basedOn w:val="Normal"/>
    <w:rsid w:val="00645BC7"/>
    <w:pPr>
      <w:spacing w:before="120" w:after="120" w:line="240" w:lineRule="auto"/>
    </w:pPr>
    <w:rPr>
      <w:rFonts w:ascii="Times New Roman" w:hAnsi="Times New Roman" w:cs="Times New Roman"/>
      <w:sz w:val="24"/>
    </w:rPr>
  </w:style>
  <w:style w:type="paragraph" w:customStyle="1" w:styleId="NormalRight">
    <w:name w:val="Normal Right"/>
    <w:basedOn w:val="Normal"/>
    <w:rsid w:val="00645BC7"/>
    <w:pPr>
      <w:spacing w:before="120" w:after="120" w:line="240" w:lineRule="auto"/>
      <w:jc w:val="right"/>
    </w:pPr>
    <w:rPr>
      <w:rFonts w:ascii="Times New Roman" w:hAnsi="Times New Roman" w:cs="Times New Roman"/>
      <w:sz w:val="24"/>
    </w:rPr>
  </w:style>
  <w:style w:type="paragraph" w:customStyle="1" w:styleId="QuotedText">
    <w:name w:val="Quoted Text"/>
    <w:basedOn w:val="Normal"/>
    <w:rsid w:val="00645BC7"/>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rsid w:val="00645BC7"/>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rsid w:val="00645BC7"/>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rsid w:val="00645BC7"/>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rsid w:val="00645BC7"/>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rsid w:val="00645BC7"/>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rsid w:val="007B4D63"/>
    <w:pPr>
      <w:numPr>
        <w:numId w:val="3"/>
      </w:numPr>
      <w:tabs>
        <w:tab w:val="clear" w:pos="850"/>
        <w:tab w:val="num" w:pos="3118"/>
      </w:tabs>
      <w:ind w:left="3118" w:hanging="567"/>
    </w:pPr>
  </w:style>
  <w:style w:type="paragraph" w:customStyle="1" w:styleId="Tiret1">
    <w:name w:val="Tiret 1"/>
    <w:basedOn w:val="Point1"/>
    <w:rsid w:val="007B4D63"/>
    <w:pPr>
      <w:numPr>
        <w:numId w:val="4"/>
      </w:numPr>
      <w:tabs>
        <w:tab w:val="clear" w:pos="1417"/>
        <w:tab w:val="num" w:pos="850"/>
      </w:tabs>
      <w:ind w:left="850" w:hanging="850"/>
    </w:pPr>
  </w:style>
  <w:style w:type="paragraph" w:customStyle="1" w:styleId="Tiret2">
    <w:name w:val="Tiret 2"/>
    <w:basedOn w:val="Point2"/>
    <w:rsid w:val="007B4D63"/>
    <w:pPr>
      <w:numPr>
        <w:numId w:val="5"/>
      </w:numPr>
      <w:tabs>
        <w:tab w:val="clear" w:pos="1984"/>
        <w:tab w:val="num" w:pos="850"/>
      </w:tabs>
      <w:ind w:left="850" w:hanging="850"/>
    </w:pPr>
  </w:style>
  <w:style w:type="paragraph" w:customStyle="1" w:styleId="Tiret3">
    <w:name w:val="Tiret 3"/>
    <w:basedOn w:val="Point3"/>
    <w:rsid w:val="007B4D63"/>
    <w:pPr>
      <w:numPr>
        <w:numId w:val="6"/>
      </w:numPr>
      <w:tabs>
        <w:tab w:val="clear" w:pos="2551"/>
        <w:tab w:val="num" w:pos="850"/>
      </w:tabs>
      <w:ind w:left="850" w:hanging="850"/>
    </w:pPr>
  </w:style>
  <w:style w:type="paragraph" w:customStyle="1" w:styleId="Tiret4">
    <w:name w:val="Tiret 4"/>
    <w:basedOn w:val="Point4"/>
    <w:rsid w:val="007B4D63"/>
    <w:pPr>
      <w:numPr>
        <w:numId w:val="7"/>
      </w:numPr>
      <w:tabs>
        <w:tab w:val="clear" w:pos="3118"/>
        <w:tab w:val="num" w:pos="850"/>
      </w:tabs>
      <w:ind w:left="850" w:hanging="850"/>
    </w:pPr>
  </w:style>
  <w:style w:type="paragraph" w:customStyle="1" w:styleId="PointDouble0">
    <w:name w:val="PointDouble 0"/>
    <w:basedOn w:val="Normal"/>
    <w:rsid w:val="00645BC7"/>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rsid w:val="00645BC7"/>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rsid w:val="00645BC7"/>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rsid w:val="00645BC7"/>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rsid w:val="00645BC7"/>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rsid w:val="00645BC7"/>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rsid w:val="00645BC7"/>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rsid w:val="00645BC7"/>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rsid w:val="00645BC7"/>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rsid w:val="00645BC7"/>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rsid w:val="007B4D63"/>
    <w:pPr>
      <w:numPr>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NumPar2">
    <w:name w:val="NumPar 2"/>
    <w:basedOn w:val="Normal"/>
    <w:next w:val="Text1"/>
    <w:rsid w:val="007B4D63"/>
    <w:pPr>
      <w:numPr>
        <w:ilvl w:val="1"/>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NumPar3">
    <w:name w:val="NumPar 3"/>
    <w:basedOn w:val="Normal"/>
    <w:next w:val="Text1"/>
    <w:rsid w:val="007B4D63"/>
    <w:pPr>
      <w:numPr>
        <w:ilvl w:val="2"/>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NumPar4">
    <w:name w:val="NumPar 4"/>
    <w:basedOn w:val="Normal"/>
    <w:next w:val="Text1"/>
    <w:rsid w:val="007B4D63"/>
    <w:pPr>
      <w:numPr>
        <w:ilvl w:val="3"/>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ManualNumPar1">
    <w:name w:val="Manual NumPar 1"/>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rsid w:val="00645BC7"/>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rsid w:val="00645BC7"/>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rsid w:val="00645BC7"/>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rsid w:val="00645BC7"/>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rsid w:val="00645BC7"/>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rsid w:val="00645BC7"/>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rsid w:val="00645BC7"/>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rsid w:val="00645BC7"/>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rsid w:val="00645BC7"/>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sid w:val="009D0F6E"/>
    <w:rPr>
      <w:color w:val="0000FF"/>
      <w:bdr w:val="none" w:sz="0" w:space="0" w:color="auto"/>
      <w:shd w:val="clear" w:color="auto" w:fill="auto"/>
    </w:rPr>
  </w:style>
  <w:style w:type="character" w:customStyle="1" w:styleId="Marker1">
    <w:name w:val="Marker1"/>
    <w:rsid w:val="00645BC7"/>
    <w:rPr>
      <w:color w:val="008000"/>
      <w:shd w:val="clear" w:color="auto" w:fill="auto"/>
    </w:rPr>
  </w:style>
  <w:style w:type="character" w:customStyle="1" w:styleId="Marker2">
    <w:name w:val="Marker2"/>
    <w:rsid w:val="00645BC7"/>
    <w:rPr>
      <w:color w:val="FF0000"/>
      <w:shd w:val="clear" w:color="auto" w:fill="auto"/>
    </w:rPr>
  </w:style>
  <w:style w:type="paragraph" w:customStyle="1" w:styleId="Point0number">
    <w:name w:val="Point 0 (number)"/>
    <w:basedOn w:val="Normal"/>
    <w:rsid w:val="007B4D63"/>
    <w:pPr>
      <w:numPr>
        <w:numId w:val="10"/>
      </w:numPr>
      <w:tabs>
        <w:tab w:val="clear" w:pos="850"/>
        <w:tab w:val="num" w:pos="2551"/>
      </w:tabs>
      <w:spacing w:before="120" w:after="120" w:line="240" w:lineRule="auto"/>
      <w:ind w:left="2551" w:hanging="567"/>
      <w:jc w:val="both"/>
    </w:pPr>
    <w:rPr>
      <w:rFonts w:ascii="Times New Roman" w:hAnsi="Times New Roman" w:cs="Times New Roman"/>
      <w:sz w:val="24"/>
    </w:rPr>
  </w:style>
  <w:style w:type="paragraph" w:customStyle="1" w:styleId="Point1number">
    <w:name w:val="Point 1 (number)"/>
    <w:basedOn w:val="Normal"/>
    <w:rsid w:val="007B4D63"/>
    <w:pPr>
      <w:numPr>
        <w:ilvl w:val="2"/>
        <w:numId w:val="10"/>
      </w:numPr>
      <w:tabs>
        <w:tab w:val="clear" w:pos="1417"/>
        <w:tab w:val="num" w:pos="2551"/>
      </w:tabs>
      <w:spacing w:before="120" w:after="120" w:line="240" w:lineRule="auto"/>
      <w:ind w:left="2551"/>
      <w:jc w:val="both"/>
    </w:pPr>
    <w:rPr>
      <w:rFonts w:ascii="Times New Roman" w:hAnsi="Times New Roman" w:cs="Times New Roman"/>
      <w:sz w:val="24"/>
    </w:rPr>
  </w:style>
  <w:style w:type="paragraph" w:customStyle="1" w:styleId="Point2number">
    <w:name w:val="Point 2 (number)"/>
    <w:basedOn w:val="Normal"/>
    <w:rsid w:val="007B4D63"/>
    <w:pPr>
      <w:numPr>
        <w:ilvl w:val="4"/>
        <w:numId w:val="10"/>
      </w:numPr>
      <w:tabs>
        <w:tab w:val="clear" w:pos="1984"/>
        <w:tab w:val="num" w:pos="2551"/>
      </w:tabs>
      <w:spacing w:before="120" w:after="120" w:line="240" w:lineRule="auto"/>
      <w:ind w:left="2551"/>
      <w:jc w:val="both"/>
    </w:pPr>
    <w:rPr>
      <w:rFonts w:ascii="Times New Roman" w:hAnsi="Times New Roman" w:cs="Times New Roman"/>
      <w:sz w:val="24"/>
    </w:rPr>
  </w:style>
  <w:style w:type="paragraph" w:customStyle="1" w:styleId="Point3number">
    <w:name w:val="Point 3 (number)"/>
    <w:basedOn w:val="Normal"/>
    <w:rsid w:val="00645BC7"/>
    <w:pPr>
      <w:numPr>
        <w:ilvl w:val="6"/>
        <w:numId w:val="10"/>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7B4D63"/>
    <w:pPr>
      <w:numPr>
        <w:ilvl w:val="1"/>
        <w:numId w:val="10"/>
      </w:numPr>
      <w:tabs>
        <w:tab w:val="clear" w:pos="850"/>
        <w:tab w:val="num" w:pos="2551"/>
      </w:tabs>
      <w:spacing w:before="120" w:after="120" w:line="240" w:lineRule="auto"/>
      <w:ind w:left="2551" w:hanging="567"/>
      <w:jc w:val="both"/>
    </w:pPr>
    <w:rPr>
      <w:rFonts w:ascii="Times New Roman" w:hAnsi="Times New Roman" w:cs="Times New Roman"/>
      <w:sz w:val="24"/>
    </w:rPr>
  </w:style>
  <w:style w:type="paragraph" w:customStyle="1" w:styleId="Point1letter">
    <w:name w:val="Point 1 (letter)"/>
    <w:basedOn w:val="Normal"/>
    <w:rsid w:val="007B4D63"/>
    <w:pPr>
      <w:numPr>
        <w:ilvl w:val="3"/>
        <w:numId w:val="10"/>
      </w:numPr>
      <w:tabs>
        <w:tab w:val="clear" w:pos="1417"/>
        <w:tab w:val="num" w:pos="2551"/>
      </w:tabs>
      <w:spacing w:before="120" w:after="120" w:line="240" w:lineRule="auto"/>
      <w:ind w:left="2551"/>
      <w:jc w:val="both"/>
    </w:pPr>
    <w:rPr>
      <w:rFonts w:ascii="Times New Roman" w:hAnsi="Times New Roman" w:cs="Times New Roman"/>
      <w:sz w:val="24"/>
    </w:rPr>
  </w:style>
  <w:style w:type="paragraph" w:customStyle="1" w:styleId="Point2letter">
    <w:name w:val="Point 2 (letter)"/>
    <w:basedOn w:val="Normal"/>
    <w:rsid w:val="007B4D63"/>
    <w:pPr>
      <w:numPr>
        <w:ilvl w:val="5"/>
        <w:numId w:val="10"/>
      </w:numPr>
      <w:tabs>
        <w:tab w:val="clear" w:pos="1984"/>
        <w:tab w:val="num" w:pos="2551"/>
      </w:tabs>
      <w:spacing w:before="120" w:after="120" w:line="240" w:lineRule="auto"/>
      <w:ind w:left="2551"/>
      <w:jc w:val="both"/>
    </w:pPr>
    <w:rPr>
      <w:rFonts w:ascii="Times New Roman" w:hAnsi="Times New Roman" w:cs="Times New Roman"/>
      <w:sz w:val="24"/>
    </w:rPr>
  </w:style>
  <w:style w:type="paragraph" w:customStyle="1" w:styleId="Point3letter">
    <w:name w:val="Point 3 (letter)"/>
    <w:basedOn w:val="Normal"/>
    <w:rsid w:val="00645BC7"/>
    <w:pPr>
      <w:numPr>
        <w:ilvl w:val="7"/>
        <w:numId w:val="10"/>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7B4D63"/>
    <w:pPr>
      <w:numPr>
        <w:ilvl w:val="8"/>
        <w:numId w:val="10"/>
      </w:numPr>
      <w:tabs>
        <w:tab w:val="clear" w:pos="3118"/>
        <w:tab w:val="num" w:pos="2551"/>
      </w:tabs>
      <w:spacing w:before="120" w:after="120" w:line="240" w:lineRule="auto"/>
      <w:ind w:left="2551"/>
      <w:jc w:val="both"/>
    </w:pPr>
    <w:rPr>
      <w:rFonts w:ascii="Times New Roman" w:hAnsi="Times New Roman" w:cs="Times New Roman"/>
      <w:sz w:val="24"/>
    </w:rPr>
  </w:style>
  <w:style w:type="paragraph" w:customStyle="1" w:styleId="Bullet0">
    <w:name w:val="Bullet 0"/>
    <w:basedOn w:val="Normal"/>
    <w:rsid w:val="007B4D63"/>
    <w:pPr>
      <w:numPr>
        <w:numId w:val="11"/>
      </w:numPr>
      <w:tabs>
        <w:tab w:val="clear" w:pos="850"/>
        <w:tab w:val="num" w:pos="3118"/>
      </w:tabs>
      <w:spacing w:before="120" w:after="120" w:line="240" w:lineRule="auto"/>
      <w:ind w:left="3118" w:hanging="567"/>
      <w:jc w:val="both"/>
    </w:pPr>
    <w:rPr>
      <w:rFonts w:ascii="Times New Roman" w:hAnsi="Times New Roman" w:cs="Times New Roman"/>
      <w:sz w:val="24"/>
    </w:rPr>
  </w:style>
  <w:style w:type="paragraph" w:customStyle="1" w:styleId="Bullet1">
    <w:name w:val="Bullet 1"/>
    <w:basedOn w:val="Normal"/>
    <w:rsid w:val="007B4D63"/>
    <w:pPr>
      <w:numPr>
        <w:numId w:val="12"/>
      </w:numPr>
      <w:tabs>
        <w:tab w:val="clear" w:pos="1417"/>
        <w:tab w:val="num" w:pos="709"/>
      </w:tabs>
      <w:spacing w:before="120" w:after="120" w:line="240" w:lineRule="auto"/>
      <w:ind w:left="709" w:hanging="709"/>
      <w:jc w:val="both"/>
    </w:pPr>
    <w:rPr>
      <w:rFonts w:ascii="Times New Roman" w:hAnsi="Times New Roman" w:cs="Times New Roman"/>
      <w:sz w:val="24"/>
    </w:rPr>
  </w:style>
  <w:style w:type="paragraph" w:customStyle="1" w:styleId="Bullet2">
    <w:name w:val="Bullet 2"/>
    <w:basedOn w:val="Normal"/>
    <w:rsid w:val="007B4D63"/>
    <w:pPr>
      <w:numPr>
        <w:numId w:val="13"/>
      </w:numPr>
      <w:tabs>
        <w:tab w:val="clear" w:pos="1984"/>
        <w:tab w:val="num" w:pos="850"/>
      </w:tabs>
      <w:spacing w:before="120" w:after="120" w:line="240" w:lineRule="auto"/>
      <w:ind w:left="850" w:hanging="850"/>
      <w:jc w:val="both"/>
    </w:pPr>
    <w:rPr>
      <w:rFonts w:ascii="Times New Roman" w:hAnsi="Times New Roman" w:cs="Times New Roman"/>
      <w:sz w:val="24"/>
    </w:rPr>
  </w:style>
  <w:style w:type="paragraph" w:customStyle="1" w:styleId="Bullet3">
    <w:name w:val="Bullet 3"/>
    <w:basedOn w:val="Normal"/>
    <w:rsid w:val="007B4D63"/>
    <w:pPr>
      <w:numPr>
        <w:numId w:val="14"/>
      </w:numPr>
      <w:tabs>
        <w:tab w:val="clear" w:pos="2551"/>
        <w:tab w:val="num" w:pos="360"/>
      </w:tabs>
      <w:spacing w:before="120" w:after="120" w:line="240" w:lineRule="auto"/>
      <w:ind w:left="360" w:hanging="360"/>
      <w:jc w:val="both"/>
    </w:pPr>
    <w:rPr>
      <w:rFonts w:ascii="Times New Roman" w:hAnsi="Times New Roman" w:cs="Times New Roman"/>
      <w:sz w:val="24"/>
    </w:rPr>
  </w:style>
  <w:style w:type="paragraph" w:customStyle="1" w:styleId="Bullet4">
    <w:name w:val="Bullet 4"/>
    <w:basedOn w:val="Normal"/>
    <w:rsid w:val="007B4D63"/>
    <w:pPr>
      <w:numPr>
        <w:numId w:val="15"/>
      </w:numPr>
      <w:tabs>
        <w:tab w:val="clear" w:pos="3118"/>
        <w:tab w:val="num" w:pos="643"/>
      </w:tabs>
      <w:spacing w:before="120" w:after="120" w:line="240" w:lineRule="auto"/>
      <w:ind w:left="643" w:hanging="360"/>
      <w:jc w:val="both"/>
    </w:pPr>
    <w:rPr>
      <w:rFonts w:ascii="Times New Roman" w:hAnsi="Times New Roman" w:cs="Times New Roman"/>
      <w:sz w:val="24"/>
    </w:rPr>
  </w:style>
  <w:style w:type="paragraph" w:customStyle="1" w:styleId="Langue">
    <w:name w:val="Langue"/>
    <w:basedOn w:val="Normal"/>
    <w:next w:val="Rfrenceinterne"/>
    <w:rsid w:val="00645BC7"/>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rsid w:val="00645BC7"/>
    <w:pPr>
      <w:spacing w:after="0" w:line="240" w:lineRule="auto"/>
    </w:pPr>
    <w:rPr>
      <w:rFonts w:ascii="Arial" w:hAnsi="Arial" w:cs="Arial"/>
      <w:sz w:val="24"/>
    </w:rPr>
  </w:style>
  <w:style w:type="paragraph" w:customStyle="1" w:styleId="Emission">
    <w:name w:val="Emission"/>
    <w:basedOn w:val="Normal"/>
    <w:next w:val="Rfrenceinstitutionnelle"/>
    <w:rsid w:val="00645BC7"/>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rsid w:val="00645BC7"/>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rsid w:val="00645BC7"/>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rsid w:val="00645BC7"/>
    <w:pPr>
      <w:spacing w:after="0" w:line="240" w:lineRule="auto"/>
      <w:jc w:val="both"/>
    </w:pPr>
    <w:rPr>
      <w:rFonts w:ascii="Times New Roman" w:hAnsi="Times New Roman" w:cs="Times New Roman"/>
      <w:sz w:val="24"/>
    </w:rPr>
  </w:style>
  <w:style w:type="paragraph" w:customStyle="1" w:styleId="Disclaimer">
    <w:name w:val="Disclaimer"/>
    <w:basedOn w:val="Normal"/>
    <w:rsid w:val="00645BC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CF7AB7"/>
    <w:pPr>
      <w:spacing w:after="0"/>
      <w:ind w:left="5103"/>
    </w:pPr>
    <w:rPr>
      <w:rFonts w:ascii="Times New Roman" w:eastAsiaTheme="minorHAnsi" w:hAnsi="Times New Roman" w:cs="Times New Roman"/>
      <w:sz w:val="28"/>
    </w:rPr>
  </w:style>
  <w:style w:type="paragraph" w:customStyle="1" w:styleId="DateMarking">
    <w:name w:val="DateMarking"/>
    <w:basedOn w:val="Normal"/>
    <w:rsid w:val="00CF7AB7"/>
    <w:pPr>
      <w:spacing w:after="0"/>
      <w:ind w:left="5103"/>
    </w:pPr>
    <w:rPr>
      <w:rFonts w:ascii="Times New Roman" w:eastAsiaTheme="minorHAnsi" w:hAnsi="Times New Roman" w:cs="Times New Roman"/>
      <w:i/>
      <w:sz w:val="28"/>
    </w:rPr>
  </w:style>
  <w:style w:type="paragraph" w:customStyle="1" w:styleId="ReleasableTo">
    <w:name w:val="ReleasableTo"/>
    <w:basedOn w:val="Normal"/>
    <w:rsid w:val="00CF7AB7"/>
    <w:pPr>
      <w:spacing w:after="0"/>
      <w:ind w:left="5103"/>
    </w:pPr>
    <w:rPr>
      <w:rFonts w:ascii="Times New Roman" w:eastAsiaTheme="minorHAnsi" w:hAnsi="Times New Roman" w:cs="Times New Roman"/>
      <w:i/>
      <w:sz w:val="28"/>
    </w:rPr>
  </w:style>
  <w:style w:type="paragraph" w:customStyle="1" w:styleId="Annexetitreexpos">
    <w:name w:val="Annexe titre (exposé)"/>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rsid w:val="00645BC7"/>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rsid w:val="00645BC7"/>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rsid w:val="00645BC7"/>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rsid w:val="00645BC7"/>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rsid w:val="007B4D63"/>
    <w:pPr>
      <w:numPr>
        <w:numId w:val="16"/>
      </w:numPr>
      <w:tabs>
        <w:tab w:val="clear" w:pos="709"/>
        <w:tab w:val="num" w:pos="926"/>
      </w:tabs>
      <w:spacing w:before="120" w:after="120" w:line="240" w:lineRule="auto"/>
      <w:ind w:left="926" w:hanging="360"/>
      <w:jc w:val="both"/>
    </w:pPr>
    <w:rPr>
      <w:rFonts w:ascii="Times New Roman" w:hAnsi="Times New Roman" w:cs="Times New Roman"/>
      <w:sz w:val="24"/>
    </w:rPr>
  </w:style>
  <w:style w:type="paragraph" w:customStyle="1" w:styleId="Corrigendum">
    <w:name w:val="Corrigendum"/>
    <w:basedOn w:val="Normal"/>
    <w:next w:val="Normal"/>
    <w:rsid w:val="00645BC7"/>
    <w:pPr>
      <w:spacing w:after="240" w:line="240" w:lineRule="auto"/>
    </w:pPr>
    <w:rPr>
      <w:rFonts w:ascii="Times New Roman" w:hAnsi="Times New Roman" w:cs="Times New Roman"/>
      <w:sz w:val="24"/>
    </w:rPr>
  </w:style>
  <w:style w:type="paragraph" w:customStyle="1" w:styleId="Datedadoption">
    <w:name w:val="Date d'adoption"/>
    <w:basedOn w:val="Normal"/>
    <w:next w:val="IntrtEEE"/>
    <w:rsid w:val="00645BC7"/>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rsid w:val="00645BC7"/>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645BC7"/>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rsid w:val="00645BC7"/>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645BC7"/>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rsid w:val="00645BC7"/>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rsid w:val="00645BC7"/>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rsid w:val="00645BC7"/>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rsid w:val="00645BC7"/>
    <w:pPr>
      <w:spacing w:after="0" w:line="240" w:lineRule="auto"/>
      <w:ind w:left="5103"/>
    </w:pPr>
    <w:rPr>
      <w:rFonts w:ascii="Times New Roman" w:hAnsi="Times New Roman" w:cs="Times New Roman"/>
      <w:sz w:val="24"/>
    </w:rPr>
  </w:style>
  <w:style w:type="paragraph" w:customStyle="1" w:styleId="Statut">
    <w:name w:val="Statut"/>
    <w:basedOn w:val="Normal"/>
    <w:next w:val="Typedudocument"/>
    <w:rsid w:val="00645BC7"/>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rsid w:val="00645BC7"/>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rsid w:val="00645BC7"/>
    <w:pPr>
      <w:spacing w:before="360" w:after="180" w:line="240" w:lineRule="auto"/>
      <w:jc w:val="center"/>
    </w:pPr>
    <w:rPr>
      <w:rFonts w:ascii="Times New Roman" w:hAnsi="Times New Roman" w:cs="Times New Roman"/>
      <w:b/>
      <w:sz w:val="24"/>
    </w:rPr>
  </w:style>
  <w:style w:type="character" w:customStyle="1" w:styleId="Added">
    <w:name w:val="Added"/>
    <w:rsid w:val="00645BC7"/>
    <w:rPr>
      <w:b/>
      <w:u w:val="single"/>
      <w:shd w:val="clear" w:color="auto" w:fill="auto"/>
    </w:rPr>
  </w:style>
  <w:style w:type="character" w:customStyle="1" w:styleId="Deleted">
    <w:name w:val="Deleted"/>
    <w:rsid w:val="00645BC7"/>
    <w:rPr>
      <w:strike/>
      <w:dstrike w:val="0"/>
      <w:shd w:val="clear" w:color="auto" w:fill="auto"/>
    </w:rPr>
  </w:style>
  <w:style w:type="paragraph" w:customStyle="1" w:styleId="Address">
    <w:name w:val="Address"/>
    <w:basedOn w:val="Normal"/>
    <w:next w:val="Normal"/>
    <w:rsid w:val="00645BC7"/>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rsid w:val="00645BC7"/>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rsid w:val="00645BC7"/>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rsid w:val="00645BC7"/>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rsid w:val="00645BC7"/>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rsid w:val="00645BC7"/>
  </w:style>
  <w:style w:type="paragraph" w:customStyle="1" w:styleId="RfrenceinterinstitutionnellePagedecouverture">
    <w:name w:val="Référence interinstitutionnelle (Page de couverture)"/>
    <w:basedOn w:val="Rfrenceinterinstitutionnelle"/>
    <w:next w:val="Confidentialit"/>
    <w:rsid w:val="00645BC7"/>
  </w:style>
  <w:style w:type="paragraph" w:customStyle="1" w:styleId="StatutPagedecouverture">
    <w:name w:val="Statut (Page de couverture)"/>
    <w:basedOn w:val="Statut"/>
    <w:next w:val="TypedudocumentPagedecouverture"/>
    <w:rsid w:val="00645BC7"/>
  </w:style>
  <w:style w:type="paragraph" w:customStyle="1" w:styleId="TypedudocumentPagedecouverture">
    <w:name w:val="Type du document (Page de couverture)"/>
    <w:basedOn w:val="Typedudocument"/>
    <w:next w:val="AccompagnantPagedecouverture"/>
    <w:rsid w:val="00645BC7"/>
  </w:style>
  <w:style w:type="paragraph" w:customStyle="1" w:styleId="Volume">
    <w:name w:val="Volume"/>
    <w:basedOn w:val="Normal"/>
    <w:next w:val="Confidentialit"/>
    <w:rsid w:val="00645BC7"/>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rsid w:val="00645BC7"/>
    <w:pPr>
      <w:spacing w:after="240"/>
    </w:pPr>
  </w:style>
  <w:style w:type="paragraph" w:customStyle="1" w:styleId="Accompagnant">
    <w:name w:val="Accompagnant"/>
    <w:basedOn w:val="Normal"/>
    <w:next w:val="Typeacteprincipal"/>
    <w:rsid w:val="00645BC7"/>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rsid w:val="00645BC7"/>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rsid w:val="00645BC7"/>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rsid w:val="00645BC7"/>
  </w:style>
  <w:style w:type="paragraph" w:customStyle="1" w:styleId="AccompagnantPagedecouverture">
    <w:name w:val="Accompagnant (Page de couverture)"/>
    <w:basedOn w:val="Accompagnant"/>
    <w:next w:val="TypeacteprincipalPagedecouverture"/>
    <w:rsid w:val="00645BC7"/>
  </w:style>
  <w:style w:type="paragraph" w:customStyle="1" w:styleId="TypeacteprincipalPagedecouverture">
    <w:name w:val="Type acte principal (Page de couverture)"/>
    <w:basedOn w:val="Typeacteprincipal"/>
    <w:next w:val="ObjetacteprincipalPagedecouverture"/>
    <w:rsid w:val="00645BC7"/>
  </w:style>
  <w:style w:type="paragraph" w:customStyle="1" w:styleId="ObjetacteprincipalPagedecouverture">
    <w:name w:val="Objet acte principal (Page de couverture)"/>
    <w:basedOn w:val="Objetacteprincipal"/>
    <w:next w:val="Rfrencecroise"/>
    <w:rsid w:val="00645BC7"/>
  </w:style>
  <w:style w:type="paragraph" w:customStyle="1" w:styleId="LanguesfaisantfoiPagedecouverture">
    <w:name w:val="Langues faisant foi (Page de couverture)"/>
    <w:basedOn w:val="Normal"/>
    <w:next w:val="Normal"/>
    <w:rsid w:val="00645BC7"/>
    <w:pPr>
      <w:spacing w:before="360" w:after="0" w:line="240" w:lineRule="auto"/>
      <w:jc w:val="center"/>
    </w:pPr>
    <w:rPr>
      <w:rFonts w:ascii="Times New Roman" w:hAnsi="Times New Roman" w:cs="Times New Roman"/>
      <w:sz w:val="24"/>
    </w:rPr>
  </w:style>
  <w:style w:type="character" w:styleId="CommentReference">
    <w:name w:val="annotation reference"/>
    <w:uiPriority w:val="99"/>
    <w:unhideWhenUsed/>
    <w:rsid w:val="00645BC7"/>
    <w:rPr>
      <w:sz w:val="16"/>
      <w:szCs w:val="16"/>
    </w:rPr>
  </w:style>
  <w:style w:type="paragraph" w:styleId="CommentText">
    <w:name w:val="annotation text"/>
    <w:basedOn w:val="Normal"/>
    <w:link w:val="CommentTextChar"/>
    <w:uiPriority w:val="99"/>
    <w:unhideWhenUsed/>
    <w:rsid w:val="00645BC7"/>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645BC7"/>
    <w:rPr>
      <w:rFonts w:ascii="Times New Roman" w:eastAsia="Calibri" w:hAnsi="Times New Roman" w:cs="Times New Roman"/>
      <w:sz w:val="20"/>
      <w:szCs w:val="20"/>
      <w:lang w:val="et-EE"/>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645BC7"/>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sid w:val="00645BC7"/>
    <w:rPr>
      <w:rFonts w:ascii="Calibri" w:eastAsia="Calibri" w:hAnsi="Calibri" w:cs="Myanmar Text"/>
    </w:rPr>
  </w:style>
  <w:style w:type="character" w:styleId="IntenseEmphasis">
    <w:name w:val="Intense Emphasis"/>
    <w:uiPriority w:val="21"/>
    <w:qFormat/>
    <w:rsid w:val="00645BC7"/>
    <w:rPr>
      <w:i/>
      <w:iCs/>
      <w:color w:val="4F81BD"/>
    </w:rPr>
  </w:style>
  <w:style w:type="paragraph" w:styleId="BalloonText">
    <w:name w:val="Balloon Text"/>
    <w:basedOn w:val="Normal"/>
    <w:link w:val="BalloonTextChar"/>
    <w:uiPriority w:val="99"/>
    <w:semiHidden/>
    <w:unhideWhenUsed/>
    <w:rsid w:val="00645BC7"/>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BC7"/>
    <w:rPr>
      <w:rFonts w:ascii="Segoe UI" w:eastAsia="Calibri" w:hAnsi="Segoe UI" w:cs="Segoe UI"/>
      <w:sz w:val="18"/>
      <w:szCs w:val="18"/>
      <w:lang w:val="et-EE"/>
    </w:rPr>
  </w:style>
  <w:style w:type="paragraph" w:styleId="ListBullet">
    <w:name w:val="List Bullet"/>
    <w:basedOn w:val="Normal"/>
    <w:uiPriority w:val="99"/>
    <w:semiHidden/>
    <w:unhideWhenUsed/>
    <w:rsid w:val="007B4D63"/>
    <w:pPr>
      <w:numPr>
        <w:numId w:val="18"/>
      </w:numPr>
      <w:tabs>
        <w:tab w:val="clear" w:pos="360"/>
      </w:tabs>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rsid w:val="007B4D63"/>
    <w:pPr>
      <w:numPr>
        <w:numId w:val="19"/>
      </w:numPr>
      <w:tabs>
        <w:tab w:val="clear" w:pos="643"/>
      </w:tabs>
      <w:spacing w:before="120" w:after="120" w:line="240" w:lineRule="auto"/>
      <w:ind w:left="720"/>
      <w:contextualSpacing/>
      <w:jc w:val="both"/>
    </w:pPr>
    <w:rPr>
      <w:rFonts w:ascii="Times New Roman" w:hAnsi="Times New Roman" w:cs="Times New Roman"/>
      <w:sz w:val="24"/>
    </w:rPr>
  </w:style>
  <w:style w:type="paragraph" w:styleId="ListBullet3">
    <w:name w:val="List Bullet 3"/>
    <w:basedOn w:val="Normal"/>
    <w:uiPriority w:val="99"/>
    <w:semiHidden/>
    <w:unhideWhenUsed/>
    <w:rsid w:val="007B4D63"/>
    <w:pPr>
      <w:numPr>
        <w:numId w:val="20"/>
      </w:numPr>
      <w:tabs>
        <w:tab w:val="clear" w:pos="926"/>
      </w:tabs>
      <w:spacing w:before="120" w:after="120" w:line="240" w:lineRule="auto"/>
      <w:ind w:left="720"/>
      <w:contextualSpacing/>
      <w:jc w:val="both"/>
    </w:pPr>
    <w:rPr>
      <w:rFonts w:ascii="Times New Roman" w:hAnsi="Times New Roman" w:cs="Times New Roman"/>
      <w:sz w:val="24"/>
    </w:rPr>
  </w:style>
  <w:style w:type="paragraph" w:styleId="ListBullet4">
    <w:name w:val="List Bullet 4"/>
    <w:basedOn w:val="Normal"/>
    <w:uiPriority w:val="99"/>
    <w:semiHidden/>
    <w:unhideWhenUsed/>
    <w:rsid w:val="007B4D63"/>
    <w:pPr>
      <w:numPr>
        <w:numId w:val="21"/>
      </w:numPr>
      <w:tabs>
        <w:tab w:val="clear" w:pos="1209"/>
      </w:tabs>
      <w:spacing w:before="120" w:after="120" w:line="240" w:lineRule="auto"/>
      <w:ind w:left="720"/>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645BC7"/>
    <w:rPr>
      <w:b/>
      <w:bCs/>
    </w:rPr>
  </w:style>
  <w:style w:type="character" w:customStyle="1" w:styleId="CommentSubjectChar">
    <w:name w:val="Comment Subject Char"/>
    <w:basedOn w:val="CommentTextChar"/>
    <w:link w:val="CommentSubject"/>
    <w:uiPriority w:val="99"/>
    <w:semiHidden/>
    <w:rsid w:val="00645BC7"/>
    <w:rPr>
      <w:rFonts w:ascii="Times New Roman" w:eastAsia="Calibri" w:hAnsi="Times New Roman" w:cs="Times New Roman"/>
      <w:b/>
      <w:bCs/>
      <w:sz w:val="20"/>
      <w:szCs w:val="20"/>
      <w:lang w:val="et-EE"/>
    </w:rPr>
  </w:style>
  <w:style w:type="paragraph" w:styleId="Revision">
    <w:name w:val="Revision"/>
    <w:hidden/>
    <w:uiPriority w:val="99"/>
    <w:semiHidden/>
    <w:rsid w:val="00645BC7"/>
    <w:pPr>
      <w:spacing w:after="0" w:line="240" w:lineRule="auto"/>
    </w:pPr>
    <w:rPr>
      <w:rFonts w:ascii="Times New Roman" w:eastAsia="Calibri" w:hAnsi="Times New Roman" w:cs="Times New Roman"/>
      <w:sz w:val="24"/>
    </w:rPr>
  </w:style>
  <w:style w:type="character" w:styleId="Hyperlink">
    <w:name w:val="Hyperlink"/>
    <w:uiPriority w:val="99"/>
    <w:unhideWhenUsed/>
    <w:rsid w:val="00645BC7"/>
    <w:rPr>
      <w:color w:val="0000FF"/>
      <w:u w:val="single"/>
    </w:rPr>
  </w:style>
  <w:style w:type="paragraph" w:customStyle="1" w:styleId="paragraph">
    <w:name w:val="paragraph"/>
    <w:basedOn w:val="Normal"/>
    <w:rsid w:val="00645B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45BC7"/>
  </w:style>
  <w:style w:type="character" w:customStyle="1" w:styleId="normaltextrun">
    <w:name w:val="normaltextrun"/>
    <w:basedOn w:val="DefaultParagraphFont"/>
    <w:rsid w:val="00645BC7"/>
  </w:style>
  <w:style w:type="paragraph" w:customStyle="1" w:styleId="FooterCoverPage">
    <w:name w:val="Footer Cover Page"/>
    <w:basedOn w:val="Normal"/>
    <w:link w:val="FooterCoverPageChar"/>
    <w:rsid w:val="00645BC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sid w:val="00645BC7"/>
    <w:rPr>
      <w:rFonts w:ascii="Times New Roman" w:eastAsia="Calibri" w:hAnsi="Times New Roman" w:cs="Times New Roman"/>
      <w:sz w:val="24"/>
    </w:rPr>
  </w:style>
  <w:style w:type="paragraph" w:customStyle="1" w:styleId="HeaderCoverPage">
    <w:name w:val="Header Cover Page"/>
    <w:basedOn w:val="Normal"/>
    <w:link w:val="HeaderCoverPageChar"/>
    <w:rsid w:val="00645BC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sid w:val="00645BC7"/>
    <w:rPr>
      <w:rFonts w:ascii="Times New Roman" w:eastAsia="Calibri" w:hAnsi="Times New Roman" w:cs="Times New Roman"/>
      <w:sz w:val="24"/>
    </w:rPr>
  </w:style>
  <w:style w:type="numbering" w:customStyle="1" w:styleId="NoList2">
    <w:name w:val="No List2"/>
    <w:next w:val="NoList"/>
    <w:uiPriority w:val="99"/>
    <w:semiHidden/>
    <w:unhideWhenUsed/>
    <w:rsid w:val="00645BC7"/>
  </w:style>
  <w:style w:type="paragraph" w:customStyle="1" w:styleId="Titreobjet">
    <w:name w:val="Titre objet"/>
    <w:basedOn w:val="Normal"/>
    <w:next w:val="IntrtEEE"/>
    <w:rsid w:val="00645BC7"/>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IntrtEEEPagedecouverture"/>
    <w:rsid w:val="00645BC7"/>
  </w:style>
  <w:style w:type="numbering" w:customStyle="1" w:styleId="NoList3">
    <w:name w:val="No List3"/>
    <w:next w:val="NoList"/>
    <w:uiPriority w:val="99"/>
    <w:semiHidden/>
    <w:unhideWhenUsed/>
    <w:rsid w:val="00645BC7"/>
  </w:style>
  <w:style w:type="character" w:customStyle="1" w:styleId="findhit">
    <w:name w:val="findhit"/>
    <w:basedOn w:val="DefaultParagraphFont"/>
    <w:rsid w:val="00645BC7"/>
  </w:style>
  <w:style w:type="numbering" w:customStyle="1" w:styleId="NoList4">
    <w:name w:val="No List4"/>
    <w:next w:val="NoList"/>
    <w:uiPriority w:val="99"/>
    <w:semiHidden/>
    <w:unhideWhenUsed/>
    <w:rsid w:val="00645BC7"/>
  </w:style>
  <w:style w:type="paragraph" w:customStyle="1" w:styleId="TechnicalBlock">
    <w:name w:val="Technical Block"/>
    <w:basedOn w:val="Normal"/>
    <w:link w:val="TechnicalBlockChar"/>
    <w:rsid w:val="00645BC7"/>
    <w:pPr>
      <w:spacing w:after="240" w:line="240" w:lineRule="auto"/>
      <w:jc w:val="center"/>
    </w:pPr>
  </w:style>
  <w:style w:type="character" w:customStyle="1" w:styleId="TechnicalBlockChar">
    <w:name w:val="Technical Block Char"/>
    <w:basedOn w:val="DefaultParagraphFont"/>
    <w:link w:val="TechnicalBlock"/>
    <w:rsid w:val="00645BC7"/>
    <w:rPr>
      <w:rFonts w:ascii="Calibri" w:eastAsia="Calibri" w:hAnsi="Calibri" w:cs="Myanmar Text"/>
      <w:lang w:val="et-EE"/>
    </w:rPr>
  </w:style>
  <w:style w:type="paragraph" w:customStyle="1" w:styleId="EntText">
    <w:name w:val="EntText"/>
    <w:basedOn w:val="Normal"/>
    <w:rsid w:val="009D0F6E"/>
    <w:pPr>
      <w:spacing w:before="120" w:after="120" w:line="360" w:lineRule="auto"/>
    </w:pPr>
    <w:rPr>
      <w:rFonts w:ascii="Times New Roman" w:eastAsiaTheme="minorHAnsi" w:hAnsi="Times New Roman" w:cs="Times New Roman"/>
      <w:sz w:val="24"/>
    </w:rPr>
  </w:style>
  <w:style w:type="paragraph" w:customStyle="1" w:styleId="Lignefinal">
    <w:name w:val="Ligne final"/>
    <w:basedOn w:val="Normal"/>
    <w:next w:val="Normal"/>
    <w:rsid w:val="009D0F6E"/>
    <w:pPr>
      <w:pBdr>
        <w:bottom w:val="single" w:sz="4" w:space="0" w:color="000000"/>
      </w:pBdr>
      <w:spacing w:before="360" w:after="120" w:line="360" w:lineRule="auto"/>
      <w:ind w:left="3400" w:right="3400"/>
      <w:jc w:val="center"/>
    </w:pPr>
    <w:rPr>
      <w:rFonts w:ascii="Times New Roman" w:eastAsiaTheme="minorHAnsi" w:hAnsi="Times New Roman" w:cs="Times New Roman"/>
      <w:b/>
      <w:sz w:val="24"/>
    </w:rPr>
  </w:style>
  <w:style w:type="paragraph" w:customStyle="1" w:styleId="pj">
    <w:name w:val="p.j."/>
    <w:basedOn w:val="Normal"/>
    <w:link w:val="pjChar"/>
    <w:rsid w:val="00645BC7"/>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645BC7"/>
    <w:rPr>
      <w:rFonts w:ascii="Times New Roman" w:eastAsia="Calibri" w:hAnsi="Times New Roman" w:cs="Times New Roman"/>
      <w:sz w:val="24"/>
      <w:lang w:val="et-EE"/>
    </w:rPr>
  </w:style>
  <w:style w:type="paragraph" w:customStyle="1" w:styleId="nbbordered">
    <w:name w:val="nb bordered"/>
    <w:basedOn w:val="Normal"/>
    <w:link w:val="nbborderedChar"/>
    <w:rsid w:val="00645BC7"/>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645BC7"/>
    <w:rPr>
      <w:rFonts w:ascii="Times New Roman" w:eastAsia="Calibri" w:hAnsi="Times New Roman" w:cs="Times New Roman"/>
      <w:b/>
      <w:sz w:val="24"/>
      <w:lang w:val="et-EE"/>
    </w:rPr>
  </w:style>
  <w:style w:type="paragraph" w:customStyle="1" w:styleId="HeaderCouncil">
    <w:name w:val="Header Council"/>
    <w:basedOn w:val="Normal"/>
    <w:link w:val="HeaderCouncilChar"/>
    <w:rsid w:val="00645BC7"/>
    <w:pPr>
      <w:spacing w:after="0"/>
    </w:pPr>
    <w:rPr>
      <w:noProof/>
      <w:sz w:val="2"/>
    </w:rPr>
  </w:style>
  <w:style w:type="character" w:customStyle="1" w:styleId="HeaderCouncilChar">
    <w:name w:val="Header Council Char"/>
    <w:basedOn w:val="DefaultParagraphFont"/>
    <w:link w:val="HeaderCouncil"/>
    <w:rsid w:val="00645BC7"/>
    <w:rPr>
      <w:rFonts w:ascii="Calibri" w:eastAsia="Calibri" w:hAnsi="Calibri" w:cs="Myanmar Text"/>
      <w:noProof/>
      <w:sz w:val="2"/>
    </w:rPr>
  </w:style>
  <w:style w:type="paragraph" w:customStyle="1" w:styleId="HeaderCouncilLarge">
    <w:name w:val="Header Council Large"/>
    <w:basedOn w:val="Normal"/>
    <w:link w:val="HeaderCouncilLargeChar"/>
    <w:rsid w:val="00645BC7"/>
    <w:pPr>
      <w:spacing w:after="440"/>
    </w:pPr>
    <w:rPr>
      <w:noProof/>
      <w:sz w:val="2"/>
    </w:rPr>
  </w:style>
  <w:style w:type="character" w:customStyle="1" w:styleId="HeaderCouncilLargeChar">
    <w:name w:val="Header Council Large Char"/>
    <w:basedOn w:val="DefaultParagraphFont"/>
    <w:link w:val="HeaderCouncilLarge"/>
    <w:rsid w:val="00645BC7"/>
    <w:rPr>
      <w:rFonts w:ascii="Calibri" w:eastAsia="Calibri" w:hAnsi="Calibri" w:cs="Myanmar Text"/>
      <w:noProof/>
      <w:sz w:val="2"/>
    </w:rPr>
  </w:style>
  <w:style w:type="paragraph" w:customStyle="1" w:styleId="FooterCouncil">
    <w:name w:val="Footer Council"/>
    <w:basedOn w:val="Normal"/>
    <w:link w:val="FooterCouncilChar"/>
    <w:rsid w:val="00645BC7"/>
    <w:pPr>
      <w:spacing w:after="0"/>
    </w:pPr>
    <w:rPr>
      <w:noProof/>
      <w:sz w:val="2"/>
    </w:rPr>
  </w:style>
  <w:style w:type="character" w:customStyle="1" w:styleId="FooterCouncilChar">
    <w:name w:val="Footer Council Char"/>
    <w:basedOn w:val="DefaultParagraphFont"/>
    <w:link w:val="FooterCouncil"/>
    <w:rsid w:val="00645BC7"/>
    <w:rPr>
      <w:rFonts w:ascii="Calibri" w:eastAsia="Calibri" w:hAnsi="Calibri" w:cs="Myanmar Text"/>
      <w:noProof/>
      <w:sz w:val="2"/>
    </w:rPr>
  </w:style>
  <w:style w:type="paragraph" w:customStyle="1" w:styleId="FooterText">
    <w:name w:val="Footer Text"/>
    <w:basedOn w:val="Normal"/>
    <w:rsid w:val="00645BC7"/>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45BC7"/>
    <w:rPr>
      <w:color w:val="808080"/>
    </w:rPr>
  </w:style>
  <w:style w:type="character" w:styleId="FollowedHyperlink">
    <w:name w:val="FollowedHyperlink"/>
    <w:basedOn w:val="DefaultParagraphFont"/>
    <w:uiPriority w:val="99"/>
    <w:semiHidden/>
    <w:unhideWhenUsed/>
    <w:rsid w:val="00645BC7"/>
    <w:rPr>
      <w:color w:val="800080" w:themeColor="followedHyperlink"/>
      <w:u w:val="single"/>
    </w:rPr>
  </w:style>
  <w:style w:type="character" w:customStyle="1" w:styleId="Mention1">
    <w:name w:val="Mention1"/>
    <w:basedOn w:val="DefaultParagraphFont"/>
    <w:uiPriority w:val="99"/>
    <w:unhideWhenUsed/>
    <w:rsid w:val="006F1419"/>
    <w:rPr>
      <w:color w:val="2B579A"/>
      <w:shd w:val="clear" w:color="auto" w:fill="E1DFD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0">
    <w:name w:val="Mention20"/>
    <w:basedOn w:val="DefaultParagraphFont"/>
    <w:uiPriority w:val="99"/>
    <w:unhideWhenUsed/>
    <w:rsid w:val="005B2317"/>
    <w:rPr>
      <w:color w:val="2B579A"/>
      <w:shd w:val="clear" w:color="auto" w:fill="E1DFDD"/>
    </w:rPr>
  </w:style>
  <w:style w:type="character" w:customStyle="1" w:styleId="Mention2">
    <w:name w:val="Mention2"/>
    <w:basedOn w:val="DefaultParagraphFont"/>
    <w:uiPriority w:val="99"/>
    <w:unhideWhenUsed/>
    <w:rsid w:val="005E589F"/>
    <w:rPr>
      <w:color w:val="2B579A"/>
      <w:shd w:val="clear" w:color="auto" w:fill="E1DFDD"/>
    </w:rPr>
  </w:style>
  <w:style w:type="character" w:customStyle="1" w:styleId="Mention3">
    <w:name w:val="Mention3"/>
    <w:basedOn w:val="DefaultParagraphFont"/>
    <w:uiPriority w:val="99"/>
    <w:unhideWhenUsed/>
    <w:rsid w:val="00786228"/>
    <w:rPr>
      <w:color w:val="2B579A"/>
      <w:shd w:val="clear" w:color="auto" w:fill="E1DFDD"/>
    </w:rPr>
  </w:style>
  <w:style w:type="character" w:customStyle="1" w:styleId="Mention30">
    <w:name w:val="Mention30"/>
    <w:basedOn w:val="DefaultParagraphFont"/>
    <w:uiPriority w:val="99"/>
    <w:unhideWhenUsed/>
    <w:rsid w:val="00786228"/>
    <w:rPr>
      <w:color w:val="2B579A"/>
      <w:shd w:val="clear" w:color="auto" w:fill="E1DFDD"/>
    </w:rPr>
  </w:style>
  <w:style w:type="character" w:customStyle="1" w:styleId="Mention4">
    <w:name w:val="Mention4"/>
    <w:basedOn w:val="DefaultParagraphFont"/>
    <w:uiPriority w:val="99"/>
    <w:unhideWhenUsed/>
    <w:rsid w:val="008504B0"/>
    <w:rPr>
      <w:color w:val="2B579A"/>
      <w:shd w:val="clear" w:color="auto" w:fill="E1DFDD"/>
    </w:rPr>
  </w:style>
  <w:style w:type="character" w:customStyle="1" w:styleId="Mention10">
    <w:name w:val="Mention10"/>
    <w:basedOn w:val="DefaultParagraphFont"/>
    <w:uiPriority w:val="99"/>
    <w:unhideWhenUsed/>
    <w:rsid w:val="00EB31FF"/>
    <w:rPr>
      <w:color w:val="2B579A"/>
      <w:shd w:val="clear" w:color="auto" w:fill="E6E6E6"/>
    </w:rPr>
  </w:style>
  <w:style w:type="character" w:customStyle="1" w:styleId="ui-provider">
    <w:name w:val="ui-provider"/>
    <w:basedOn w:val="DefaultParagraphFont"/>
    <w:rsid w:val="00EB31FF"/>
  </w:style>
  <w:style w:type="character" w:customStyle="1" w:styleId="Mention100">
    <w:name w:val="Mention100"/>
    <w:basedOn w:val="DefaultParagraphFont"/>
    <w:uiPriority w:val="99"/>
    <w:unhideWhenUsed/>
    <w:rsid w:val="00EB31FF"/>
    <w:rPr>
      <w:color w:val="2B579A"/>
      <w:shd w:val="clear" w:color="auto" w:fill="E6E6E6"/>
    </w:rPr>
  </w:style>
  <w:style w:type="paragraph" w:customStyle="1" w:styleId="Default">
    <w:name w:val="Default"/>
    <w:rsid w:val="00EB31FF"/>
    <w:pPr>
      <w:autoSpaceDE w:val="0"/>
      <w:autoSpaceDN w:val="0"/>
      <w:adjustRightInd w:val="0"/>
      <w:spacing w:after="0" w:line="240" w:lineRule="auto"/>
    </w:pPr>
    <w:rPr>
      <w:rFonts w:ascii="Calibri" w:hAnsi="Calibri" w:cs="Calibri"/>
      <w:color w:val="000000"/>
      <w:sz w:val="24"/>
      <w:szCs w:val="24"/>
    </w:rPr>
  </w:style>
  <w:style w:type="character" w:customStyle="1" w:styleId="contentcontrolboundarysink">
    <w:name w:val="contentcontrolboundarysink"/>
    <w:basedOn w:val="DefaultParagraphFont"/>
    <w:rsid w:val="00EB31FF"/>
  </w:style>
  <w:style w:type="character" w:customStyle="1" w:styleId="Mention5">
    <w:name w:val="Mention5"/>
    <w:basedOn w:val="DefaultParagraphFont"/>
    <w:uiPriority w:val="99"/>
    <w:unhideWhenUsed/>
    <w:rsid w:val="00EB31FF"/>
    <w:rPr>
      <w:color w:val="2B579A"/>
      <w:shd w:val="clear" w:color="auto" w:fill="E1DFDD"/>
    </w:rPr>
  </w:style>
  <w:style w:type="character" w:customStyle="1" w:styleId="Mention50">
    <w:name w:val="Mention50"/>
    <w:basedOn w:val="DefaultParagraphFont"/>
    <w:uiPriority w:val="99"/>
    <w:unhideWhenUsed/>
    <w:rsid w:val="00EB31FF"/>
    <w:rPr>
      <w:color w:val="2B579A"/>
      <w:shd w:val="clear" w:color="auto" w:fill="E1DFDD"/>
    </w:rPr>
  </w:style>
  <w:style w:type="character" w:customStyle="1" w:styleId="Mention6">
    <w:name w:val="Mention6"/>
    <w:basedOn w:val="DefaultParagraphFont"/>
    <w:uiPriority w:val="99"/>
    <w:unhideWhenUsed/>
    <w:rsid w:val="00EB31FF"/>
    <w:rPr>
      <w:color w:val="2B579A"/>
      <w:shd w:val="clear" w:color="auto" w:fill="E1DFDD"/>
    </w:rPr>
  </w:style>
  <w:style w:type="character" w:customStyle="1" w:styleId="Mention7">
    <w:name w:val="Mention7"/>
    <w:basedOn w:val="DefaultParagraphFont"/>
    <w:uiPriority w:val="99"/>
    <w:unhideWhenUsed/>
    <w:rsid w:val="00EB31FF"/>
    <w:rPr>
      <w:color w:val="2B579A"/>
      <w:shd w:val="clear" w:color="auto" w:fill="E6E6E6"/>
    </w:rPr>
  </w:style>
  <w:style w:type="character" w:customStyle="1" w:styleId="Mention8">
    <w:name w:val="Mention8"/>
    <w:basedOn w:val="DefaultParagraphFont"/>
    <w:uiPriority w:val="99"/>
    <w:unhideWhenUsed/>
    <w:rsid w:val="00EB31FF"/>
    <w:rPr>
      <w:color w:val="2B579A"/>
      <w:shd w:val="clear" w:color="auto" w:fill="E1DFDD"/>
    </w:rPr>
  </w:style>
  <w:style w:type="character" w:customStyle="1" w:styleId="cf01">
    <w:name w:val="cf01"/>
    <w:basedOn w:val="DefaultParagraphFont"/>
    <w:rsid w:val="00EB31FF"/>
    <w:rPr>
      <w:rFonts w:ascii="Segoe UI" w:hAnsi="Segoe UI" w:cs="Segoe UI" w:hint="default"/>
      <w:sz w:val="18"/>
      <w:szCs w:val="18"/>
    </w:rPr>
  </w:style>
  <w:style w:type="character" w:styleId="Strong">
    <w:name w:val="Strong"/>
    <w:basedOn w:val="DefaultParagraphFont"/>
    <w:uiPriority w:val="22"/>
    <w:qFormat/>
    <w:rsid w:val="00EB31FF"/>
    <w:rPr>
      <w:b/>
      <w:bCs/>
    </w:rPr>
  </w:style>
  <w:style w:type="character" w:customStyle="1" w:styleId="Mention60">
    <w:name w:val="Mention60"/>
    <w:basedOn w:val="DefaultParagraphFont"/>
    <w:uiPriority w:val="99"/>
    <w:unhideWhenUsed/>
    <w:rsid w:val="00EB31FF"/>
    <w:rPr>
      <w:color w:val="2B579A"/>
      <w:shd w:val="clear" w:color="auto" w:fill="E1DFDD"/>
    </w:rPr>
  </w:style>
  <w:style w:type="paragraph" w:customStyle="1" w:styleId="xmsonormal">
    <w:name w:val="x_msonormal"/>
    <w:basedOn w:val="Normal"/>
    <w:rsid w:val="00EB31FF"/>
    <w:pPr>
      <w:spacing w:after="0" w:line="240" w:lineRule="auto"/>
    </w:pPr>
    <w:rPr>
      <w:rFonts w:ascii="Times New Roman" w:eastAsiaTheme="minorHAnsi" w:hAnsi="Times New Roman" w:cs="Times New Roman"/>
      <w:sz w:val="24"/>
      <w:szCs w:val="24"/>
      <w:lang w:bidi="he-IL"/>
    </w:rPr>
  </w:style>
  <w:style w:type="character" w:customStyle="1" w:styleId="cf21">
    <w:name w:val="cf21"/>
    <w:basedOn w:val="DefaultParagraphFont"/>
    <w:rsid w:val="00EB31FF"/>
    <w:rPr>
      <w:rFonts w:ascii="Segoe UI" w:hAnsi="Segoe UI" w:cs="Segoe UI" w:hint="default"/>
      <w:color w:val="006100"/>
    </w:rPr>
  </w:style>
  <w:style w:type="paragraph" w:customStyle="1" w:styleId="Style1">
    <w:name w:val="Style1"/>
    <w:basedOn w:val="Normal"/>
    <w:link w:val="Style1Char"/>
    <w:qFormat/>
    <w:rsid w:val="003911CA"/>
    <w:pPr>
      <w:spacing w:before="120" w:after="120"/>
    </w:pPr>
    <w:rPr>
      <w:rFonts w:ascii="Times New Roman" w:hAnsi="Times New Roman" w:cs="Times New Roman"/>
      <w:b/>
      <w:sz w:val="24"/>
      <w:szCs w:val="24"/>
    </w:rPr>
  </w:style>
  <w:style w:type="character" w:customStyle="1" w:styleId="Style1Char">
    <w:name w:val="Style1 Char"/>
    <w:basedOn w:val="DefaultParagraphFont"/>
    <w:link w:val="Style1"/>
    <w:rsid w:val="003911CA"/>
    <w:rPr>
      <w:rFonts w:ascii="Times New Roman" w:eastAsia="Calibri" w:hAnsi="Times New Roman" w:cs="Times New Roman"/>
      <w:b/>
      <w:sz w:val="24"/>
      <w:szCs w:val="24"/>
      <w:lang w:val="et-EE"/>
    </w:rPr>
  </w:style>
  <w:style w:type="character" w:customStyle="1" w:styleId="Mention9">
    <w:name w:val="Mention9"/>
    <w:basedOn w:val="DefaultParagraphFont"/>
    <w:uiPriority w:val="99"/>
    <w:unhideWhenUsed/>
    <w:rsid w:val="00BD7C39"/>
    <w:rPr>
      <w:color w:val="2B579A"/>
      <w:shd w:val="clear" w:color="auto" w:fill="E1DFDD"/>
    </w:rPr>
  </w:style>
  <w:style w:type="paragraph" w:customStyle="1" w:styleId="LegalNumPar">
    <w:name w:val="LegalNumPar"/>
    <w:basedOn w:val="Normal"/>
    <w:rsid w:val="005441B2"/>
    <w:pPr>
      <w:numPr>
        <w:numId w:val="93"/>
      </w:numPr>
      <w:spacing w:after="160" w:line="259" w:lineRule="auto"/>
    </w:pPr>
    <w:rPr>
      <w:rFonts w:asciiTheme="minorHAnsi" w:eastAsiaTheme="minorHAnsi" w:hAnsiTheme="minorHAnsi" w:cstheme="minorBidi"/>
    </w:rPr>
  </w:style>
  <w:style w:type="paragraph" w:customStyle="1" w:styleId="LegalNumPar2">
    <w:name w:val="LegalNumPar2"/>
    <w:basedOn w:val="Normal"/>
    <w:rsid w:val="005441B2"/>
    <w:pPr>
      <w:numPr>
        <w:ilvl w:val="1"/>
        <w:numId w:val="93"/>
      </w:numPr>
      <w:spacing w:after="160" w:line="259" w:lineRule="auto"/>
    </w:pPr>
    <w:rPr>
      <w:rFonts w:asciiTheme="minorHAnsi" w:eastAsiaTheme="minorHAnsi" w:hAnsiTheme="minorHAnsi" w:cstheme="minorBidi"/>
    </w:rPr>
  </w:style>
  <w:style w:type="paragraph" w:customStyle="1" w:styleId="LegalNumPar3">
    <w:name w:val="LegalNumPar3"/>
    <w:basedOn w:val="Normal"/>
    <w:rsid w:val="005441B2"/>
    <w:pPr>
      <w:numPr>
        <w:ilvl w:val="2"/>
        <w:numId w:val="93"/>
      </w:numPr>
      <w:spacing w:after="160" w:line="259" w:lineRule="auto"/>
    </w:pPr>
    <w:rPr>
      <w:rFonts w:asciiTheme="minorHAnsi" w:eastAsiaTheme="minorHAnsi" w:hAnsiTheme="minorHAnsi" w:cstheme="minorBidi"/>
    </w:rPr>
  </w:style>
  <w:style w:type="paragraph" w:styleId="PlainText">
    <w:name w:val="Plain Text"/>
    <w:basedOn w:val="Normal"/>
    <w:link w:val="PlainTextChar"/>
    <w:uiPriority w:val="99"/>
    <w:unhideWhenUsed/>
    <w:rsid w:val="0007130A"/>
    <w:pPr>
      <w:spacing w:after="0" w:line="240" w:lineRule="auto"/>
    </w:pPr>
    <w:rPr>
      <w:rFonts w:eastAsiaTheme="minorHAnsi" w:cs="Calibri"/>
      <w14:ligatures w14:val="standardContextual"/>
    </w:rPr>
  </w:style>
  <w:style w:type="character" w:customStyle="1" w:styleId="PlainTextChar">
    <w:name w:val="Plain Text Char"/>
    <w:basedOn w:val="DefaultParagraphFont"/>
    <w:link w:val="PlainText"/>
    <w:uiPriority w:val="99"/>
    <w:rsid w:val="0007130A"/>
    <w:rPr>
      <w:rFonts w:ascii="Calibri" w:hAnsi="Calibri" w:cs="Calibri"/>
      <w:lang w:val="et-EE"/>
      <w14:ligatures w14:val="standardContextual"/>
    </w:rPr>
  </w:style>
  <w:style w:type="character" w:customStyle="1" w:styleId="Mention11">
    <w:name w:val="Mention11"/>
    <w:basedOn w:val="DefaultParagraphFont"/>
    <w:uiPriority w:val="99"/>
    <w:unhideWhenUsed/>
    <w:rsid w:val="000C75B6"/>
    <w:rPr>
      <w:color w:val="2B579A"/>
      <w:shd w:val="clear" w:color="auto" w:fill="E1DFDD"/>
    </w:rPr>
  </w:style>
  <w:style w:type="character" w:customStyle="1" w:styleId="Mention12">
    <w:name w:val="Mention12"/>
    <w:basedOn w:val="DefaultParagraphFont"/>
    <w:uiPriority w:val="99"/>
    <w:unhideWhenUsed/>
    <w:rsid w:val="003568E5"/>
    <w:rPr>
      <w:color w:val="2B579A"/>
      <w:shd w:val="clear" w:color="auto" w:fill="E1DFDD"/>
    </w:rPr>
  </w:style>
  <w:style w:type="character" w:customStyle="1" w:styleId="UnresolvedMention1">
    <w:name w:val="Unresolved Mention1"/>
    <w:basedOn w:val="DefaultParagraphFont"/>
    <w:uiPriority w:val="99"/>
    <w:semiHidden/>
    <w:unhideWhenUsed/>
    <w:rsid w:val="009016E9"/>
    <w:rPr>
      <w:color w:val="605E5C"/>
      <w:shd w:val="clear" w:color="auto" w:fill="E1DFDD"/>
    </w:rPr>
  </w:style>
  <w:style w:type="character" w:customStyle="1" w:styleId="UnresolvedMention2">
    <w:name w:val="Unresolved Mention2"/>
    <w:basedOn w:val="DefaultParagraphFont"/>
    <w:uiPriority w:val="99"/>
    <w:semiHidden/>
    <w:unhideWhenUsed/>
    <w:rsid w:val="004F7E15"/>
    <w:rPr>
      <w:color w:val="605E5C"/>
      <w:shd w:val="clear" w:color="auto" w:fill="E1DFDD"/>
    </w:rPr>
  </w:style>
  <w:style w:type="character" w:customStyle="1" w:styleId="Mention13">
    <w:name w:val="Mention13"/>
    <w:basedOn w:val="DefaultParagraphFont"/>
    <w:uiPriority w:val="99"/>
    <w:unhideWhenUsed/>
    <w:rsid w:val="004F7E15"/>
    <w:rPr>
      <w:color w:val="2B579A"/>
      <w:shd w:val="clear" w:color="auto" w:fill="E1DFDD"/>
    </w:rPr>
  </w:style>
  <w:style w:type="character" w:customStyle="1" w:styleId="UnresolvedMention3">
    <w:name w:val="Unresolved Mention3"/>
    <w:basedOn w:val="DefaultParagraphFont"/>
    <w:uiPriority w:val="99"/>
    <w:semiHidden/>
    <w:unhideWhenUsed/>
    <w:rsid w:val="00D85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126">
      <w:bodyDiv w:val="1"/>
      <w:marLeft w:val="0"/>
      <w:marRight w:val="0"/>
      <w:marTop w:val="0"/>
      <w:marBottom w:val="0"/>
      <w:divBdr>
        <w:top w:val="none" w:sz="0" w:space="0" w:color="auto"/>
        <w:left w:val="none" w:sz="0" w:space="0" w:color="auto"/>
        <w:bottom w:val="none" w:sz="0" w:space="0" w:color="auto"/>
        <w:right w:val="none" w:sz="0" w:space="0" w:color="auto"/>
      </w:divBdr>
    </w:div>
    <w:div w:id="216361478">
      <w:bodyDiv w:val="1"/>
      <w:marLeft w:val="0"/>
      <w:marRight w:val="0"/>
      <w:marTop w:val="0"/>
      <w:marBottom w:val="0"/>
      <w:divBdr>
        <w:top w:val="none" w:sz="0" w:space="0" w:color="auto"/>
        <w:left w:val="none" w:sz="0" w:space="0" w:color="auto"/>
        <w:bottom w:val="none" w:sz="0" w:space="0" w:color="auto"/>
        <w:right w:val="none" w:sz="0" w:space="0" w:color="auto"/>
      </w:divBdr>
    </w:div>
    <w:div w:id="413359547">
      <w:bodyDiv w:val="1"/>
      <w:marLeft w:val="0"/>
      <w:marRight w:val="0"/>
      <w:marTop w:val="0"/>
      <w:marBottom w:val="0"/>
      <w:divBdr>
        <w:top w:val="none" w:sz="0" w:space="0" w:color="auto"/>
        <w:left w:val="none" w:sz="0" w:space="0" w:color="auto"/>
        <w:bottom w:val="none" w:sz="0" w:space="0" w:color="auto"/>
        <w:right w:val="none" w:sz="0" w:space="0" w:color="auto"/>
      </w:divBdr>
    </w:div>
    <w:div w:id="577175763">
      <w:bodyDiv w:val="1"/>
      <w:marLeft w:val="0"/>
      <w:marRight w:val="0"/>
      <w:marTop w:val="0"/>
      <w:marBottom w:val="0"/>
      <w:divBdr>
        <w:top w:val="none" w:sz="0" w:space="0" w:color="auto"/>
        <w:left w:val="none" w:sz="0" w:space="0" w:color="auto"/>
        <w:bottom w:val="none" w:sz="0" w:space="0" w:color="auto"/>
        <w:right w:val="none" w:sz="0" w:space="0" w:color="auto"/>
      </w:divBdr>
    </w:div>
    <w:div w:id="814223350">
      <w:bodyDiv w:val="1"/>
      <w:marLeft w:val="0"/>
      <w:marRight w:val="0"/>
      <w:marTop w:val="0"/>
      <w:marBottom w:val="0"/>
      <w:divBdr>
        <w:top w:val="none" w:sz="0" w:space="0" w:color="auto"/>
        <w:left w:val="none" w:sz="0" w:space="0" w:color="auto"/>
        <w:bottom w:val="none" w:sz="0" w:space="0" w:color="auto"/>
        <w:right w:val="none" w:sz="0" w:space="0" w:color="auto"/>
      </w:divBdr>
    </w:div>
    <w:div w:id="1251506913">
      <w:bodyDiv w:val="1"/>
      <w:marLeft w:val="0"/>
      <w:marRight w:val="0"/>
      <w:marTop w:val="0"/>
      <w:marBottom w:val="0"/>
      <w:divBdr>
        <w:top w:val="none" w:sz="0" w:space="0" w:color="auto"/>
        <w:left w:val="none" w:sz="0" w:space="0" w:color="auto"/>
        <w:bottom w:val="none" w:sz="0" w:space="0" w:color="auto"/>
        <w:right w:val="none" w:sz="0" w:space="0" w:color="auto"/>
      </w:divBdr>
    </w:div>
    <w:div w:id="1288971928">
      <w:bodyDiv w:val="1"/>
      <w:marLeft w:val="0"/>
      <w:marRight w:val="0"/>
      <w:marTop w:val="0"/>
      <w:marBottom w:val="0"/>
      <w:divBdr>
        <w:top w:val="none" w:sz="0" w:space="0" w:color="auto"/>
        <w:left w:val="none" w:sz="0" w:space="0" w:color="auto"/>
        <w:bottom w:val="none" w:sz="0" w:space="0" w:color="auto"/>
        <w:right w:val="none" w:sz="0" w:space="0" w:color="auto"/>
      </w:divBdr>
    </w:div>
    <w:div w:id="19178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99" Type="http://schemas.openxmlformats.org/officeDocument/2006/relationships/footer" Target="footer143.xml"/><Relationship Id="rId21" Type="http://schemas.openxmlformats.org/officeDocument/2006/relationships/header" Target="header5.xml"/><Relationship Id="rId63" Type="http://schemas.openxmlformats.org/officeDocument/2006/relationships/header" Target="header26.xml"/><Relationship Id="rId159" Type="http://schemas.openxmlformats.org/officeDocument/2006/relationships/header" Target="header74.xml"/><Relationship Id="rId324" Type="http://schemas.openxmlformats.org/officeDocument/2006/relationships/header" Target="header156.xml"/><Relationship Id="rId366" Type="http://schemas.openxmlformats.org/officeDocument/2006/relationships/header" Target="header177.xml"/><Relationship Id="rId170" Type="http://schemas.openxmlformats.org/officeDocument/2006/relationships/header" Target="header79.xml"/><Relationship Id="rId226" Type="http://schemas.openxmlformats.org/officeDocument/2006/relationships/footer" Target="footer106.xml"/><Relationship Id="rId433" Type="http://schemas.openxmlformats.org/officeDocument/2006/relationships/footer" Target="footer210.xml"/><Relationship Id="rId268" Type="http://schemas.openxmlformats.org/officeDocument/2006/relationships/footer" Target="footer127.xml"/><Relationship Id="rId32" Type="http://schemas.openxmlformats.org/officeDocument/2006/relationships/header" Target="header10.xml"/><Relationship Id="rId74" Type="http://schemas.openxmlformats.org/officeDocument/2006/relationships/header" Target="header31.xml"/><Relationship Id="rId128" Type="http://schemas.openxmlformats.org/officeDocument/2006/relationships/header" Target="header58.xml"/><Relationship Id="rId335" Type="http://schemas.openxmlformats.org/officeDocument/2006/relationships/footer" Target="footer161.xml"/><Relationship Id="rId377" Type="http://schemas.openxmlformats.org/officeDocument/2006/relationships/footer" Target="footer182.xml"/><Relationship Id="rId5" Type="http://schemas.openxmlformats.org/officeDocument/2006/relationships/customXml" Target="../customXml/item5.xml"/><Relationship Id="rId181" Type="http://schemas.openxmlformats.org/officeDocument/2006/relationships/footer" Target="footer84.xml"/><Relationship Id="rId237" Type="http://schemas.openxmlformats.org/officeDocument/2006/relationships/header" Target="header113.xml"/><Relationship Id="rId402" Type="http://schemas.openxmlformats.org/officeDocument/2006/relationships/header" Target="header195.xml"/><Relationship Id="rId279" Type="http://schemas.openxmlformats.org/officeDocument/2006/relationships/header" Target="header134.xml"/><Relationship Id="rId444" Type="http://schemas.openxmlformats.org/officeDocument/2006/relationships/header" Target="header216.xml"/><Relationship Id="rId43" Type="http://schemas.openxmlformats.org/officeDocument/2006/relationships/footer" Target="footer15.xml"/><Relationship Id="rId139" Type="http://schemas.openxmlformats.org/officeDocument/2006/relationships/footer" Target="footer63.xml"/><Relationship Id="rId290" Type="http://schemas.openxmlformats.org/officeDocument/2006/relationships/header" Target="header139.xml"/><Relationship Id="rId304" Type="http://schemas.openxmlformats.org/officeDocument/2006/relationships/footer" Target="footer145.xml"/><Relationship Id="rId346" Type="http://schemas.openxmlformats.org/officeDocument/2006/relationships/footer" Target="footer166.xml"/><Relationship Id="rId388" Type="http://schemas.openxmlformats.org/officeDocument/2006/relationships/footer" Target="footer187.xml"/><Relationship Id="rId85" Type="http://schemas.openxmlformats.org/officeDocument/2006/relationships/footer" Target="footer36.xml"/><Relationship Id="rId150" Type="http://schemas.openxmlformats.org/officeDocument/2006/relationships/header" Target="header69.xml"/><Relationship Id="rId192" Type="http://schemas.openxmlformats.org/officeDocument/2006/relationships/header" Target="header90.xml"/><Relationship Id="rId206" Type="http://schemas.openxmlformats.org/officeDocument/2006/relationships/header" Target="header97.xml"/><Relationship Id="rId413" Type="http://schemas.openxmlformats.org/officeDocument/2006/relationships/footer" Target="footer200.xml"/><Relationship Id="rId248" Type="http://schemas.openxmlformats.org/officeDocument/2006/relationships/header" Target="header118.xml"/><Relationship Id="rId455" Type="http://schemas.openxmlformats.org/officeDocument/2006/relationships/footer" Target="footer221.xml"/><Relationship Id="rId12" Type="http://schemas.openxmlformats.org/officeDocument/2006/relationships/endnotes" Target="endnotes.xml"/><Relationship Id="rId108" Type="http://schemas.openxmlformats.org/officeDocument/2006/relationships/header" Target="header48.xml"/><Relationship Id="rId315" Type="http://schemas.openxmlformats.org/officeDocument/2006/relationships/header" Target="header152.xml"/><Relationship Id="rId357" Type="http://schemas.openxmlformats.org/officeDocument/2006/relationships/header" Target="header173.xml"/><Relationship Id="rId54" Type="http://schemas.openxmlformats.org/officeDocument/2006/relationships/header" Target="header21.xml"/><Relationship Id="rId96" Type="http://schemas.openxmlformats.org/officeDocument/2006/relationships/header" Target="header42.xml"/><Relationship Id="rId161" Type="http://schemas.openxmlformats.org/officeDocument/2006/relationships/footer" Target="footer74.xml"/><Relationship Id="rId217" Type="http://schemas.openxmlformats.org/officeDocument/2006/relationships/footer" Target="footer102.xml"/><Relationship Id="rId399" Type="http://schemas.openxmlformats.org/officeDocument/2006/relationships/header" Target="header194.xml"/><Relationship Id="rId259" Type="http://schemas.openxmlformats.org/officeDocument/2006/relationships/footer" Target="footer123.xml"/><Relationship Id="rId424" Type="http://schemas.openxmlformats.org/officeDocument/2006/relationships/footer" Target="footer205.xml"/><Relationship Id="rId466" Type="http://schemas.openxmlformats.org/officeDocument/2006/relationships/footer" Target="footer226.xml"/><Relationship Id="rId23" Type="http://schemas.openxmlformats.org/officeDocument/2006/relationships/footer" Target="footer5.xml"/><Relationship Id="rId119" Type="http://schemas.openxmlformats.org/officeDocument/2006/relationships/footer" Target="footer53.xml"/><Relationship Id="rId270" Type="http://schemas.openxmlformats.org/officeDocument/2006/relationships/header" Target="header129.xml"/><Relationship Id="rId326" Type="http://schemas.openxmlformats.org/officeDocument/2006/relationships/header" Target="header157.xml"/><Relationship Id="rId65" Type="http://schemas.openxmlformats.org/officeDocument/2006/relationships/footer" Target="footer26.xml"/><Relationship Id="rId130" Type="http://schemas.openxmlformats.org/officeDocument/2006/relationships/footer" Target="footer58.xml"/><Relationship Id="rId368" Type="http://schemas.openxmlformats.org/officeDocument/2006/relationships/header" Target="header178.xml"/><Relationship Id="rId172" Type="http://schemas.openxmlformats.org/officeDocument/2006/relationships/footer" Target="footer79.xml"/><Relationship Id="rId193" Type="http://schemas.openxmlformats.org/officeDocument/2006/relationships/footer" Target="footer90.xml"/><Relationship Id="rId207" Type="http://schemas.openxmlformats.org/officeDocument/2006/relationships/header" Target="header98.xml"/><Relationship Id="rId228" Type="http://schemas.openxmlformats.org/officeDocument/2006/relationships/header" Target="header108.xml"/><Relationship Id="rId249" Type="http://schemas.openxmlformats.org/officeDocument/2006/relationships/header" Target="header119.xml"/><Relationship Id="rId414" Type="http://schemas.openxmlformats.org/officeDocument/2006/relationships/header" Target="header201.xml"/><Relationship Id="rId435" Type="http://schemas.openxmlformats.org/officeDocument/2006/relationships/header" Target="header212.xml"/><Relationship Id="rId456" Type="http://schemas.openxmlformats.org/officeDocument/2006/relationships/header" Target="header222.xml"/><Relationship Id="rId13" Type="http://schemas.openxmlformats.org/officeDocument/2006/relationships/image" Target="media/image1.emf"/><Relationship Id="rId109" Type="http://schemas.openxmlformats.org/officeDocument/2006/relationships/footer" Target="footer48.xml"/><Relationship Id="rId260" Type="http://schemas.openxmlformats.org/officeDocument/2006/relationships/header" Target="header124.xml"/><Relationship Id="rId281" Type="http://schemas.openxmlformats.org/officeDocument/2006/relationships/footer" Target="footer134.xml"/><Relationship Id="rId316" Type="http://schemas.openxmlformats.org/officeDocument/2006/relationships/footer" Target="footer151.xml"/><Relationship Id="rId337" Type="http://schemas.openxmlformats.org/officeDocument/2006/relationships/footer" Target="footer162.xml"/><Relationship Id="rId34" Type="http://schemas.openxmlformats.org/officeDocument/2006/relationships/footer" Target="footer10.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footer" Target="footer42.xml"/><Relationship Id="rId120" Type="http://schemas.openxmlformats.org/officeDocument/2006/relationships/header" Target="header54.xml"/><Relationship Id="rId141" Type="http://schemas.openxmlformats.org/officeDocument/2006/relationships/header" Target="header65.xml"/><Relationship Id="rId358" Type="http://schemas.openxmlformats.org/officeDocument/2006/relationships/footer" Target="footer172.xml"/><Relationship Id="rId379" Type="http://schemas.openxmlformats.org/officeDocument/2006/relationships/footer" Target="footer183.xml"/><Relationship Id="rId7" Type="http://schemas.openxmlformats.org/officeDocument/2006/relationships/numbering" Target="numbering.xml"/><Relationship Id="rId162" Type="http://schemas.openxmlformats.org/officeDocument/2006/relationships/header" Target="header75.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footer" Target="footer113.xml"/><Relationship Id="rId390" Type="http://schemas.openxmlformats.org/officeDocument/2006/relationships/header" Target="header189.xml"/><Relationship Id="rId404" Type="http://schemas.openxmlformats.org/officeDocument/2006/relationships/header" Target="header196.xml"/><Relationship Id="rId425" Type="http://schemas.openxmlformats.org/officeDocument/2006/relationships/footer" Target="footer206.xml"/><Relationship Id="rId446" Type="http://schemas.openxmlformats.org/officeDocument/2006/relationships/header" Target="header217.xml"/><Relationship Id="rId467" Type="http://schemas.openxmlformats.org/officeDocument/2006/relationships/footer" Target="footer227.xml"/><Relationship Id="rId250" Type="http://schemas.openxmlformats.org/officeDocument/2006/relationships/footer" Target="footer118.xml"/><Relationship Id="rId271" Type="http://schemas.openxmlformats.org/officeDocument/2006/relationships/footer" Target="footer129.xml"/><Relationship Id="rId292" Type="http://schemas.openxmlformats.org/officeDocument/2006/relationships/footer" Target="footer139.xml"/><Relationship Id="rId306" Type="http://schemas.openxmlformats.org/officeDocument/2006/relationships/header" Target="header147.xml"/><Relationship Id="rId24" Type="http://schemas.openxmlformats.org/officeDocument/2006/relationships/header" Target="header6.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9.xml"/><Relationship Id="rId131" Type="http://schemas.openxmlformats.org/officeDocument/2006/relationships/footer" Target="footer59.xml"/><Relationship Id="rId327" Type="http://schemas.openxmlformats.org/officeDocument/2006/relationships/header" Target="header158.xml"/><Relationship Id="rId348" Type="http://schemas.openxmlformats.org/officeDocument/2006/relationships/header" Target="header168.xml"/><Relationship Id="rId369" Type="http://schemas.openxmlformats.org/officeDocument/2006/relationships/header" Target="header179.xml"/><Relationship Id="rId152" Type="http://schemas.openxmlformats.org/officeDocument/2006/relationships/header" Target="header70.xml"/><Relationship Id="rId173" Type="http://schemas.openxmlformats.org/officeDocument/2006/relationships/footer" Target="footer80.xml"/><Relationship Id="rId194" Type="http://schemas.openxmlformats.org/officeDocument/2006/relationships/header" Target="header91.xml"/><Relationship Id="rId208" Type="http://schemas.openxmlformats.org/officeDocument/2006/relationships/footer" Target="footer97.xml"/><Relationship Id="rId229" Type="http://schemas.openxmlformats.org/officeDocument/2006/relationships/footer" Target="footer108.xml"/><Relationship Id="rId380" Type="http://schemas.openxmlformats.org/officeDocument/2006/relationships/header" Target="header184.xml"/><Relationship Id="rId415" Type="http://schemas.openxmlformats.org/officeDocument/2006/relationships/footer" Target="footer201.xml"/><Relationship Id="rId436" Type="http://schemas.openxmlformats.org/officeDocument/2006/relationships/footer" Target="footer211.xml"/><Relationship Id="rId457" Type="http://schemas.openxmlformats.org/officeDocument/2006/relationships/footer" Target="footer222.xml"/><Relationship Id="rId240" Type="http://schemas.openxmlformats.org/officeDocument/2006/relationships/header" Target="header114.xml"/><Relationship Id="rId261" Type="http://schemas.openxmlformats.org/officeDocument/2006/relationships/header" Target="header125.xml"/><Relationship Id="rId14" Type="http://schemas.openxmlformats.org/officeDocument/2006/relationships/header" Target="header1.xml"/><Relationship Id="rId35" Type="http://schemas.openxmlformats.org/officeDocument/2006/relationships/footer" Target="footer11.xml"/><Relationship Id="rId56" Type="http://schemas.openxmlformats.org/officeDocument/2006/relationships/header" Target="header22.xml"/><Relationship Id="rId77" Type="http://schemas.openxmlformats.org/officeDocument/2006/relationships/footer" Target="footer32.xml"/><Relationship Id="rId100" Type="http://schemas.openxmlformats.org/officeDocument/2006/relationships/footer" Target="footer43.xml"/><Relationship Id="rId282" Type="http://schemas.openxmlformats.org/officeDocument/2006/relationships/header" Target="header135.xml"/><Relationship Id="rId317" Type="http://schemas.openxmlformats.org/officeDocument/2006/relationships/footer" Target="footer152.xml"/><Relationship Id="rId338" Type="http://schemas.openxmlformats.org/officeDocument/2006/relationships/header" Target="header163.xml"/><Relationship Id="rId359" Type="http://schemas.openxmlformats.org/officeDocument/2006/relationships/footer" Target="footer173.xml"/><Relationship Id="rId8" Type="http://schemas.openxmlformats.org/officeDocument/2006/relationships/styles" Target="styles.xml"/><Relationship Id="rId98" Type="http://schemas.openxmlformats.org/officeDocument/2006/relationships/header" Target="header43.xml"/><Relationship Id="rId121" Type="http://schemas.openxmlformats.org/officeDocument/2006/relationships/footer" Target="footer54.xml"/><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footer" Target="footer85.xml"/><Relationship Id="rId219" Type="http://schemas.openxmlformats.org/officeDocument/2006/relationships/header" Target="header104.xml"/><Relationship Id="rId370" Type="http://schemas.openxmlformats.org/officeDocument/2006/relationships/footer" Target="footer178.xml"/><Relationship Id="rId391" Type="http://schemas.openxmlformats.org/officeDocument/2006/relationships/footer" Target="footer189.xml"/><Relationship Id="rId405" Type="http://schemas.openxmlformats.org/officeDocument/2006/relationships/header" Target="header197.xml"/><Relationship Id="rId426" Type="http://schemas.openxmlformats.org/officeDocument/2006/relationships/header" Target="header207.xml"/><Relationship Id="rId447" Type="http://schemas.openxmlformats.org/officeDocument/2006/relationships/header" Target="header218.xml"/><Relationship Id="rId230" Type="http://schemas.openxmlformats.org/officeDocument/2006/relationships/header" Target="header109.xml"/><Relationship Id="rId251" Type="http://schemas.openxmlformats.org/officeDocument/2006/relationships/footer" Target="footer119.xml"/><Relationship Id="rId468" Type="http://schemas.openxmlformats.org/officeDocument/2006/relationships/header" Target="header228.xml"/><Relationship Id="rId25" Type="http://schemas.openxmlformats.org/officeDocument/2006/relationships/footer" Target="footer6.xml"/><Relationship Id="rId46" Type="http://schemas.openxmlformats.org/officeDocument/2006/relationships/footer" Target="footer16.xml"/><Relationship Id="rId67" Type="http://schemas.openxmlformats.org/officeDocument/2006/relationships/footer" Target="footer27.xml"/><Relationship Id="rId272" Type="http://schemas.openxmlformats.org/officeDocument/2006/relationships/header" Target="header130.xml"/><Relationship Id="rId293" Type="http://schemas.openxmlformats.org/officeDocument/2006/relationships/footer" Target="footer140.xml"/><Relationship Id="rId307" Type="http://schemas.openxmlformats.org/officeDocument/2006/relationships/footer" Target="footer147.xml"/><Relationship Id="rId328" Type="http://schemas.openxmlformats.org/officeDocument/2006/relationships/footer" Target="footer157.xml"/><Relationship Id="rId349" Type="http://schemas.openxmlformats.org/officeDocument/2006/relationships/footer" Target="footer168.xml"/><Relationship Id="rId88" Type="http://schemas.openxmlformats.org/officeDocument/2006/relationships/footer" Target="footer37.xml"/><Relationship Id="rId111" Type="http://schemas.openxmlformats.org/officeDocument/2006/relationships/header" Target="header50.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header" Target="header81.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header" Target="header174.xml"/><Relationship Id="rId381" Type="http://schemas.openxmlformats.org/officeDocument/2006/relationships/header" Target="header185.xml"/><Relationship Id="rId416" Type="http://schemas.openxmlformats.org/officeDocument/2006/relationships/header" Target="header202.xml"/><Relationship Id="rId220" Type="http://schemas.openxmlformats.org/officeDocument/2006/relationships/footer" Target="footer103.xml"/><Relationship Id="rId241" Type="http://schemas.openxmlformats.org/officeDocument/2006/relationships/footer" Target="footer114.xml"/><Relationship Id="rId437" Type="http://schemas.openxmlformats.org/officeDocument/2006/relationships/footer" Target="footer212.xml"/><Relationship Id="rId458" Type="http://schemas.openxmlformats.org/officeDocument/2006/relationships/header" Target="header223.xml"/><Relationship Id="rId15" Type="http://schemas.openxmlformats.org/officeDocument/2006/relationships/header" Target="header2.xml"/><Relationship Id="rId36" Type="http://schemas.openxmlformats.org/officeDocument/2006/relationships/header" Target="header12.xml"/><Relationship Id="rId57" Type="http://schemas.openxmlformats.org/officeDocument/2006/relationships/header" Target="header23.xml"/><Relationship Id="rId262" Type="http://schemas.openxmlformats.org/officeDocument/2006/relationships/footer" Target="footer124.xml"/><Relationship Id="rId283" Type="http://schemas.openxmlformats.org/officeDocument/2006/relationships/footer" Target="footer135.xml"/><Relationship Id="rId318" Type="http://schemas.openxmlformats.org/officeDocument/2006/relationships/header" Target="header153.xml"/><Relationship Id="rId339" Type="http://schemas.openxmlformats.org/officeDocument/2006/relationships/header" Target="header164.xml"/><Relationship Id="rId78" Type="http://schemas.openxmlformats.org/officeDocument/2006/relationships/header" Target="header33.xml"/><Relationship Id="rId99" Type="http://schemas.openxmlformats.org/officeDocument/2006/relationships/header" Target="header44.xml"/><Relationship Id="rId101" Type="http://schemas.openxmlformats.org/officeDocument/2006/relationships/footer" Target="footer44.xml"/><Relationship Id="rId122" Type="http://schemas.openxmlformats.org/officeDocument/2006/relationships/header" Target="header55.xml"/><Relationship Id="rId143" Type="http://schemas.openxmlformats.org/officeDocument/2006/relationships/footer" Target="footer65.xml"/><Relationship Id="rId164" Type="http://schemas.openxmlformats.org/officeDocument/2006/relationships/header" Target="header76.xml"/><Relationship Id="rId185" Type="http://schemas.openxmlformats.org/officeDocument/2006/relationships/footer" Target="footer86.xml"/><Relationship Id="rId350" Type="http://schemas.openxmlformats.org/officeDocument/2006/relationships/header" Target="header169.xml"/><Relationship Id="rId371" Type="http://schemas.openxmlformats.org/officeDocument/2006/relationships/footer" Target="footer179.xml"/><Relationship Id="rId406" Type="http://schemas.openxmlformats.org/officeDocument/2006/relationships/footer" Target="footer196.xml"/><Relationship Id="rId9" Type="http://schemas.openxmlformats.org/officeDocument/2006/relationships/settings" Target="settings.xml"/><Relationship Id="rId210" Type="http://schemas.openxmlformats.org/officeDocument/2006/relationships/header" Target="header99.xml"/><Relationship Id="rId392" Type="http://schemas.openxmlformats.org/officeDocument/2006/relationships/header" Target="header190.xml"/><Relationship Id="rId427" Type="http://schemas.openxmlformats.org/officeDocument/2006/relationships/footer" Target="footer207.xml"/><Relationship Id="rId448" Type="http://schemas.openxmlformats.org/officeDocument/2006/relationships/footer" Target="footer217.xml"/><Relationship Id="rId469" Type="http://schemas.openxmlformats.org/officeDocument/2006/relationships/footer" Target="footer228.xml"/><Relationship Id="rId26" Type="http://schemas.openxmlformats.org/officeDocument/2006/relationships/header" Target="header7.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1.xml"/><Relationship Id="rId294" Type="http://schemas.openxmlformats.org/officeDocument/2006/relationships/header" Target="header141.xml"/><Relationship Id="rId308" Type="http://schemas.openxmlformats.org/officeDocument/2006/relationships/header" Target="header148.xml"/><Relationship Id="rId329" Type="http://schemas.openxmlformats.org/officeDocument/2006/relationships/footer" Target="footer158.xml"/><Relationship Id="rId47" Type="http://schemas.openxmlformats.org/officeDocument/2006/relationships/footer" Target="footer17.xml"/><Relationship Id="rId68" Type="http://schemas.openxmlformats.org/officeDocument/2006/relationships/header" Target="header28.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footer" Target="footer81.xml"/><Relationship Id="rId340" Type="http://schemas.openxmlformats.org/officeDocument/2006/relationships/footer" Target="footer163.xml"/><Relationship Id="rId361" Type="http://schemas.openxmlformats.org/officeDocument/2006/relationships/footer" Target="footer174.xml"/><Relationship Id="rId196" Type="http://schemas.openxmlformats.org/officeDocument/2006/relationships/footer" Target="footer91.xml"/><Relationship Id="rId200" Type="http://schemas.openxmlformats.org/officeDocument/2006/relationships/header" Target="header94.xml"/><Relationship Id="rId382" Type="http://schemas.openxmlformats.org/officeDocument/2006/relationships/footer" Target="footer184.xml"/><Relationship Id="rId417" Type="http://schemas.openxmlformats.org/officeDocument/2006/relationships/header" Target="header203.xml"/><Relationship Id="rId438" Type="http://schemas.openxmlformats.org/officeDocument/2006/relationships/header" Target="header213.xml"/><Relationship Id="rId459" Type="http://schemas.openxmlformats.org/officeDocument/2006/relationships/header" Target="header224.xml"/><Relationship Id="rId16" Type="http://schemas.openxmlformats.org/officeDocument/2006/relationships/footer" Target="footer1.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header" Target="header136.xml"/><Relationship Id="rId319" Type="http://schemas.openxmlformats.org/officeDocument/2006/relationships/footer" Target="footer153.xml"/><Relationship Id="rId470" Type="http://schemas.openxmlformats.org/officeDocument/2006/relationships/fontTable" Target="fontTable.xml"/><Relationship Id="rId37" Type="http://schemas.openxmlformats.org/officeDocument/2006/relationships/footer" Target="footer12.xml"/><Relationship Id="rId58" Type="http://schemas.openxmlformats.org/officeDocument/2006/relationships/footer" Target="footer22.xml"/><Relationship Id="rId79" Type="http://schemas.openxmlformats.org/officeDocument/2006/relationships/footer" Target="footer33.xml"/><Relationship Id="rId102" Type="http://schemas.openxmlformats.org/officeDocument/2006/relationships/header" Target="header45.xml"/><Relationship Id="rId123" Type="http://schemas.openxmlformats.org/officeDocument/2006/relationships/header" Target="header56.xml"/><Relationship Id="rId144" Type="http://schemas.openxmlformats.org/officeDocument/2006/relationships/header" Target="header66.xml"/><Relationship Id="rId330" Type="http://schemas.openxmlformats.org/officeDocument/2006/relationships/header" Target="header159.xml"/><Relationship Id="rId90" Type="http://schemas.openxmlformats.org/officeDocument/2006/relationships/header" Target="header39.xml"/><Relationship Id="rId165" Type="http://schemas.openxmlformats.org/officeDocument/2006/relationships/header" Target="header77.xml"/><Relationship Id="rId186" Type="http://schemas.openxmlformats.org/officeDocument/2006/relationships/header" Target="header87.xml"/><Relationship Id="rId351" Type="http://schemas.openxmlformats.org/officeDocument/2006/relationships/header" Target="header170.xml"/><Relationship Id="rId372" Type="http://schemas.openxmlformats.org/officeDocument/2006/relationships/header" Target="header180.xml"/><Relationship Id="rId393" Type="http://schemas.openxmlformats.org/officeDocument/2006/relationships/header" Target="header191.xml"/><Relationship Id="rId407" Type="http://schemas.openxmlformats.org/officeDocument/2006/relationships/footer" Target="footer197.xml"/><Relationship Id="rId428" Type="http://schemas.openxmlformats.org/officeDocument/2006/relationships/header" Target="header208.xml"/><Relationship Id="rId449" Type="http://schemas.openxmlformats.org/officeDocument/2006/relationships/footer" Target="footer218.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footer" Target="footer130.xml"/><Relationship Id="rId295" Type="http://schemas.openxmlformats.org/officeDocument/2006/relationships/footer" Target="footer141.xml"/><Relationship Id="rId309" Type="http://schemas.openxmlformats.org/officeDocument/2006/relationships/header" Target="header149.xml"/><Relationship Id="rId460" Type="http://schemas.openxmlformats.org/officeDocument/2006/relationships/footer" Target="footer223.xml"/><Relationship Id="rId27" Type="http://schemas.openxmlformats.org/officeDocument/2006/relationships/header" Target="header8.xml"/><Relationship Id="rId48" Type="http://schemas.openxmlformats.org/officeDocument/2006/relationships/header" Target="header18.xml"/><Relationship Id="rId69" Type="http://schemas.openxmlformats.org/officeDocument/2006/relationships/header" Target="header29.xml"/><Relationship Id="rId113" Type="http://schemas.openxmlformats.org/officeDocument/2006/relationships/footer" Target="footer50.xml"/><Relationship Id="rId134" Type="http://schemas.openxmlformats.org/officeDocument/2006/relationships/header" Target="header61.xml"/><Relationship Id="rId320" Type="http://schemas.openxmlformats.org/officeDocument/2006/relationships/header" Target="header154.xml"/><Relationship Id="rId80" Type="http://schemas.openxmlformats.org/officeDocument/2006/relationships/header" Target="header34.xml"/><Relationship Id="rId155" Type="http://schemas.openxmlformats.org/officeDocument/2006/relationships/footer" Target="footer71.xml"/><Relationship Id="rId176" Type="http://schemas.openxmlformats.org/officeDocument/2006/relationships/header" Target="header82.xml"/><Relationship Id="rId197" Type="http://schemas.openxmlformats.org/officeDocument/2006/relationships/footer" Target="footer92.xml"/><Relationship Id="rId341" Type="http://schemas.openxmlformats.org/officeDocument/2006/relationships/footer" Target="footer164.xml"/><Relationship Id="rId362" Type="http://schemas.openxmlformats.org/officeDocument/2006/relationships/header" Target="header175.xml"/><Relationship Id="rId383" Type="http://schemas.openxmlformats.org/officeDocument/2006/relationships/footer" Target="footer185.xml"/><Relationship Id="rId418" Type="http://schemas.openxmlformats.org/officeDocument/2006/relationships/footer" Target="footer202.xml"/><Relationship Id="rId439" Type="http://schemas.openxmlformats.org/officeDocument/2006/relationships/footer" Target="footer213.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7.xml"/><Relationship Id="rId450" Type="http://schemas.openxmlformats.org/officeDocument/2006/relationships/header" Target="header219.xml"/><Relationship Id="rId471" Type="http://schemas.openxmlformats.org/officeDocument/2006/relationships/theme" Target="theme/theme1.xml"/><Relationship Id="rId17" Type="http://schemas.openxmlformats.org/officeDocument/2006/relationships/footer" Target="footer2.xml"/><Relationship Id="rId38" Type="http://schemas.openxmlformats.org/officeDocument/2006/relationships/header" Target="header13.xml"/><Relationship Id="rId59" Type="http://schemas.openxmlformats.org/officeDocument/2006/relationships/footer" Target="footer23.xml"/><Relationship Id="rId103" Type="http://schemas.openxmlformats.org/officeDocument/2006/relationships/footer" Target="footer45.xml"/><Relationship Id="rId124" Type="http://schemas.openxmlformats.org/officeDocument/2006/relationships/footer" Target="footer55.xml"/><Relationship Id="rId310" Type="http://schemas.openxmlformats.org/officeDocument/2006/relationships/footer" Target="footer148.xml"/><Relationship Id="rId70" Type="http://schemas.openxmlformats.org/officeDocument/2006/relationships/footer" Target="footer28.xml"/><Relationship Id="rId91" Type="http://schemas.openxmlformats.org/officeDocument/2006/relationships/footer" Target="footer39.xml"/><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331" Type="http://schemas.openxmlformats.org/officeDocument/2006/relationships/footer" Target="footer159.xml"/><Relationship Id="rId352" Type="http://schemas.openxmlformats.org/officeDocument/2006/relationships/footer" Target="footer169.xml"/><Relationship Id="rId373" Type="http://schemas.openxmlformats.org/officeDocument/2006/relationships/footer" Target="footer180.xml"/><Relationship Id="rId394" Type="http://schemas.openxmlformats.org/officeDocument/2006/relationships/footer" Target="footer190.xml"/><Relationship Id="rId408" Type="http://schemas.openxmlformats.org/officeDocument/2006/relationships/header" Target="header198.xml"/><Relationship Id="rId429" Type="http://schemas.openxmlformats.org/officeDocument/2006/relationships/header" Target="header209.xml"/><Relationship Id="rId1" Type="http://schemas.openxmlformats.org/officeDocument/2006/relationships/customXml" Target="../customXml/item1.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440" Type="http://schemas.openxmlformats.org/officeDocument/2006/relationships/header" Target="header214.xml"/><Relationship Id="rId28" Type="http://schemas.openxmlformats.org/officeDocument/2006/relationships/footer" Target="footer7.xml"/><Relationship Id="rId49" Type="http://schemas.openxmlformats.org/officeDocument/2006/relationships/footer" Target="footer18.xml"/><Relationship Id="rId114" Type="http://schemas.openxmlformats.org/officeDocument/2006/relationships/header" Target="header51.xml"/><Relationship Id="rId275" Type="http://schemas.openxmlformats.org/officeDocument/2006/relationships/footer" Target="footer131.xml"/><Relationship Id="rId296" Type="http://schemas.openxmlformats.org/officeDocument/2006/relationships/header" Target="header142.xml"/><Relationship Id="rId300" Type="http://schemas.openxmlformats.org/officeDocument/2006/relationships/header" Target="header144.xml"/><Relationship Id="rId461" Type="http://schemas.openxmlformats.org/officeDocument/2006/relationships/footer" Target="footer224.xml"/><Relationship Id="rId60" Type="http://schemas.openxmlformats.org/officeDocument/2006/relationships/header" Target="header24.xml"/><Relationship Id="rId81" Type="http://schemas.openxmlformats.org/officeDocument/2006/relationships/header" Target="header35.xml"/><Relationship Id="rId135" Type="http://schemas.openxmlformats.org/officeDocument/2006/relationships/header" Target="header62.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321" Type="http://schemas.openxmlformats.org/officeDocument/2006/relationships/header" Target="header155.xml"/><Relationship Id="rId342" Type="http://schemas.openxmlformats.org/officeDocument/2006/relationships/header" Target="header165.xml"/><Relationship Id="rId363" Type="http://schemas.openxmlformats.org/officeDocument/2006/relationships/header" Target="header176.xml"/><Relationship Id="rId384" Type="http://schemas.openxmlformats.org/officeDocument/2006/relationships/header" Target="header186.xml"/><Relationship Id="rId419" Type="http://schemas.openxmlformats.org/officeDocument/2006/relationships/footer" Target="footer203.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430" Type="http://schemas.openxmlformats.org/officeDocument/2006/relationships/footer" Target="footer208.xml"/><Relationship Id="rId18" Type="http://schemas.openxmlformats.org/officeDocument/2006/relationships/header" Target="header3.xml"/><Relationship Id="rId39" Type="http://schemas.openxmlformats.org/officeDocument/2006/relationships/header" Target="header14.xml"/><Relationship Id="rId265" Type="http://schemas.openxmlformats.org/officeDocument/2006/relationships/footer" Target="footer126.xml"/><Relationship Id="rId286" Type="http://schemas.openxmlformats.org/officeDocument/2006/relationships/footer" Target="footer136.xml"/><Relationship Id="rId451" Type="http://schemas.openxmlformats.org/officeDocument/2006/relationships/footer" Target="footer219.xml"/><Relationship Id="rId472" Type="http://schemas.microsoft.com/office/2019/05/relationships/documenttasks" Target="documenttasks/documenttasks1.xml"/><Relationship Id="rId50" Type="http://schemas.openxmlformats.org/officeDocument/2006/relationships/header" Target="header19.xml"/><Relationship Id="rId104" Type="http://schemas.openxmlformats.org/officeDocument/2006/relationships/header" Target="header46.xml"/><Relationship Id="rId125" Type="http://schemas.openxmlformats.org/officeDocument/2006/relationships/footer" Target="footer56.xml"/><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311" Type="http://schemas.openxmlformats.org/officeDocument/2006/relationships/footer" Target="footer149.xml"/><Relationship Id="rId332" Type="http://schemas.openxmlformats.org/officeDocument/2006/relationships/header" Target="header160.xml"/><Relationship Id="rId353" Type="http://schemas.openxmlformats.org/officeDocument/2006/relationships/footer" Target="footer170.xml"/><Relationship Id="rId374" Type="http://schemas.openxmlformats.org/officeDocument/2006/relationships/header" Target="header181.xml"/><Relationship Id="rId395" Type="http://schemas.openxmlformats.org/officeDocument/2006/relationships/footer" Target="footer191.xml"/><Relationship Id="rId409" Type="http://schemas.openxmlformats.org/officeDocument/2006/relationships/footer" Target="footer198.xml"/><Relationship Id="rId71" Type="http://schemas.openxmlformats.org/officeDocument/2006/relationships/footer" Target="footer29.xml"/><Relationship Id="rId92" Type="http://schemas.openxmlformats.org/officeDocument/2006/relationships/header" Target="header40.xml"/><Relationship Id="rId213" Type="http://schemas.openxmlformats.org/officeDocument/2006/relationships/header" Target="header101.xml"/><Relationship Id="rId234" Type="http://schemas.openxmlformats.org/officeDocument/2006/relationships/header" Target="header111.xml"/><Relationship Id="rId420" Type="http://schemas.openxmlformats.org/officeDocument/2006/relationships/header" Target="header204.xml"/><Relationship Id="rId2" Type="http://schemas.openxmlformats.org/officeDocument/2006/relationships/customXml" Target="../customXml/item2.xml"/><Relationship Id="rId29" Type="http://schemas.openxmlformats.org/officeDocument/2006/relationships/footer" Target="footer8.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header" Target="header143.xml"/><Relationship Id="rId441" Type="http://schemas.openxmlformats.org/officeDocument/2006/relationships/header" Target="header215.xml"/><Relationship Id="rId462" Type="http://schemas.openxmlformats.org/officeDocument/2006/relationships/header" Target="header225.xml"/><Relationship Id="rId40" Type="http://schemas.openxmlformats.org/officeDocument/2006/relationships/footer" Target="footer13.xml"/><Relationship Id="rId115" Type="http://schemas.openxmlformats.org/officeDocument/2006/relationships/footer" Target="footer51.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footer" Target="footer82.xml"/><Relationship Id="rId301" Type="http://schemas.openxmlformats.org/officeDocument/2006/relationships/footer" Target="footer144.xml"/><Relationship Id="rId322" Type="http://schemas.openxmlformats.org/officeDocument/2006/relationships/footer" Target="footer154.xml"/><Relationship Id="rId343" Type="http://schemas.openxmlformats.org/officeDocument/2006/relationships/footer" Target="footer165.xml"/><Relationship Id="rId364" Type="http://schemas.openxmlformats.org/officeDocument/2006/relationships/footer" Target="footer175.xml"/><Relationship Id="rId61" Type="http://schemas.openxmlformats.org/officeDocument/2006/relationships/footer" Target="footer24.xml"/><Relationship Id="rId82" Type="http://schemas.openxmlformats.org/officeDocument/2006/relationships/footer" Target="footer34.xml"/><Relationship Id="rId199" Type="http://schemas.openxmlformats.org/officeDocument/2006/relationships/footer" Target="footer93.xml"/><Relationship Id="rId203" Type="http://schemas.openxmlformats.org/officeDocument/2006/relationships/footer" Target="footer95.xml"/><Relationship Id="rId385" Type="http://schemas.openxmlformats.org/officeDocument/2006/relationships/footer" Target="footer186.xml"/><Relationship Id="rId19" Type="http://schemas.openxmlformats.org/officeDocument/2006/relationships/footer" Target="footer3.xm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7.xml"/><Relationship Id="rId410" Type="http://schemas.openxmlformats.org/officeDocument/2006/relationships/header" Target="header199.xml"/><Relationship Id="rId431" Type="http://schemas.openxmlformats.org/officeDocument/2006/relationships/footer" Target="footer209.xml"/><Relationship Id="rId452" Type="http://schemas.openxmlformats.org/officeDocument/2006/relationships/header" Target="header220.xml"/><Relationship Id="rId473" Type="http://schemas.microsoft.com/office/2020/10/relationships/intelligence" Target="intelligence2.xml"/><Relationship Id="rId30" Type="http://schemas.openxmlformats.org/officeDocument/2006/relationships/header" Target="header9.xml"/><Relationship Id="rId105" Type="http://schemas.openxmlformats.org/officeDocument/2006/relationships/header" Target="header47.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eader" Target="header78.xml"/><Relationship Id="rId312" Type="http://schemas.openxmlformats.org/officeDocument/2006/relationships/header" Target="header150.xml"/><Relationship Id="rId333" Type="http://schemas.openxmlformats.org/officeDocument/2006/relationships/header" Target="header161.xml"/><Relationship Id="rId354" Type="http://schemas.openxmlformats.org/officeDocument/2006/relationships/header" Target="header171.xml"/><Relationship Id="rId51" Type="http://schemas.openxmlformats.org/officeDocument/2006/relationships/header" Target="header20.xml"/><Relationship Id="rId72" Type="http://schemas.openxmlformats.org/officeDocument/2006/relationships/header" Target="header30.xml"/><Relationship Id="rId93" Type="http://schemas.openxmlformats.org/officeDocument/2006/relationships/header" Target="header41.xml"/><Relationship Id="rId189" Type="http://schemas.openxmlformats.org/officeDocument/2006/relationships/header" Target="header89.xml"/><Relationship Id="rId375" Type="http://schemas.openxmlformats.org/officeDocument/2006/relationships/header" Target="header182.xml"/><Relationship Id="rId396" Type="http://schemas.openxmlformats.org/officeDocument/2006/relationships/header" Target="header192.xml"/><Relationship Id="rId3" Type="http://schemas.openxmlformats.org/officeDocument/2006/relationships/customXml" Target="../customXml/item3.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footer" Target="footer142.xml"/><Relationship Id="rId400" Type="http://schemas.openxmlformats.org/officeDocument/2006/relationships/footer" Target="footer193.xml"/><Relationship Id="rId421" Type="http://schemas.openxmlformats.org/officeDocument/2006/relationships/footer" Target="footer204.xml"/><Relationship Id="rId442" Type="http://schemas.openxmlformats.org/officeDocument/2006/relationships/footer" Target="footer214.xml"/><Relationship Id="rId463" Type="http://schemas.openxmlformats.org/officeDocument/2006/relationships/footer" Target="footer225.xml"/><Relationship Id="rId116" Type="http://schemas.openxmlformats.org/officeDocument/2006/relationships/header" Target="header52.xml"/><Relationship Id="rId137" Type="http://schemas.openxmlformats.org/officeDocument/2006/relationships/footer" Target="footer62.xml"/><Relationship Id="rId158" Type="http://schemas.openxmlformats.org/officeDocument/2006/relationships/header" Target="header73.xml"/><Relationship Id="rId302" Type="http://schemas.openxmlformats.org/officeDocument/2006/relationships/header" Target="header145.xml"/><Relationship Id="rId323" Type="http://schemas.openxmlformats.org/officeDocument/2006/relationships/footer" Target="footer155.xml"/><Relationship Id="rId344" Type="http://schemas.openxmlformats.org/officeDocument/2006/relationships/header" Target="header166.xml"/><Relationship Id="rId20" Type="http://schemas.openxmlformats.org/officeDocument/2006/relationships/header" Target="header4.xml"/><Relationship Id="rId41" Type="http://schemas.openxmlformats.org/officeDocument/2006/relationships/footer" Target="footer14.xml"/><Relationship Id="rId62" Type="http://schemas.openxmlformats.org/officeDocument/2006/relationships/header" Target="header25.xml"/><Relationship Id="rId83" Type="http://schemas.openxmlformats.org/officeDocument/2006/relationships/footer" Target="footer35.xml"/><Relationship Id="rId179" Type="http://schemas.openxmlformats.org/officeDocument/2006/relationships/footer" Target="footer83.xml"/><Relationship Id="rId365" Type="http://schemas.openxmlformats.org/officeDocument/2006/relationships/footer" Target="footer176.xml"/><Relationship Id="rId386" Type="http://schemas.openxmlformats.org/officeDocument/2006/relationships/header" Target="header187.xm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header" Target="header138.xml"/><Relationship Id="rId411" Type="http://schemas.openxmlformats.org/officeDocument/2006/relationships/header" Target="header200.xml"/><Relationship Id="rId432" Type="http://schemas.openxmlformats.org/officeDocument/2006/relationships/header" Target="header210.xml"/><Relationship Id="rId453" Type="http://schemas.openxmlformats.org/officeDocument/2006/relationships/header" Target="header221.xml"/><Relationship Id="rId106" Type="http://schemas.openxmlformats.org/officeDocument/2006/relationships/footer" Target="footer46.xml"/><Relationship Id="rId127" Type="http://schemas.openxmlformats.org/officeDocument/2006/relationships/footer" Target="footer57.xml"/><Relationship Id="rId313" Type="http://schemas.openxmlformats.org/officeDocument/2006/relationships/footer" Target="footer150.xml"/><Relationship Id="rId10" Type="http://schemas.openxmlformats.org/officeDocument/2006/relationships/webSettings" Target="webSettings.xml"/><Relationship Id="rId31" Type="http://schemas.openxmlformats.org/officeDocument/2006/relationships/footer" Target="footer9.xml"/><Relationship Id="rId52" Type="http://schemas.openxmlformats.org/officeDocument/2006/relationships/footer" Target="footer19.xml"/><Relationship Id="rId73" Type="http://schemas.openxmlformats.org/officeDocument/2006/relationships/footer" Target="footer30.xml"/><Relationship Id="rId94" Type="http://schemas.openxmlformats.org/officeDocument/2006/relationships/footer" Target="footer40.xml"/><Relationship Id="rId148" Type="http://schemas.openxmlformats.org/officeDocument/2006/relationships/footer" Target="footer67.xml"/><Relationship Id="rId169" Type="http://schemas.openxmlformats.org/officeDocument/2006/relationships/footer" Target="footer78.xml"/><Relationship Id="rId334" Type="http://schemas.openxmlformats.org/officeDocument/2006/relationships/footer" Target="footer160.xml"/><Relationship Id="rId355" Type="http://schemas.openxmlformats.org/officeDocument/2006/relationships/footer" Target="footer171.xml"/><Relationship Id="rId376" Type="http://schemas.openxmlformats.org/officeDocument/2006/relationships/footer" Target="footer181.xml"/><Relationship Id="rId397" Type="http://schemas.openxmlformats.org/officeDocument/2006/relationships/footer" Target="footer192.xml"/><Relationship Id="rId4" Type="http://schemas.openxmlformats.org/officeDocument/2006/relationships/customXml" Target="../customXml/item4.xml"/><Relationship Id="rId180" Type="http://schemas.openxmlformats.org/officeDocument/2006/relationships/header" Target="header84.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header" Target="header133.xml"/><Relationship Id="rId401" Type="http://schemas.openxmlformats.org/officeDocument/2006/relationships/footer" Target="footer194.xml"/><Relationship Id="rId422" Type="http://schemas.openxmlformats.org/officeDocument/2006/relationships/header" Target="header205.xml"/><Relationship Id="rId443" Type="http://schemas.openxmlformats.org/officeDocument/2006/relationships/footer" Target="footer215.xml"/><Relationship Id="rId464" Type="http://schemas.openxmlformats.org/officeDocument/2006/relationships/header" Target="header226.xml"/><Relationship Id="rId303" Type="http://schemas.openxmlformats.org/officeDocument/2006/relationships/header" Target="header146.xml"/><Relationship Id="rId42" Type="http://schemas.openxmlformats.org/officeDocument/2006/relationships/header" Target="header15.xml"/><Relationship Id="rId84" Type="http://schemas.openxmlformats.org/officeDocument/2006/relationships/header" Target="header36.xml"/><Relationship Id="rId138" Type="http://schemas.openxmlformats.org/officeDocument/2006/relationships/header" Target="header63.xml"/><Relationship Id="rId345" Type="http://schemas.openxmlformats.org/officeDocument/2006/relationships/header" Target="header167.xml"/><Relationship Id="rId387" Type="http://schemas.openxmlformats.org/officeDocument/2006/relationships/header" Target="header188.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7.xml"/><Relationship Id="rId412" Type="http://schemas.openxmlformats.org/officeDocument/2006/relationships/footer" Target="footer199.xml"/><Relationship Id="rId107" Type="http://schemas.openxmlformats.org/officeDocument/2006/relationships/footer" Target="footer47.xml"/><Relationship Id="rId289" Type="http://schemas.openxmlformats.org/officeDocument/2006/relationships/footer" Target="footer138.xml"/><Relationship Id="rId454" Type="http://schemas.openxmlformats.org/officeDocument/2006/relationships/footer" Target="footer220.xml"/><Relationship Id="rId11" Type="http://schemas.openxmlformats.org/officeDocument/2006/relationships/footnotes" Target="footnotes.xml"/><Relationship Id="rId53" Type="http://schemas.openxmlformats.org/officeDocument/2006/relationships/footer" Target="footer20.xml"/><Relationship Id="rId149" Type="http://schemas.openxmlformats.org/officeDocument/2006/relationships/footer" Target="footer68.xml"/><Relationship Id="rId314" Type="http://schemas.openxmlformats.org/officeDocument/2006/relationships/header" Target="header151.xml"/><Relationship Id="rId356" Type="http://schemas.openxmlformats.org/officeDocument/2006/relationships/header" Target="header172.xml"/><Relationship Id="rId398" Type="http://schemas.openxmlformats.org/officeDocument/2006/relationships/header" Target="header193.xml"/><Relationship Id="rId95" Type="http://schemas.openxmlformats.org/officeDocument/2006/relationships/footer" Target="footer41.xml"/><Relationship Id="rId160" Type="http://schemas.openxmlformats.org/officeDocument/2006/relationships/footer" Target="footer73.xml"/><Relationship Id="rId216" Type="http://schemas.openxmlformats.org/officeDocument/2006/relationships/header" Target="header102.xml"/><Relationship Id="rId423" Type="http://schemas.openxmlformats.org/officeDocument/2006/relationships/header" Target="header206.xml"/><Relationship Id="rId258" Type="http://schemas.openxmlformats.org/officeDocument/2006/relationships/header" Target="header123.xml"/><Relationship Id="rId465" Type="http://schemas.openxmlformats.org/officeDocument/2006/relationships/header" Target="header227.xml"/><Relationship Id="rId22" Type="http://schemas.openxmlformats.org/officeDocument/2006/relationships/footer" Target="footer4.xml"/><Relationship Id="rId64" Type="http://schemas.openxmlformats.org/officeDocument/2006/relationships/footer" Target="footer25.xml"/><Relationship Id="rId118" Type="http://schemas.openxmlformats.org/officeDocument/2006/relationships/footer" Target="footer52.xml"/><Relationship Id="rId325" Type="http://schemas.openxmlformats.org/officeDocument/2006/relationships/footer" Target="footer156.xml"/><Relationship Id="rId367" Type="http://schemas.openxmlformats.org/officeDocument/2006/relationships/footer" Target="footer177.xml"/><Relationship Id="rId171" Type="http://schemas.openxmlformats.org/officeDocument/2006/relationships/header" Target="header80.xml"/><Relationship Id="rId227" Type="http://schemas.openxmlformats.org/officeDocument/2006/relationships/footer" Target="footer107.xml"/><Relationship Id="rId269" Type="http://schemas.openxmlformats.org/officeDocument/2006/relationships/footer" Target="footer128.xml"/><Relationship Id="rId434" Type="http://schemas.openxmlformats.org/officeDocument/2006/relationships/header" Target="header211.xml"/><Relationship Id="rId33" Type="http://schemas.openxmlformats.org/officeDocument/2006/relationships/header" Target="header11.xml"/><Relationship Id="rId129" Type="http://schemas.openxmlformats.org/officeDocument/2006/relationships/header" Target="header59.xml"/><Relationship Id="rId280" Type="http://schemas.openxmlformats.org/officeDocument/2006/relationships/footer" Target="footer133.xml"/><Relationship Id="rId336" Type="http://schemas.openxmlformats.org/officeDocument/2006/relationships/header" Target="header162.xml"/><Relationship Id="rId75" Type="http://schemas.openxmlformats.org/officeDocument/2006/relationships/header" Target="header32.xml"/><Relationship Id="rId140" Type="http://schemas.openxmlformats.org/officeDocument/2006/relationships/header" Target="header64.xml"/><Relationship Id="rId182" Type="http://schemas.openxmlformats.org/officeDocument/2006/relationships/header" Target="header85.xml"/><Relationship Id="rId378" Type="http://schemas.openxmlformats.org/officeDocument/2006/relationships/header" Target="header183.xml"/><Relationship Id="rId403" Type="http://schemas.openxmlformats.org/officeDocument/2006/relationships/footer" Target="footer195.xml"/><Relationship Id="rId6" Type="http://schemas.openxmlformats.org/officeDocument/2006/relationships/customXml" Target="../customXml/item6.xml"/><Relationship Id="rId238" Type="http://schemas.openxmlformats.org/officeDocument/2006/relationships/footer" Target="footer112.xml"/><Relationship Id="rId445" Type="http://schemas.openxmlformats.org/officeDocument/2006/relationships/footer" Target="footer216.xml"/><Relationship Id="rId291" Type="http://schemas.openxmlformats.org/officeDocument/2006/relationships/header" Target="header140.xml"/><Relationship Id="rId305" Type="http://schemas.openxmlformats.org/officeDocument/2006/relationships/footer" Target="footer146.xml"/><Relationship Id="rId347" Type="http://schemas.openxmlformats.org/officeDocument/2006/relationships/footer" Target="footer167.xml"/><Relationship Id="rId44" Type="http://schemas.openxmlformats.org/officeDocument/2006/relationships/header" Target="header16.xml"/><Relationship Id="rId86" Type="http://schemas.openxmlformats.org/officeDocument/2006/relationships/header" Target="header37.xml"/><Relationship Id="rId151" Type="http://schemas.openxmlformats.org/officeDocument/2006/relationships/footer" Target="footer69.xml"/><Relationship Id="rId389" Type="http://schemas.openxmlformats.org/officeDocument/2006/relationships/footer" Target="footer188.xml"/></Relationships>
</file>

<file path=word/documenttasks/documenttasks1.xml><?xml version="1.0" encoding="utf-8"?>
<t:Tasks xmlns:t="http://schemas.microsoft.com/office/tasks/2019/documenttasks" xmlns:oel="http://schemas.microsoft.com/office/2019/extlst">
  <t:Task id="{5680157B-53D2-48A7-8400-2B113ED038B5}">
    <t:Anchor>
      <t:Comment id="685924280"/>
    </t:Anchor>
    <t:History>
      <t:Event id="{C7B50112-B96F-44C2-A337-7565D8EECBE9}" time="2023-10-24T13:51:44.757Z">
        <t:Attribution userId="S::mario.janiri@ec.europa.eu::38a425da-e9e0-4f39-867b-517d4aa18d3f" userProvider="AD" userName="JANIRI Mario (SG-RECOVER)"/>
        <t:Anchor>
          <t:Comment id="1339592421"/>
        </t:Anchor>
        <t:Create/>
      </t:Event>
      <t:Event id="{585F1370-FDC7-4C74-B742-DB46D92E5709}" time="2023-10-24T13:51:44.757Z">
        <t:Attribution userId="S::mario.janiri@ec.europa.eu::38a425da-e9e0-4f39-867b-517d4aa18d3f" userProvider="AD" userName="JANIRI Mario (SG-RECOVER)"/>
        <t:Anchor>
          <t:Comment id="1339592421"/>
        </t:Anchor>
        <t:Assign userId="S::Vasilis.NIKITAS@ec.europa.eu::2098837e-f110-44fd-9240-213a75053541" userProvider="AD" userName="NIKITAS Vasilis (ECFIN-ATHENS)"/>
      </t:Event>
      <t:Event id="{FB8086E7-B47E-409C-AE99-6A7147B90910}" time="2023-10-24T13:51:44.757Z">
        <t:Attribution userId="S::mario.janiri@ec.europa.eu::38a425da-e9e0-4f39-867b-517d4aa18d3f" userProvider="AD" userName="JANIRI Mario (SG-RECOVER)"/>
        <t:Anchor>
          <t:Comment id="1339592421"/>
        </t:Anchor>
        <t:SetTitle title="…Plans as requested. According to the abovementioned article the Special Urban Plans are approved exclusively by the Court of State (Law 4447/2016 article 8).&quot;. What's your take @NIKITAS Vasilis (ECFIN-ATHENS)? If not sure, we can ask Greece to confirm."/>
      </t:Event>
    </t:History>
  </t:Task>
  <t:Task id="{113DCDD2-F446-41CA-8BD9-991C6559F6D7}">
    <t:Anchor>
      <t:Comment id="720462159"/>
    </t:Anchor>
    <t:History>
      <t:Event id="{1B9C4331-8916-42C1-8F20-4E1371F2CD61}" time="2024-11-28T13:37:42.84Z">
        <t:Attribution userId="S::Claudia.PIFERI@ec.europa.eu::19496a8b-2d91-4010-ae9e-0b90968b4d4f" userProvider="AD" userName="PIFERI Claudia (ECFIN)"/>
        <t:Anchor>
          <t:Comment id="720567990"/>
        </t:Anchor>
        <t:Create/>
      </t:Event>
      <t:Event id="{580ADD4E-0108-4B2A-8BDA-434B61918F39}" time="2024-11-28T13:37:42.84Z">
        <t:Attribution userId="S::Claudia.PIFERI@ec.europa.eu::19496a8b-2d91-4010-ae9e-0b90968b4d4f" userProvider="AD" userName="PIFERI Claudia (ECFIN)"/>
        <t:Anchor>
          <t:Comment id="720567990"/>
        </t:Anchor>
        <t:Assign userId="S::Michael.MAGUIRE@ec.europa.eu::fb49cca5-1801-4286-a4db-b3a10b4a06e6" userProvider="AD" userName="MAGUIRE Michael (ECFIN)"/>
      </t:Event>
      <t:Event id="{CE37B634-5F71-4D65-B114-3B4B67E06C8D}" time="2024-11-28T13:37:42.84Z">
        <t:Attribution userId="S::Claudia.PIFERI@ec.europa.eu::19496a8b-2d91-4010-ae9e-0b90968b4d4f" userProvider="AD" userName="PIFERI Claudia (ECFIN)"/>
        <t:Anchor>
          <t:Comment id="720567990"/>
        </t:Anchor>
        <t:SetTitle title="@MAGUIRE Michael (ECFIN) can you please check thi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d0ae30-99de-4b75-b374-de0637405ec7" xsi:nil="true"/>
    <lcf76f155ced4ddcb4097134ff3c332f xmlns="11e77377-0db5-45fd-a1ac-9f5e38a33c6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F75065C516B24AA4ED9964D7F23498" ma:contentTypeVersion="16" ma:contentTypeDescription="Create a new document." ma:contentTypeScope="" ma:versionID="631d7bc3ba7b5618a3e6129e19897954">
  <xsd:schema xmlns:xsd="http://www.w3.org/2001/XMLSchema" xmlns:xs="http://www.w3.org/2001/XMLSchema" xmlns:p="http://schemas.microsoft.com/office/2006/metadata/properties" xmlns:ns2="11e77377-0db5-45fd-a1ac-9f5e38a33c6f" xmlns:ns3="e4d0ae30-99de-4b75-b374-de0637405ec7" targetNamespace="http://schemas.microsoft.com/office/2006/metadata/properties" ma:root="true" ma:fieldsID="ae7e9980b75e939c44c74b8f3368d0f7" ns2:_="" ns3:_="">
    <xsd:import namespace="11e77377-0db5-45fd-a1ac-9f5e38a33c6f"/>
    <xsd:import namespace="e4d0ae30-99de-4b75-b374-de0637405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77377-0db5-45fd-a1ac-9f5e38a33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0ae30-99de-4b75-b374-de0637405e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c1a9c5-7436-4665-9c01-4721abda3979}" ma:internalName="TaxCatchAll" ma:showField="CatchAllData" ma:web="e4d0ae30-99de-4b75-b374-de0637405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AF75065C516B24AA4ED9964D7F23498" ma:contentTypeVersion="16" ma:contentTypeDescription="Create a new document." ma:contentTypeScope="" ma:versionID="631d7bc3ba7b5618a3e6129e19897954">
  <xsd:schema xmlns:xsd="http://www.w3.org/2001/XMLSchema" xmlns:xs="http://www.w3.org/2001/XMLSchema" xmlns:p="http://schemas.microsoft.com/office/2006/metadata/properties" xmlns:ns2="11e77377-0db5-45fd-a1ac-9f5e38a33c6f" xmlns:ns3="e4d0ae30-99de-4b75-b374-de0637405ec7" targetNamespace="http://schemas.microsoft.com/office/2006/metadata/properties" ma:root="true" ma:fieldsID="ae7e9980b75e939c44c74b8f3368d0f7" ns2:_="" ns3:_="">
    <xsd:import namespace="11e77377-0db5-45fd-a1ac-9f5e38a33c6f"/>
    <xsd:import namespace="e4d0ae30-99de-4b75-b374-de0637405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77377-0db5-45fd-a1ac-9f5e38a33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0ae30-99de-4b75-b374-de0637405e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c1a9c5-7436-4665-9c01-4721abda3979}" ma:internalName="TaxCatchAll" ma:showField="CatchAllData" ma:web="e4d0ae30-99de-4b75-b374-de0637405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CBA3-623E-4C54-AB69-D34DBF620255}">
  <ds:schemaRefs>
    <ds:schemaRef ds:uri="http://schemas.microsoft.com/office/2006/metadata/properties"/>
    <ds:schemaRef ds:uri="http://schemas.microsoft.com/office/infopath/2007/PartnerControls"/>
    <ds:schemaRef ds:uri="e4d0ae30-99de-4b75-b374-de0637405ec7"/>
    <ds:schemaRef ds:uri="11e77377-0db5-45fd-a1ac-9f5e38a33c6f"/>
  </ds:schemaRefs>
</ds:datastoreItem>
</file>

<file path=customXml/itemProps2.xml><?xml version="1.0" encoding="utf-8"?>
<ds:datastoreItem xmlns:ds="http://schemas.openxmlformats.org/officeDocument/2006/customXml" ds:itemID="{630C3354-FE77-4A2F-8630-F8FA03C1CC72}">
  <ds:schemaRefs>
    <ds:schemaRef ds:uri="http://schemas.microsoft.com/sharepoint/v3/contenttype/forms"/>
  </ds:schemaRefs>
</ds:datastoreItem>
</file>

<file path=customXml/itemProps3.xml><?xml version="1.0" encoding="utf-8"?>
<ds:datastoreItem xmlns:ds="http://schemas.openxmlformats.org/officeDocument/2006/customXml" ds:itemID="{D1A4325E-C391-4C93-BEA9-4213E1E07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77377-0db5-45fd-a1ac-9f5e38a33c6f"/>
    <ds:schemaRef ds:uri="e4d0ae30-99de-4b75-b374-de0637405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CB974-CC9B-4580-B943-C0332C02328A}">
  <ds:schemaRefs>
    <ds:schemaRef ds:uri="http://schemas.microsoft.com/sharepoint/v3/contenttype/forms"/>
  </ds:schemaRefs>
</ds:datastoreItem>
</file>

<file path=customXml/itemProps5.xml><?xml version="1.0" encoding="utf-8"?>
<ds:datastoreItem xmlns:ds="http://schemas.openxmlformats.org/officeDocument/2006/customXml" ds:itemID="{BB725F14-800D-4C31-A8F7-B6811BDF7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77377-0db5-45fd-a1ac-9f5e38a33c6f"/>
    <ds:schemaRef ds:uri="e4d0ae30-99de-4b75-b374-de0637405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89E179-03EC-4C98-849F-3B595FCC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97983</Words>
  <Characters>558505</Characters>
  <Application>Microsoft Office Word</Application>
  <DocSecurity>0</DocSecurity>
  <Lines>4654</Lines>
  <Paragraphs>1310</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655178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EC CoDe</cp:lastModifiedBy>
  <cp:revision>12</cp:revision>
  <dcterms:created xsi:type="dcterms:W3CDTF">2025-01-07T14:28:00Z</dcterms:created>
  <dcterms:modified xsi:type="dcterms:W3CDTF">2025-01-09T08:59:00Z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4.9.1, Build 20240216</vt:lpwstr>
  </property>
  <property fmtid="{D5CDD505-2E9C-101B-9397-08002B2CF9AE}" pid="3" name="ContentTypeId">
    <vt:lpwstr>0x010100BAF75065C516B24AA4ED9964D7F23498</vt:lpwstr>
  </property>
  <property fmtid="{D5CDD505-2E9C-101B-9397-08002B2CF9AE}" pid="4" name="MSIP_Label_6bd9ddd1-4d20-43f6-abfa-fc3c07406f94_Enabled">
    <vt:lpwstr>true</vt:lpwstr>
  </property>
  <property fmtid="{D5CDD505-2E9C-101B-9397-08002B2CF9AE}" pid="5" name="MSIP_Label_6bd9ddd1-4d20-43f6-abfa-fc3c07406f94_SetDate">
    <vt:lpwstr>2023-09-11T07:57:38Z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8974eb50-0967-4d56-a303-e1962c90295e</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CPTemplateID">
    <vt:lpwstr>CP-036</vt:lpwstr>
  </property>
  <property fmtid="{D5CDD505-2E9C-101B-9397-08002B2CF9AE}" pid="18" name="MSIP_Label_b1df41d6-74a9-4a97-809c-213cd32520cc_Enabled">
    <vt:lpwstr>true</vt:lpwstr>
  </property>
  <property fmtid="{D5CDD505-2E9C-101B-9397-08002B2CF9AE}" pid="19" name="MSIP_Label_b1df41d6-74a9-4a97-809c-213cd32520cc_SetDate">
    <vt:lpwstr>2023-12-01T14:44:06Z</vt:lpwstr>
  </property>
  <property fmtid="{D5CDD505-2E9C-101B-9397-08002B2CF9AE}" pid="20" name="MSIP_Label_b1df41d6-74a9-4a97-809c-213cd32520cc_Method">
    <vt:lpwstr>Privileged</vt:lpwstr>
  </property>
  <property fmtid="{D5CDD505-2E9C-101B-9397-08002B2CF9AE}" pid="21" name="MSIP_Label_b1df41d6-74a9-4a97-809c-213cd32520cc_Name">
    <vt:lpwstr>GSCEU - NON PUBLIC Label</vt:lpwstr>
  </property>
  <property fmtid="{D5CDD505-2E9C-101B-9397-08002B2CF9AE}" pid="22" name="MSIP_Label_b1df41d6-74a9-4a97-809c-213cd32520cc_SiteId">
    <vt:lpwstr>03ad1c97-0a4d-4e82-8f93-27291a6a0767</vt:lpwstr>
  </property>
  <property fmtid="{D5CDD505-2E9C-101B-9397-08002B2CF9AE}" pid="23" name="MSIP_Label_b1df41d6-74a9-4a97-809c-213cd32520cc_ActionId">
    <vt:lpwstr>bea8d279-aa28-4420-808d-80284cc98536</vt:lpwstr>
  </property>
  <property fmtid="{D5CDD505-2E9C-101B-9397-08002B2CF9AE}" pid="24" name="MSIP_Label_b1df41d6-74a9-4a97-809c-213cd32520cc_ContentBits">
    <vt:lpwstr>0</vt:lpwstr>
  </property>
  <property fmtid="{D5CDD505-2E9C-101B-9397-08002B2CF9AE}" pid="25" name="MediaServiceImageTags">
    <vt:lpwstr/>
  </property>
  <property fmtid="{D5CDD505-2E9C-101B-9397-08002B2CF9AE}" pid="26" name="Last edited using">
    <vt:lpwstr>LW 9.0, Build 20230317</vt:lpwstr>
  </property>
  <property fmtid="{D5CDD505-2E9C-101B-9397-08002B2CF9AE}" pid="27" name="DocStatus">
    <vt:lpwstr>Green</vt:lpwstr>
  </property>
</Properties>
</file>