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45BDB" w14:textId="7D9643F5" w:rsidR="00EE624C" w:rsidRDefault="00096132" w:rsidP="00096132">
      <w:pPr>
        <w:pStyle w:val="Pagedecouverture"/>
        <w:rPr>
          <w:noProof/>
        </w:rPr>
      </w:pPr>
      <w:bookmarkStart w:id="0" w:name="LW_BM_COVERPAGE"/>
      <w:r>
        <w:rPr>
          <w:noProof/>
        </w:rPr>
        <w:pict w14:anchorId="0EBED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83C2308-4291-4705-BB77-655865D31C72" style="width:455.25pt;height:351.75pt">
            <v:imagedata r:id="rId8" o:title=""/>
          </v:shape>
        </w:pict>
      </w:r>
    </w:p>
    <w:bookmarkEnd w:id="0"/>
    <w:p w14:paraId="6DFA9F30" w14:textId="662CD189" w:rsidR="00BC16CB" w:rsidRPr="00BC16CB" w:rsidRDefault="00BC16CB" w:rsidP="00BC16CB">
      <w:pPr>
        <w:pStyle w:val="Pagedecouverture"/>
        <w:rPr>
          <w:noProof/>
        </w:rPr>
        <w:sectPr w:rsidR="00BC16CB" w:rsidRPr="00BC16CB" w:rsidSect="0009613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5F14233" w14:textId="77777777" w:rsidR="00EE624C" w:rsidRPr="00EB2D75" w:rsidRDefault="00EE624C" w:rsidP="00EE624C">
      <w:pPr>
        <w:numPr>
          <w:ilvl w:val="0"/>
          <w:numId w:val="2"/>
        </w:numPr>
        <w:spacing w:before="160" w:line="240" w:lineRule="auto"/>
        <w:jc w:val="both"/>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BEVEZETÉS</w:t>
      </w:r>
    </w:p>
    <w:p w14:paraId="14F50675" w14:textId="502FF3C3" w:rsidR="00962AB4" w:rsidRPr="00A660AB" w:rsidRDefault="009B6440" w:rsidP="000F75C3">
      <w:pPr>
        <w:spacing w:before="160" w:line="240" w:lineRule="auto"/>
        <w:jc w:val="both"/>
        <w:rPr>
          <w:rFonts w:ascii="Times New Roman" w:hAnsi="Times New Roman" w:cs="Times New Roman"/>
          <w:noProof/>
          <w:sz w:val="24"/>
          <w:szCs w:val="24"/>
        </w:rPr>
      </w:pPr>
      <w:r>
        <w:rPr>
          <w:rFonts w:ascii="Times New Roman" w:hAnsi="Times New Roman"/>
          <w:noProof/>
          <w:sz w:val="24"/>
        </w:rPr>
        <w:t>Az emberkereskedelem olyan bűncselekmény, amely emberéleteket tesz tönkre, megfosztva az érintetteket a méltóságuktól, a szabadságuktól és az alapvető jogaiktól. Az Europol szerint a bejelentett, legnagyobb fenyegetést jelentő bűnözői hálózatok közül 55 folytat fő tevékenységeként (vagy fő tevékenységeinek egyikeként) emberkereskedelmet</w:t>
      </w:r>
      <w:r>
        <w:rPr>
          <w:rStyle w:val="FootnoteReference"/>
          <w:rFonts w:ascii="Times New Roman" w:eastAsia="Calibri" w:hAnsi="Times New Roman" w:cs="Times New Roman"/>
          <w:noProof/>
          <w:sz w:val="24"/>
          <w:szCs w:val="24"/>
          <w:lang w:val="en-GB"/>
        </w:rPr>
        <w:footnoteReference w:id="2"/>
      </w:r>
      <w:r>
        <w:rPr>
          <w:rFonts w:ascii="Times New Roman" w:hAnsi="Times New Roman"/>
          <w:noProof/>
          <w:sz w:val="24"/>
        </w:rPr>
        <w:t>.</w:t>
      </w:r>
      <w:r>
        <w:rPr>
          <w:noProof/>
        </w:rPr>
        <w:t xml:space="preserve"> </w:t>
      </w:r>
      <w:r>
        <w:rPr>
          <w:rFonts w:ascii="Times New Roman" w:hAnsi="Times New Roman"/>
          <w:noProof/>
          <w:sz w:val="24"/>
        </w:rPr>
        <w:t>Ezenfelül az emberkereskedelemről szóló 2024. évi átfogó jelentés</w:t>
      </w:r>
      <w:r>
        <w:rPr>
          <w:rStyle w:val="FootnoteReference"/>
          <w:rFonts w:ascii="Times New Roman" w:hAnsi="Times New Roman" w:cs="Times New Roman"/>
          <w:noProof/>
          <w:sz w:val="24"/>
          <w:szCs w:val="24"/>
          <w:lang w:val="en-IE"/>
        </w:rPr>
        <w:footnoteReference w:id="3"/>
      </w:r>
      <w:r>
        <w:rPr>
          <w:rFonts w:ascii="Times New Roman" w:hAnsi="Times New Roman"/>
          <w:noProof/>
          <w:sz w:val="24"/>
        </w:rPr>
        <w:t xml:space="preserve"> feltárta, hogy az emberkereskedők 74 %-a üzleti típusú bűnözői viszonyban álló, egymáshoz lazán kapcsolódó csoportokban és hálózatokban vagy strukturált bűnszervezetekben tevékenykedik, ami nyilvánvalóvá teszi, hogy a szervezett bűnözői csoportok meghatározó szerepet játszanak az emberkereskedelemmel kapcsolatos tevékenységekben. Az emberkereskedelem gyakran kapcsolódik más bűncselekményekhez – például kábítószer-kereskedelemhez, migránscsempészéshez, vagyon elleni szervezett bűnözéshez, vagy pénzmosáshoz és okmányokkal való visszaéléshez.</w:t>
      </w:r>
    </w:p>
    <w:p w14:paraId="03856F4E" w14:textId="3F125BC2" w:rsidR="00EE624C" w:rsidRDefault="00B579B3" w:rsidP="00890013">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Emellett az emberkereskedelem a világ második legelterjedtebb illegális gazdasági tevékenysége</w:t>
      </w:r>
      <w:r>
        <w:rPr>
          <w:rStyle w:val="FootnoteReference"/>
          <w:rFonts w:ascii="Times New Roman" w:eastAsia="Calibri" w:hAnsi="Times New Roman" w:cs="Times New Roman"/>
          <w:noProof/>
          <w:sz w:val="24"/>
          <w:szCs w:val="24"/>
          <w:lang w:val="en-GB"/>
        </w:rPr>
        <w:footnoteReference w:id="4"/>
      </w:r>
      <w:r>
        <w:rPr>
          <w:rFonts w:ascii="Times New Roman" w:hAnsi="Times New Roman"/>
          <w:noProof/>
          <w:sz w:val="24"/>
        </w:rPr>
        <w:t>. A becslések szerint a kényszermunka az emberkereskedők számára évente 236 milliárd USD nyereséget termel világszerte, ami áldozatonként közel 10 000 USD nyereséget jelent. Az áldozatok kizsákmányolása Európában és Közép-Ázsiában a legjövedelmezőbb: e területen áldozatonként évente 20 000 USD nyereséget érnek el</w:t>
      </w:r>
      <w:r>
        <w:rPr>
          <w:rStyle w:val="FootnoteReference"/>
          <w:rFonts w:ascii="Times New Roman" w:eastAsia="Calibri" w:hAnsi="Times New Roman" w:cs="Times New Roman"/>
          <w:noProof/>
          <w:sz w:val="24"/>
          <w:szCs w:val="24"/>
          <w:lang w:val="en-GB"/>
        </w:rPr>
        <w:footnoteReference w:id="5"/>
      </w:r>
      <w:r>
        <w:rPr>
          <w:rFonts w:ascii="Times New Roman" w:hAnsi="Times New Roman"/>
          <w:noProof/>
          <w:sz w:val="24"/>
        </w:rPr>
        <w:t xml:space="preserve">. Bár a </w:t>
      </w:r>
      <w:r>
        <w:rPr>
          <w:rFonts w:ascii="Times New Roman" w:hAnsi="Times New Roman"/>
          <w:b/>
          <w:noProof/>
          <w:sz w:val="24"/>
        </w:rPr>
        <w:t>nyereség magas</w:t>
      </w:r>
      <w:r>
        <w:rPr>
          <w:rFonts w:ascii="Times New Roman" w:hAnsi="Times New Roman"/>
          <w:noProof/>
          <w:sz w:val="24"/>
        </w:rPr>
        <w:t xml:space="preserve"> és 2014 óta 37 %-kal nőtt, </w:t>
      </w:r>
      <w:r>
        <w:rPr>
          <w:rFonts w:ascii="Times New Roman" w:hAnsi="Times New Roman"/>
          <w:b/>
          <w:noProof/>
          <w:sz w:val="24"/>
        </w:rPr>
        <w:t>az elkövetők számára továbbra is alacsony kockázattal jár</w:t>
      </w:r>
      <w:r>
        <w:rPr>
          <w:rFonts w:ascii="Times New Roman" w:hAnsi="Times New Roman"/>
          <w:noProof/>
          <w:sz w:val="24"/>
        </w:rPr>
        <w:t xml:space="preserve">. </w:t>
      </w:r>
    </w:p>
    <w:p w14:paraId="54F36BDB" w14:textId="23C780DA" w:rsidR="006E6408" w:rsidRDefault="006E6408" w:rsidP="00890013">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Covid19-világjárvány által előidézett és az azt követő időszakban tovább súlyosbodó egyik alapvető kihívást </w:t>
      </w:r>
      <w:r>
        <w:rPr>
          <w:rFonts w:ascii="Times New Roman" w:hAnsi="Times New Roman"/>
          <w:b/>
          <w:noProof/>
          <w:sz w:val="24"/>
        </w:rPr>
        <w:t>az emberkereskedelem digitális térbe való áthelyeződése</w:t>
      </w:r>
      <w:r>
        <w:rPr>
          <w:rFonts w:ascii="Times New Roman" w:hAnsi="Times New Roman"/>
          <w:noProof/>
          <w:sz w:val="24"/>
        </w:rPr>
        <w:t xml:space="preserve"> jelenti. Továbbra is nehézségekbe ütközik </w:t>
      </w:r>
      <w:r>
        <w:rPr>
          <w:rFonts w:ascii="Times New Roman" w:hAnsi="Times New Roman"/>
          <w:b/>
          <w:noProof/>
          <w:sz w:val="24"/>
        </w:rPr>
        <w:t xml:space="preserve">az áldozatok felderítése </w:t>
      </w:r>
      <w:r>
        <w:rPr>
          <w:rFonts w:ascii="Times New Roman" w:hAnsi="Times New Roman"/>
          <w:noProof/>
          <w:sz w:val="24"/>
        </w:rPr>
        <w:t xml:space="preserve">és segítségnyújtási és támogatási szolgáltatásokhoz való </w:t>
      </w:r>
      <w:r>
        <w:rPr>
          <w:rFonts w:ascii="Times New Roman" w:hAnsi="Times New Roman"/>
          <w:b/>
          <w:noProof/>
          <w:sz w:val="24"/>
        </w:rPr>
        <w:t>irányítása</w:t>
      </w:r>
      <w:r>
        <w:rPr>
          <w:rFonts w:ascii="Times New Roman" w:hAnsi="Times New Roman"/>
          <w:noProof/>
          <w:sz w:val="24"/>
        </w:rPr>
        <w:t xml:space="preserve">. </w:t>
      </w:r>
    </w:p>
    <w:p w14:paraId="41F61508" w14:textId="596DA331" w:rsidR="00F1057E" w:rsidRDefault="00D12A0E" w:rsidP="00EE624C">
      <w:pPr>
        <w:spacing w:before="1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Az emberkereskedelemre vonatkozó uniós jogi keretet az </w:t>
      </w:r>
      <w:r>
        <w:rPr>
          <w:rFonts w:ascii="Times New Roman" w:hAnsi="Times New Roman"/>
          <w:b/>
          <w:noProof/>
          <w:sz w:val="24"/>
        </w:rPr>
        <w:t>(EU) 2024/1712 irányelvvel</w:t>
      </w:r>
      <w:r>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rPr>
        <w:t xml:space="preserve"> </w:t>
      </w:r>
      <w:r>
        <w:rPr>
          <w:rFonts w:ascii="Times New Roman" w:hAnsi="Times New Roman"/>
          <w:b/>
          <w:noProof/>
          <w:sz w:val="24"/>
        </w:rPr>
        <w:t>módosított</w:t>
      </w:r>
      <w:r>
        <w:rPr>
          <w:rFonts w:ascii="Times New Roman" w:hAnsi="Times New Roman"/>
          <w:noProof/>
          <w:sz w:val="24"/>
        </w:rPr>
        <w:t xml:space="preserve">, </w:t>
      </w:r>
      <w:r>
        <w:rPr>
          <w:rFonts w:ascii="Times New Roman" w:hAnsi="Times New Roman"/>
          <w:b/>
          <w:noProof/>
          <w:sz w:val="24"/>
        </w:rPr>
        <w:t>emberkereskedelem elleni irányelv</w:t>
      </w:r>
      <w:r>
        <w:rPr>
          <w:rFonts w:ascii="Times New Roman" w:eastAsia="Times New Roman" w:hAnsi="Times New Roman" w:cs="Times New Roman"/>
          <w:noProof/>
          <w:sz w:val="24"/>
          <w:szCs w:val="24"/>
          <w:vertAlign w:val="superscript"/>
          <w:lang w:val="en-GB"/>
        </w:rPr>
        <w:footnoteReference w:id="7"/>
      </w:r>
      <w:r>
        <w:rPr>
          <w:rFonts w:ascii="Times New Roman" w:hAnsi="Times New Roman"/>
          <w:noProof/>
          <w:sz w:val="24"/>
        </w:rPr>
        <w:t xml:space="preserve"> (a továbbiakban: módosított irányelv) rögzíti, amely </w:t>
      </w:r>
      <w:r>
        <w:rPr>
          <w:rFonts w:ascii="Times New Roman" w:hAnsi="Times New Roman"/>
          <w:b/>
          <w:noProof/>
          <w:sz w:val="24"/>
        </w:rPr>
        <w:t>2024. július 14-én</w:t>
      </w:r>
      <w:r>
        <w:rPr>
          <w:rFonts w:ascii="Times New Roman" w:hAnsi="Times New Roman"/>
          <w:noProof/>
          <w:sz w:val="24"/>
        </w:rPr>
        <w:t xml:space="preserve"> lépett hatályba. A módosítások szigorúbb szabályokat vezetnek be az emberkereskedelem elleni küzdelemmel kapcsolatban, és megerősített eszközöket biztosítanak a hatóságok számára az emberkereskedelemmel kapcsolatos bűncselekmények kivizsgálásához és büntetőeljárás alá vonásához. Az irányelv a kizsákmányolás új formáit vezeti be, és felveszi a súlyosító körülmények közé az online elkövetett szexuális kizsákmányolást. Emellett jobb támogatást biztosít az áldozatoknak is, ami egyúttal a négy pillérre</w:t>
      </w:r>
      <w:r>
        <w:rPr>
          <w:rStyle w:val="FootnoteReference"/>
          <w:rFonts w:ascii="Times New Roman" w:eastAsia="Times New Roman" w:hAnsi="Times New Roman" w:cs="Times New Roman"/>
          <w:noProof/>
          <w:sz w:val="24"/>
          <w:szCs w:val="24"/>
          <w:lang w:val="en-GB"/>
        </w:rPr>
        <w:footnoteReference w:id="8"/>
      </w:r>
      <w:r>
        <w:rPr>
          <w:rFonts w:ascii="Times New Roman" w:hAnsi="Times New Roman"/>
          <w:noProof/>
          <w:sz w:val="24"/>
        </w:rPr>
        <w:t xml:space="preserve"> épülő átfogó megközelítést tartalmazó, </w:t>
      </w:r>
      <w:r>
        <w:rPr>
          <w:rFonts w:ascii="Times New Roman" w:hAnsi="Times New Roman"/>
          <w:b/>
          <w:noProof/>
          <w:sz w:val="24"/>
        </w:rPr>
        <w:t>emberkereskedelem elleni küzdelemre irányuló uniós stratégiában (2021–2025)</w:t>
      </w:r>
      <w:r>
        <w:rPr>
          <w:rStyle w:val="FootnoteReference"/>
          <w:rFonts w:ascii="Times New Roman" w:eastAsia="Times New Roman" w:hAnsi="Times New Roman" w:cs="Times New Roman"/>
          <w:noProof/>
          <w:sz w:val="24"/>
          <w:szCs w:val="24"/>
          <w:lang w:val="en-GB"/>
        </w:rPr>
        <w:footnoteReference w:id="9"/>
      </w:r>
      <w:r>
        <w:rPr>
          <w:rFonts w:ascii="Times New Roman" w:hAnsi="Times New Roman"/>
          <w:noProof/>
          <w:sz w:val="24"/>
        </w:rPr>
        <w:t xml:space="preserve"> (a továbbiakban: a stratégia) előirányzott egyik fő intézkedés.</w:t>
      </w:r>
    </w:p>
    <w:p w14:paraId="39AF56BD" w14:textId="62B3B4CB" w:rsidR="00EE624C" w:rsidRPr="009B6440" w:rsidRDefault="00CC0976" w:rsidP="32BEDE67">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Az irányelv 20. cikkével összhangban a Bizottság az emberkereskedelem elleni küzdelem európai uniós koordinátorának támogatásával kétévente jelentést tesz az emberkereskedelem elleni küzdelem terén elért eredményekről. Ez a jelentés a nemzeti koordinátorok és előadók uniós hálózatán, a független szerveken, az uniós ügynökségeken</w:t>
      </w:r>
      <w:r>
        <w:rPr>
          <w:rStyle w:val="FootnoteReference"/>
          <w:rFonts w:ascii="Times New Roman" w:eastAsia="Times New Roman" w:hAnsi="Times New Roman" w:cs="Times New Roman"/>
          <w:noProof/>
          <w:sz w:val="24"/>
          <w:szCs w:val="24"/>
        </w:rPr>
        <w:footnoteReference w:id="10"/>
      </w:r>
      <w:r>
        <w:rPr>
          <w:rFonts w:ascii="Times New Roman" w:hAnsi="Times New Roman"/>
          <w:noProof/>
          <w:sz w:val="24"/>
        </w:rPr>
        <w:t xml:space="preserve">, az emberkereskedelem elleni uniós civil társadalmi platform tagjain, valamint az uniós ügynökségektől, az uniós intézményektől és a nemzetközi szervezetektől származó egyéb dokumentumokon alapul. </w:t>
      </w:r>
    </w:p>
    <w:p w14:paraId="4050A26D" w14:textId="05518D7B" w:rsidR="00B011CB" w:rsidRPr="008964CA" w:rsidRDefault="00353DB8" w:rsidP="008964CA">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jelentés i. azonosítja a fő tendenciákat, ii. vázolja a 2021 és 2024 közötti időszakban hozott főbb, emberkereskedelem elleni intézkedéseket, és iii. elemzi a 2021–2022-es időszakra vonatkozó statisztikákat, amit egy bizottsági szolgálati munkadokumentum</w:t>
      </w:r>
      <w:r>
        <w:rPr>
          <w:rStyle w:val="FootnoteReference"/>
          <w:rFonts w:ascii="Times New Roman" w:eastAsia="Times New Roman" w:hAnsi="Times New Roman" w:cs="Times New Roman"/>
          <w:noProof/>
          <w:sz w:val="24"/>
          <w:szCs w:val="24"/>
          <w:lang w:val="en-GB"/>
        </w:rPr>
        <w:footnoteReference w:id="11"/>
      </w:r>
      <w:r>
        <w:rPr>
          <w:rFonts w:ascii="Times New Roman" w:hAnsi="Times New Roman"/>
          <w:noProof/>
          <w:sz w:val="24"/>
        </w:rPr>
        <w:t xml:space="preserve"> tartalmaz. A jelentésben felhasznált adatokat az Eurostat a nemzeti statisztikai hivatalokon keresztül a tagállamokból gyűjtötte össze, és azok az Eurostat adatbázisában a bűnözéssel és büntető igazságszolgáltatással kapcsolatos statisztikák</w:t>
      </w:r>
      <w:r>
        <w:rPr>
          <w:rStyle w:val="FootnoteReference"/>
          <w:rFonts w:ascii="Times New Roman" w:eastAsia="Times New Roman" w:hAnsi="Times New Roman" w:cs="Times New Roman"/>
          <w:noProof/>
          <w:sz w:val="24"/>
          <w:szCs w:val="24"/>
          <w:lang w:val="en-GB"/>
        </w:rPr>
        <w:footnoteReference w:id="12"/>
      </w:r>
      <w:r>
        <w:rPr>
          <w:rFonts w:ascii="Times New Roman" w:hAnsi="Times New Roman"/>
          <w:noProof/>
          <w:sz w:val="24"/>
        </w:rPr>
        <w:t xml:space="preserve"> alatt érhetők el.</w:t>
      </w:r>
    </w:p>
    <w:p w14:paraId="23C4D912" w14:textId="07D4DDA4" w:rsidR="00FE1034" w:rsidRPr="00EB2D75" w:rsidRDefault="00EE624C" w:rsidP="00AE2102">
      <w:pPr>
        <w:numPr>
          <w:ilvl w:val="0"/>
          <w:numId w:val="2"/>
        </w:numPr>
        <w:spacing w:before="16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EMBERKERESKEDELEMMEL KAPCSOLATOS TENDENCIÁK AZ UNIÓBAN </w:t>
      </w:r>
    </w:p>
    <w:p w14:paraId="1714D90A" w14:textId="04809672" w:rsidR="00EE624C" w:rsidRPr="00B011CB" w:rsidRDefault="003908CB" w:rsidP="00B011CB">
      <w:pPr>
        <w:numPr>
          <w:ilvl w:val="1"/>
          <w:numId w:val="1"/>
        </w:numPr>
        <w:spacing w:before="160" w:line="240" w:lineRule="auto"/>
        <w:jc w:val="both"/>
        <w:rPr>
          <w:rFonts w:ascii="Times New Roman" w:eastAsia="Calibri" w:hAnsi="Times New Roman" w:cs="Times New Roman"/>
          <w:b/>
          <w:noProof/>
          <w:sz w:val="24"/>
          <w:szCs w:val="20"/>
        </w:rPr>
      </w:pPr>
      <w:r>
        <w:rPr>
          <w:rFonts w:ascii="Times New Roman" w:hAnsi="Times New Roman"/>
          <w:b/>
          <w:noProof/>
          <w:sz w:val="24"/>
        </w:rPr>
        <w:t>Áldozatok (nem, kor, állampolgárság)</w:t>
      </w:r>
    </w:p>
    <w:p w14:paraId="251D5854" w14:textId="7BC66FCC" w:rsidR="000B5072" w:rsidRDefault="00EE624C" w:rsidP="008964CA">
      <w:pPr>
        <w:spacing w:line="240" w:lineRule="auto"/>
        <w:jc w:val="both"/>
        <w:rPr>
          <w:rFonts w:ascii="Times New Roman" w:hAnsi="Times New Roman" w:cs="Times New Roman"/>
          <w:noProof/>
          <w:sz w:val="24"/>
          <w:szCs w:val="24"/>
        </w:rPr>
      </w:pPr>
      <w:r>
        <w:rPr>
          <w:rFonts w:ascii="Times New Roman" w:hAnsi="Times New Roman"/>
          <w:noProof/>
          <w:sz w:val="24"/>
        </w:rPr>
        <w:t>A 2021–2022-es jelentési időszakban</w:t>
      </w:r>
      <w:r>
        <w:rPr>
          <w:rStyle w:val="FootnoteReference"/>
          <w:rFonts w:ascii="Times New Roman" w:hAnsi="Times New Roman" w:cs="Times New Roman"/>
          <w:noProof/>
          <w:sz w:val="24"/>
          <w:szCs w:val="24"/>
          <w:lang w:val="en-GB"/>
        </w:rPr>
        <w:footnoteReference w:id="13"/>
      </w:r>
      <w:r>
        <w:rPr>
          <w:rFonts w:ascii="Times New Roman" w:hAnsi="Times New Roman"/>
          <w:noProof/>
          <w:sz w:val="24"/>
        </w:rPr>
        <w:t xml:space="preserve"> </w:t>
      </w:r>
      <w:r>
        <w:rPr>
          <w:rFonts w:ascii="Times New Roman" w:hAnsi="Times New Roman"/>
          <w:b/>
          <w:noProof/>
          <w:sz w:val="24"/>
        </w:rPr>
        <w:t>az emberkereskedelem 17 248 áldozatát regisztrálták</w:t>
      </w:r>
      <w:r>
        <w:rPr>
          <w:rFonts w:ascii="Times New Roman" w:hAnsi="Times New Roman"/>
          <w:noProof/>
          <w:sz w:val="24"/>
        </w:rPr>
        <w:t xml:space="preserve"> regisztrálták az Unióban.</w:t>
      </w:r>
      <w:r>
        <w:rPr>
          <w:rFonts w:ascii="Times New Roman" w:hAnsi="Times New Roman"/>
          <w:noProof/>
        </w:rPr>
        <w:t xml:space="preserve"> </w:t>
      </w:r>
      <w:r>
        <w:rPr>
          <w:rStyle w:val="footnotereference0"/>
          <w:rFonts w:ascii="Times New Roman" w:hAnsi="Times New Roman"/>
          <w:noProof/>
          <w:color w:val="333333"/>
          <w:sz w:val="24"/>
        </w:rPr>
        <w:t xml:space="preserve">Ez </w:t>
      </w:r>
      <w:r>
        <w:rPr>
          <w:rStyle w:val="footnotereference0"/>
          <w:rFonts w:ascii="Times New Roman" w:hAnsi="Times New Roman"/>
          <w:b/>
          <w:noProof/>
          <w:color w:val="333333"/>
          <w:sz w:val="24"/>
        </w:rPr>
        <w:t>20,5 %-os növekedést</w:t>
      </w:r>
      <w:r>
        <w:rPr>
          <w:rStyle w:val="footnotereference0"/>
          <w:rFonts w:ascii="Times New Roman" w:hAnsi="Times New Roman"/>
          <w:noProof/>
          <w:color w:val="333333"/>
          <w:sz w:val="24"/>
        </w:rPr>
        <w:t xml:space="preserve"> jelent a</w:t>
      </w:r>
      <w:r>
        <w:rPr>
          <w:rFonts w:ascii="Times New Roman" w:hAnsi="Times New Roman"/>
          <w:noProof/>
          <w:sz w:val="24"/>
        </w:rPr>
        <w:t xml:space="preserve"> 2019–2020-as jelentési időszakban regisztrált 14 311 főhöz képest</w:t>
      </w:r>
      <w:r>
        <w:rPr>
          <w:rStyle w:val="FootnoteReference"/>
          <w:rFonts w:ascii="Times New Roman" w:hAnsi="Times New Roman" w:cs="Times New Roman"/>
          <w:noProof/>
          <w:sz w:val="24"/>
          <w:szCs w:val="24"/>
          <w:lang w:val="en-IE"/>
        </w:rPr>
        <w:footnoteReference w:id="14"/>
      </w:r>
      <w:r>
        <w:rPr>
          <w:rFonts w:ascii="Times New Roman" w:hAnsi="Times New Roman"/>
          <w:noProof/>
          <w:sz w:val="24"/>
        </w:rPr>
        <w:t xml:space="preserve">. Csupán 2022-ben 10 093 volt a regisztrált áldozatok száma, ami 2021-hez (7 155) képest 41 %-os növekedést jelent, és 2013 óta ez a legmagasabb szám. Ez valószínűleg az emberkereskedelemmel kapcsolatos általános tudatosság növelésének tudható be. Az Ukrajna elleni katonai agresszió elől menekülők védelmére irányuló összehangolt többszereplős tagállami erőfeszítések nem várt pozitív hatást gyakoroltak az emberkereskedelem különböző állampolgárságú áldozatainak felderítésére. </w:t>
      </w:r>
    </w:p>
    <w:p w14:paraId="74CF324F" w14:textId="72F8F705" w:rsidR="00EE624C" w:rsidRPr="009B6440" w:rsidRDefault="00DE5231" w:rsidP="008964CA">
      <w:pPr>
        <w:spacing w:line="240" w:lineRule="auto"/>
        <w:jc w:val="both"/>
        <w:rPr>
          <w:noProof/>
        </w:rPr>
      </w:pPr>
      <w:r>
        <w:rPr>
          <w:rFonts w:ascii="Times New Roman" w:hAnsi="Times New Roman"/>
          <w:noProof/>
          <w:sz w:val="24"/>
        </w:rPr>
        <w:t xml:space="preserve">A korábbi évekhez hasonlóan </w:t>
      </w:r>
      <w:r>
        <w:rPr>
          <w:rFonts w:ascii="Times New Roman" w:hAnsi="Times New Roman"/>
          <w:b/>
          <w:noProof/>
          <w:sz w:val="24"/>
        </w:rPr>
        <w:t>az áldozatok tényleges száma valószínűleg jóval magasabb</w:t>
      </w:r>
      <w:r>
        <w:rPr>
          <w:rFonts w:ascii="Times New Roman" w:hAnsi="Times New Roman"/>
          <w:noProof/>
          <w:sz w:val="24"/>
        </w:rPr>
        <w:t xml:space="preserve">, mint amire a bejelentett adatok alapján következtetni lehet, mivel a statisztikák csak azokat az áldozatokat tartalmazzák, akikről valamelyik nyilvántartást kezelő szervezet tudomást szerez, és sok áldozatról továbbra sem szereznek tudomást. </w:t>
      </w:r>
    </w:p>
    <w:p w14:paraId="537A9224" w14:textId="4543A3FE" w:rsidR="00FC4DE4" w:rsidRDefault="00EE624C" w:rsidP="008964CA">
      <w:pPr>
        <w:pStyle w:val="Normal1"/>
        <w:shd w:val="clear" w:color="auto" w:fill="FFFFFF"/>
        <w:spacing w:after="0"/>
        <w:jc w:val="both"/>
        <w:rPr>
          <w:bCs/>
          <w:noProof/>
        </w:rPr>
      </w:pPr>
      <w:r>
        <w:rPr>
          <w:noProof/>
        </w:rPr>
        <w:t xml:space="preserve">Az emberkereskedelem továbbra is </w:t>
      </w:r>
      <w:r>
        <w:rPr>
          <w:b/>
          <w:noProof/>
        </w:rPr>
        <w:t>jelentős nemi dimenzióval</w:t>
      </w:r>
      <w:r>
        <w:rPr>
          <w:noProof/>
        </w:rPr>
        <w:t xml:space="preserve"> rendelkező bűncselekmény. </w:t>
      </w:r>
      <w:r>
        <w:rPr>
          <w:noProof/>
          <w:color w:val="333333"/>
        </w:rPr>
        <w:t>A 2021–2022-es időszakban az Unióban az áldozatok 65 %-a nő és lány volt</w:t>
      </w:r>
      <w:r>
        <w:rPr>
          <w:rStyle w:val="FootnoteReference"/>
          <w:noProof/>
          <w:color w:val="333333"/>
        </w:rPr>
        <w:footnoteReference w:id="15"/>
      </w:r>
      <w:r>
        <w:rPr>
          <w:noProof/>
        </w:rPr>
        <w:t>.</w:t>
      </w:r>
      <w:r>
        <w:rPr>
          <w:noProof/>
          <w:color w:val="000000" w:themeColor="text1"/>
        </w:rPr>
        <w:t xml:space="preserve"> A szexuális kizsákmányolás áldozatainak többsége (92 %) nőnemű. 68 %-uk nő, 24 %-uk pedig lány. </w:t>
      </w:r>
      <w:r>
        <w:rPr>
          <w:noProof/>
        </w:rPr>
        <w:t>A munkaerő-kizsákmányolás céljából folytatott emberkereskedelem áldozatainak többsége férfi (70 %).</w:t>
      </w:r>
    </w:p>
    <w:p w14:paraId="373ACDD9" w14:textId="54A2C440" w:rsidR="00A419C1" w:rsidRDefault="00FC4DE4" w:rsidP="008964CA">
      <w:pPr>
        <w:pStyle w:val="Normal1"/>
        <w:shd w:val="clear" w:color="auto" w:fill="FFFFFF" w:themeFill="background1"/>
        <w:spacing w:before="0" w:beforeAutospacing="0" w:after="0" w:afterAutospacing="0"/>
        <w:jc w:val="both"/>
        <w:rPr>
          <w:rFonts w:eastAsia="Calibri"/>
          <w:noProof/>
        </w:rPr>
      </w:pPr>
      <w:r>
        <w:rPr>
          <w:b/>
          <w:noProof/>
        </w:rPr>
        <w:t>A regisztrált áldozatok 46 %-a uniós polgár, 54 %-a pedig harmadik országbeli állampolgár volt.</w:t>
      </w:r>
      <w:r>
        <w:rPr>
          <w:noProof/>
        </w:rPr>
        <w:t xml:space="preserve"> Ez elmozdulást jelent a 2019–2020-as időszakhoz képest, amikor a regisztrált áldozatok többsége (55 %) uniós polgár volt. A számokat tekintve az emberkereskedelem áldozatai esetében az öt leggyakoribb uniós állampolgárság a román, a francia, a magyar, a bolgár és a német volt. Az öt leggyakoribb nem uniós állampolgárság pedig a nigériai, az ukrán, a marokkói, a kolumbiai és a kínai volt. Az áldozatok 34 %-a annak az országnak az állampolgára volt, ahol regisztrálták (belső emberkereskedelem). Bulgáriában, Romániában, Magyarországon, Szlovákiában és Lettországban szinte az összes áldozat az adott ország saját állampolgára volt. </w:t>
      </w:r>
    </w:p>
    <w:p w14:paraId="5034484A" w14:textId="77777777" w:rsidR="0060660E" w:rsidRDefault="0060660E" w:rsidP="008964CA">
      <w:pPr>
        <w:pStyle w:val="Normal1"/>
        <w:shd w:val="clear" w:color="auto" w:fill="FFFFFF" w:themeFill="background1"/>
        <w:spacing w:before="0" w:beforeAutospacing="0" w:after="0" w:afterAutospacing="0"/>
        <w:jc w:val="both"/>
        <w:rPr>
          <w:rFonts w:eastAsia="Calibri"/>
          <w:noProof/>
        </w:rPr>
      </w:pPr>
    </w:p>
    <w:p w14:paraId="04345B77" w14:textId="3D76CB48" w:rsidR="00EE624C" w:rsidRPr="00B011CB" w:rsidRDefault="00EE624C" w:rsidP="008964CA">
      <w:pPr>
        <w:pStyle w:val="ListParagraph"/>
        <w:numPr>
          <w:ilvl w:val="1"/>
          <w:numId w:val="1"/>
        </w:numPr>
        <w:spacing w:before="160"/>
        <w:jc w:val="both"/>
        <w:rPr>
          <w:rFonts w:ascii="Times New Roman" w:eastAsia="Times New Roman" w:hAnsi="Times New Roman" w:cs="Times New Roman"/>
          <w:noProof/>
          <w:sz w:val="24"/>
          <w:szCs w:val="20"/>
        </w:rPr>
      </w:pPr>
      <w:r>
        <w:rPr>
          <w:rFonts w:ascii="Times New Roman" w:hAnsi="Times New Roman"/>
          <w:b/>
          <w:noProof/>
          <w:sz w:val="24"/>
        </w:rPr>
        <w:t>A szexuális kizsákmányolás céljából folytatott emberkereskedelem</w:t>
      </w:r>
      <w:r>
        <w:rPr>
          <w:rFonts w:ascii="Times New Roman" w:hAnsi="Times New Roman"/>
          <w:noProof/>
          <w:sz w:val="24"/>
        </w:rPr>
        <w:t xml:space="preserve"> </w:t>
      </w:r>
    </w:p>
    <w:p w14:paraId="67A58CEA" w14:textId="4FB63E13" w:rsidR="00EE624C" w:rsidRPr="00EB2D75" w:rsidDel="00213D61" w:rsidRDefault="00EE624C" w:rsidP="008964CA">
      <w:pPr>
        <w:spacing w:before="1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 2021–2022-es időszakban az Unióban továbbra is a </w:t>
      </w:r>
      <w:r>
        <w:rPr>
          <w:rFonts w:ascii="Times New Roman" w:hAnsi="Times New Roman"/>
          <w:b/>
          <w:noProof/>
          <w:sz w:val="24"/>
        </w:rPr>
        <w:t>szexuális kizsákmányolás</w:t>
      </w:r>
      <w:r>
        <w:rPr>
          <w:rFonts w:ascii="Times New Roman" w:hAnsi="Times New Roman"/>
          <w:noProof/>
          <w:sz w:val="24"/>
        </w:rPr>
        <w:t xml:space="preserve"> céljából folytatott emberkereskedelem jelentette a </w:t>
      </w:r>
      <w:r>
        <w:rPr>
          <w:rFonts w:ascii="Times New Roman" w:hAnsi="Times New Roman"/>
          <w:b/>
          <w:noProof/>
          <w:sz w:val="24"/>
        </w:rPr>
        <w:t>kizsákmányolás legelterjedtebb formáját</w:t>
      </w:r>
      <w:r>
        <w:rPr>
          <w:rFonts w:ascii="Times New Roman" w:hAnsi="Times New Roman"/>
          <w:noProof/>
          <w:sz w:val="24"/>
        </w:rPr>
        <w:t xml:space="preserve"> (49 %), jóllehet megfigyelhető volt némi csökkenő tendencia (51 %-ról). </w:t>
      </w:r>
    </w:p>
    <w:p w14:paraId="551BDF0C" w14:textId="3C9E57F4" w:rsidR="00EE624C" w:rsidRDefault="00EE624C" w:rsidP="00EE624C">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fiatal nők és lányok szexuális kizsákmányolás céljából történő toborzásának leggyakoribb módja továbbra is a „loverboy-módszer” volt</w:t>
      </w:r>
      <w:r>
        <w:rPr>
          <w:rStyle w:val="FootnoteReference"/>
          <w:rFonts w:ascii="Times New Roman" w:eastAsia="Times New Roman" w:hAnsi="Times New Roman" w:cs="Times New Roman"/>
          <w:noProof/>
          <w:sz w:val="24"/>
          <w:szCs w:val="24"/>
          <w:lang w:val="en-GB"/>
        </w:rPr>
        <w:footnoteReference w:id="16"/>
      </w:r>
      <w:r>
        <w:rPr>
          <w:rFonts w:ascii="Times New Roman" w:hAnsi="Times New Roman"/>
          <w:noProof/>
          <w:sz w:val="24"/>
        </w:rPr>
        <w:t xml:space="preserve">. Az emberkereskedők gyakran létesítenek online romantikus kapcsolatokat, hoznak létre érzelmi függőséget, valamint csábítják el az áldozatokat kizsákmányolás céljából. A tagállamok többsége és az Europol megerősítette, hogy a közösségi média, különösen a társkereső alkalmazások, a személykísérő-szolgálatatásokat kínáló oldalak és a felnőtteknek szóló weboldalak meghatározó szerepet játszanak a szexuális kizsákmányolás céljából történő toborzásban. </w:t>
      </w:r>
    </w:p>
    <w:p w14:paraId="66307CEF" w14:textId="3860BD2A" w:rsidR="00EE624C" w:rsidRDefault="00EE624C" w:rsidP="00307746">
      <w:pPr>
        <w:spacing w:before="120" w:after="120" w:line="240" w:lineRule="auto"/>
        <w:jc w:val="both"/>
        <w:rPr>
          <w:noProof/>
        </w:rPr>
      </w:pPr>
      <w:r>
        <w:rPr>
          <w:rFonts w:ascii="Times New Roman" w:hAnsi="Times New Roman"/>
          <w:noProof/>
          <w:sz w:val="24"/>
        </w:rPr>
        <w:t>Harmadik országokból is toboroznak áldozatokat látszólagos munkavégzés céljából, akiket megérkezésüket követően prostitúcióra kényszerítenek. Például a kínai nők szexuális kizsákmányolását célzó emberkereskedelmet az egyes uniós országokban és Kínában működő decentralizált telefonos ügyfélszolgálatokon keresztül szervezték meg. A telefonos ügyfélszolgálatok központként szolgálnak az áldozatok online hirdetéseinek országok közötti kezelése, a szexuális szolgáltatások időpontjának és árának meghatározása, valamint az illegális bevételek tisztára mosásáért felelős tagoknak történő pénzátutalás terén</w:t>
      </w:r>
      <w:r>
        <w:rPr>
          <w:rStyle w:val="FootnoteReference"/>
          <w:rFonts w:ascii="Times New Roman" w:eastAsia="Times New Roman" w:hAnsi="Times New Roman" w:cs="Times New Roman"/>
          <w:noProof/>
          <w:sz w:val="24"/>
          <w:szCs w:val="20"/>
          <w:lang w:val="en-GB"/>
        </w:rPr>
        <w:footnoteReference w:id="17"/>
      </w:r>
      <w:r>
        <w:rPr>
          <w:rFonts w:ascii="Times New Roman" w:hAnsi="Times New Roman"/>
          <w:noProof/>
          <w:sz w:val="24"/>
        </w:rPr>
        <w:t>.</w:t>
      </w:r>
    </w:p>
    <w:p w14:paraId="6D35D754" w14:textId="521EB944" w:rsidR="00EE624C" w:rsidRPr="00EB2D75" w:rsidRDefault="0096183A" w:rsidP="008964CA">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Az előző jelentési időszakhoz képest több tagállamban</w:t>
      </w:r>
      <w:r>
        <w:rPr>
          <w:rStyle w:val="FootnoteReference"/>
          <w:rFonts w:ascii="Times New Roman" w:eastAsia="Calibri" w:hAnsi="Times New Roman" w:cs="Times New Roman"/>
          <w:noProof/>
          <w:sz w:val="24"/>
          <w:szCs w:val="24"/>
          <w:lang w:val="en-GB"/>
        </w:rPr>
        <w:footnoteReference w:id="18"/>
      </w:r>
      <w:r>
        <w:rPr>
          <w:rFonts w:ascii="Times New Roman" w:hAnsi="Times New Roman"/>
          <w:noProof/>
          <w:sz w:val="24"/>
        </w:rPr>
        <w:t xml:space="preserve"> számoltak be a szexuális kizsákmányolás céljából emberkereskedelem áldozatává vált latin-amerikai nők és transznemű személyek számának növekedéséről. Az Europol szerint a latin-amerikai áldozatok különböző belépési pontokon keresztül, olykor a vízumliberalizációs rendszereket kihasználva érkeznek az Unióba, és innen viszik őket tovább azokra a helyekre, ahol a kizsákmányolás történik. Lengyelországban például a 2022. évi statisztikák szerint 2021-hez képest 476 %-kal nőtt a Latin-Amerikából (főként Kolumbiából, Guatemalából, Venezuelából, Mexikóból és Peruból) származó, az emberkereskedelem áldozataként azonosított személyek száma. Számos tagállamban</w:t>
      </w:r>
      <w:r>
        <w:rPr>
          <w:rStyle w:val="FootnoteReference"/>
          <w:rFonts w:ascii="Times New Roman" w:eastAsia="Calibri" w:hAnsi="Times New Roman" w:cs="Times New Roman"/>
          <w:noProof/>
          <w:sz w:val="24"/>
          <w:szCs w:val="24"/>
          <w:lang w:val="en-GB"/>
        </w:rPr>
        <w:footnoteReference w:id="19"/>
      </w:r>
      <w:r>
        <w:rPr>
          <w:rFonts w:ascii="Times New Roman" w:hAnsi="Times New Roman"/>
          <w:noProof/>
          <w:sz w:val="24"/>
        </w:rPr>
        <w:t xml:space="preserve"> tűnnek fel olyan, a szubszaharai térségből, például Nigériából, a Kongói Demokratikus Köztársaságból, Kamerunból, Szomáliából, Elefántcsontpartról és Kenyából származó személyek, akik szexuális kizsákmányolás áldozatává váltak. </w:t>
      </w:r>
    </w:p>
    <w:p w14:paraId="4592B10B" w14:textId="12C37F0E" w:rsidR="00EE624C" w:rsidRPr="00B011CB" w:rsidRDefault="00EE624C" w:rsidP="00B011CB">
      <w:pPr>
        <w:pStyle w:val="ListParagraph"/>
        <w:numPr>
          <w:ilvl w:val="1"/>
          <w:numId w:val="1"/>
        </w:numPr>
        <w:spacing w:before="160"/>
        <w:jc w:val="both"/>
        <w:rPr>
          <w:rFonts w:ascii="Times New Roman" w:eastAsia="Calibri" w:hAnsi="Times New Roman" w:cs="Times New Roman"/>
          <w:b/>
          <w:noProof/>
          <w:sz w:val="24"/>
          <w:szCs w:val="20"/>
        </w:rPr>
      </w:pPr>
      <w:r>
        <w:rPr>
          <w:rFonts w:ascii="Times New Roman" w:hAnsi="Times New Roman"/>
          <w:b/>
          <w:noProof/>
          <w:sz w:val="24"/>
        </w:rPr>
        <w:t>A munkaerő-kizsákmányolás céljából folytatott emberkereskedelem</w:t>
      </w:r>
    </w:p>
    <w:p w14:paraId="279ED2D5" w14:textId="59BD110A" w:rsidR="00EE624C" w:rsidRPr="009B6440" w:rsidRDefault="00EE624C" w:rsidP="398B7D7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munkaerő-kizsákmányolás</w:t>
      </w:r>
      <w:r>
        <w:rPr>
          <w:rFonts w:ascii="Times New Roman" w:hAnsi="Times New Roman"/>
          <w:noProof/>
          <w:sz w:val="24"/>
        </w:rPr>
        <w:t xml:space="preserve"> céljából folytatott emberkereskedelem a 2021–2022-es időszakban is az emberkereskedelem </w:t>
      </w:r>
      <w:r>
        <w:rPr>
          <w:rFonts w:ascii="Times New Roman" w:hAnsi="Times New Roman"/>
          <w:b/>
          <w:noProof/>
          <w:sz w:val="24"/>
        </w:rPr>
        <w:t>második legelterjedtebb</w:t>
      </w:r>
      <w:r>
        <w:rPr>
          <w:rFonts w:ascii="Times New Roman" w:hAnsi="Times New Roman"/>
          <w:noProof/>
          <w:sz w:val="24"/>
        </w:rPr>
        <w:t xml:space="preserve"> formája az Unióban (az áldozatok 37 %-a). Négy tagállamban ez jelenti a kizsákmányolás meghatározó formáját</w:t>
      </w:r>
      <w:r>
        <w:rPr>
          <w:rStyle w:val="FootnoteReference"/>
          <w:rFonts w:ascii="Times New Roman" w:eastAsia="Calibri" w:hAnsi="Times New Roman" w:cs="Times New Roman"/>
          <w:noProof/>
          <w:sz w:val="24"/>
          <w:szCs w:val="24"/>
          <w:lang w:val="en-GB"/>
        </w:rPr>
        <w:footnoteReference w:id="20"/>
      </w:r>
      <w:r>
        <w:rPr>
          <w:rFonts w:ascii="Times New Roman" w:hAnsi="Times New Roman"/>
          <w:noProof/>
          <w:sz w:val="24"/>
        </w:rPr>
        <w:t xml:space="preserve">. A 2021–2022-es időszakban a munkaerő-kizsákmányolás áldozatainak száma (5 940) </w:t>
      </w:r>
      <w:r>
        <w:rPr>
          <w:rFonts w:ascii="Times New Roman" w:hAnsi="Times New Roman"/>
          <w:b/>
          <w:noProof/>
          <w:sz w:val="24"/>
        </w:rPr>
        <w:t>51 %-kal nőtt</w:t>
      </w:r>
      <w:r>
        <w:rPr>
          <w:rFonts w:ascii="Times New Roman" w:hAnsi="Times New Roman"/>
          <w:noProof/>
          <w:sz w:val="24"/>
        </w:rPr>
        <w:t xml:space="preserve"> az előző időszakhoz (3 940) képest</w:t>
      </w:r>
      <w:r>
        <w:rPr>
          <w:rStyle w:val="FootnoteReference"/>
          <w:rFonts w:ascii="Times New Roman" w:hAnsi="Times New Roman" w:cs="Times New Roman"/>
          <w:noProof/>
          <w:sz w:val="24"/>
          <w:szCs w:val="24"/>
          <w:lang w:val="en-US"/>
        </w:rPr>
        <w:footnoteReference w:id="21"/>
      </w:r>
      <w:r>
        <w:rPr>
          <w:rFonts w:ascii="Times New Roman" w:hAnsi="Times New Roman"/>
          <w:noProof/>
          <w:sz w:val="24"/>
        </w:rPr>
        <w:t>. 2022-ben a szexuális kizsákmányolás és a munkaerő-kizsákmányolás aránya megegyezett (41 %). Az áldozatok többsége férfi (70 %). A 2021–2022-es időszakban az Unióban az előző időszakhoz képest közel azonos arányban regisztráltak uniós (46 %) és nem uniós (54 %) áldozatokat</w:t>
      </w:r>
      <w:r>
        <w:rPr>
          <w:rStyle w:val="FootnoteReference"/>
          <w:rFonts w:ascii="Times New Roman" w:eastAsia="Calibri" w:hAnsi="Times New Roman" w:cs="Times New Roman"/>
          <w:noProof/>
          <w:sz w:val="24"/>
          <w:szCs w:val="24"/>
        </w:rPr>
        <w:footnoteReference w:id="22"/>
      </w:r>
      <w:r>
        <w:rPr>
          <w:rFonts w:ascii="Times New Roman" w:hAnsi="Times New Roman"/>
          <w:noProof/>
          <w:sz w:val="24"/>
        </w:rPr>
        <w:t xml:space="preserve">. </w:t>
      </w:r>
    </w:p>
    <w:p w14:paraId="130AF512" w14:textId="73A59DAE" w:rsidR="00EE624C" w:rsidRDefault="00EE624C"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Számos tagállam és az Europol is kiemelte, hogy a toborzást csalárd álláshirdetésekkel az interneten keresztül végzik. Németország megfigyelte, hogy az áldozatok munkaerő-kizsákmányolás céljából történő toborzásához is használják a „loverboy-módszert”. </w:t>
      </w:r>
    </w:p>
    <w:p w14:paraId="26687627" w14:textId="614BCA97" w:rsidR="00EE624C" w:rsidRDefault="00EE624C" w:rsidP="009F2BB8">
      <w:pPr>
        <w:spacing w:before="160" w:line="240" w:lineRule="auto"/>
        <w:jc w:val="both"/>
        <w:rPr>
          <w:rFonts w:ascii="Times New Roman" w:eastAsia="Calibri" w:hAnsi="Times New Roman" w:cs="Times New Roman"/>
          <w:noProof/>
          <w:sz w:val="24"/>
          <w:szCs w:val="24"/>
        </w:rPr>
      </w:pPr>
      <w:r>
        <w:rPr>
          <w:rFonts w:ascii="Times New Roman" w:hAnsi="Times New Roman"/>
          <w:b/>
          <w:noProof/>
          <w:sz w:val="24"/>
        </w:rPr>
        <w:t>A kizsákmányolás szempontjából nagy kockázatú ágazatok</w:t>
      </w:r>
      <w:r>
        <w:rPr>
          <w:rFonts w:ascii="Times New Roman" w:hAnsi="Times New Roman"/>
          <w:noProof/>
          <w:sz w:val="24"/>
        </w:rPr>
        <w:t xml:space="preserve"> közé tartozik az építőipar, a mezőgazdaság, az erdészet, az élelmiszer-feldolgozás, a szerelősorok, a vendéglátás, a kiskereskedelem, az autómosók, a szépségszalonok és takarítási szolgáltatások, a szállítás és a házvezetés</w:t>
      </w:r>
      <w:r>
        <w:rPr>
          <w:rStyle w:val="FootnoteReference"/>
          <w:rFonts w:ascii="Times New Roman" w:eastAsia="Calibri" w:hAnsi="Times New Roman" w:cs="Times New Roman"/>
          <w:noProof/>
          <w:sz w:val="24"/>
          <w:szCs w:val="24"/>
          <w:lang w:val="en-GB"/>
        </w:rPr>
        <w:footnoteReference w:id="23"/>
      </w:r>
      <w:r>
        <w:rPr>
          <w:rFonts w:ascii="Times New Roman" w:hAnsi="Times New Roman"/>
          <w:noProof/>
          <w:sz w:val="24"/>
        </w:rPr>
        <w:t>. Az újonnan megjelenő területek közé tartoznak például az otthoni gondozási és ápolási szolgáltatások, valamint a csomagkézbesítési szolgáltatások. Portugáliában és Belgiumban a labdarúgás a kizsákmányolás sajátos területévé vált</w:t>
      </w:r>
      <w:r>
        <w:rPr>
          <w:rStyle w:val="FootnoteReference"/>
          <w:rFonts w:ascii="Times New Roman" w:eastAsia="Calibri" w:hAnsi="Times New Roman" w:cs="Times New Roman"/>
          <w:noProof/>
          <w:sz w:val="24"/>
          <w:szCs w:val="24"/>
          <w:lang w:val="en-GB"/>
        </w:rPr>
        <w:footnoteReference w:id="24"/>
      </w:r>
      <w:r>
        <w:rPr>
          <w:rFonts w:ascii="Times New Roman" w:hAnsi="Times New Roman"/>
          <w:noProof/>
          <w:sz w:val="24"/>
        </w:rPr>
        <w:t>. Szerződés, fejlődési lehetőségek és jövőbeli labdarúgó-karrierrel kapcsolatos kilátások ígéretével kecsegetettek fiatal labdarúgókat. Nagyon kevés vagy semmilyen fizetést nem kaptak, munkára kényszerítették őket, ott-tartózkodásukat bizonytalanság övezte, útlevelüket elvették, és nem hagyhatták el az épületet</w:t>
      </w:r>
      <w:r>
        <w:rPr>
          <w:rStyle w:val="FootnoteReference"/>
          <w:rFonts w:ascii="Times New Roman" w:eastAsia="Calibri" w:hAnsi="Times New Roman" w:cs="Times New Roman"/>
          <w:noProof/>
          <w:sz w:val="24"/>
          <w:szCs w:val="24"/>
          <w:lang w:val="en-GB"/>
        </w:rPr>
        <w:footnoteReference w:id="25"/>
      </w:r>
      <w:r>
        <w:rPr>
          <w:rFonts w:ascii="Times New Roman" w:hAnsi="Times New Roman"/>
          <w:noProof/>
          <w:sz w:val="24"/>
        </w:rPr>
        <w:t xml:space="preserve">. </w:t>
      </w:r>
    </w:p>
    <w:p w14:paraId="383501ED" w14:textId="0C9597D8" w:rsidR="00A75A42" w:rsidRDefault="009F2BB8"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Míg az építőiparban, az élelmiszer-feldolgozásban és a szállításban nagy- és középvállalkozások vesznek részt, és a kizsákmányolásnak jelentős számú áldozata lehet, addig a szépségápolási szolgáltatásokat, a vendéglátóhelyeket és a autómosókat gyakran kis- és mikrovállalkozások és családi vállalkozások üzemeltetik, így az áldozatok száma is kevesebb lehet. A jelentési időszakban az áldozatok nagy száma annak is betudható volt, hogy néhány nagy horderejű nyomozás eredményeképpen jelentős számú lehetséges áldozatot azonosítottak, elsősorban Belgiumban egy multinacionális vegyipari vállalat</w:t>
      </w:r>
      <w:r>
        <w:rPr>
          <w:rStyle w:val="FootnoteReference"/>
          <w:rFonts w:ascii="Times New Roman" w:eastAsia="Calibri" w:hAnsi="Times New Roman" w:cs="Times New Roman"/>
          <w:noProof/>
          <w:sz w:val="24"/>
          <w:szCs w:val="24"/>
          <w:lang w:val="en-GB"/>
        </w:rPr>
        <w:footnoteReference w:id="26"/>
      </w:r>
      <w:r>
        <w:rPr>
          <w:rFonts w:ascii="Times New Roman" w:hAnsi="Times New Roman"/>
          <w:noProof/>
          <w:sz w:val="24"/>
        </w:rPr>
        <w:t xml:space="preserve"> építkezési területén, valamint Németországban az italszállítmányozási ágazatban, ahonnan 555 lehetséges áldozatot mentettek ki</w:t>
      </w:r>
      <w:r>
        <w:rPr>
          <w:rStyle w:val="FootnoteReference"/>
          <w:rFonts w:ascii="Times New Roman" w:eastAsia="Calibri" w:hAnsi="Times New Roman" w:cs="Times New Roman"/>
          <w:noProof/>
          <w:sz w:val="24"/>
          <w:szCs w:val="24"/>
          <w:lang w:val="en-GB"/>
        </w:rPr>
        <w:footnoteReference w:id="27"/>
      </w:r>
      <w:r>
        <w:rPr>
          <w:rFonts w:ascii="Times New Roman" w:hAnsi="Times New Roman"/>
          <w:noProof/>
          <w:sz w:val="24"/>
        </w:rPr>
        <w:t>.</w:t>
      </w:r>
    </w:p>
    <w:p w14:paraId="7A6CF57F" w14:textId="61EEF449" w:rsidR="00EE624C" w:rsidRPr="00AE2102" w:rsidRDefault="00CB31B9"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Az áldozatok állampolgársága és profilja nagymértékben függ a kizsákmányolás által érintett ágazattól. Az ázsiai</w:t>
      </w:r>
      <w:r>
        <w:rPr>
          <w:rStyle w:val="FootnoteReference"/>
          <w:rFonts w:ascii="Times New Roman" w:eastAsia="Calibri" w:hAnsi="Times New Roman" w:cs="Times New Roman"/>
          <w:noProof/>
          <w:sz w:val="24"/>
          <w:szCs w:val="24"/>
          <w:lang w:val="en-GB"/>
        </w:rPr>
        <w:footnoteReference w:id="28"/>
      </w:r>
      <w:r>
        <w:rPr>
          <w:rFonts w:ascii="Times New Roman" w:hAnsi="Times New Roman"/>
          <w:noProof/>
          <w:sz w:val="24"/>
        </w:rPr>
        <w:t>, észak-afrikai</w:t>
      </w:r>
      <w:r>
        <w:rPr>
          <w:rStyle w:val="FootnoteReference"/>
          <w:rFonts w:ascii="Times New Roman" w:eastAsia="Calibri" w:hAnsi="Times New Roman" w:cs="Times New Roman"/>
          <w:noProof/>
          <w:sz w:val="24"/>
          <w:szCs w:val="24"/>
          <w:lang w:val="en-GB"/>
        </w:rPr>
        <w:footnoteReference w:id="29"/>
      </w:r>
      <w:r>
        <w:rPr>
          <w:rFonts w:ascii="Times New Roman" w:hAnsi="Times New Roman"/>
          <w:noProof/>
          <w:sz w:val="24"/>
        </w:rPr>
        <w:t xml:space="preserve"> és kelet-európai</w:t>
      </w:r>
      <w:r>
        <w:rPr>
          <w:rStyle w:val="FootnoteReference"/>
          <w:rFonts w:ascii="Times New Roman" w:eastAsia="Calibri" w:hAnsi="Times New Roman" w:cs="Times New Roman"/>
          <w:noProof/>
          <w:sz w:val="24"/>
          <w:szCs w:val="24"/>
          <w:lang w:val="en-GB"/>
        </w:rPr>
        <w:footnoteReference w:id="30"/>
      </w:r>
      <w:r>
        <w:rPr>
          <w:rFonts w:ascii="Times New Roman" w:hAnsi="Times New Roman"/>
          <w:noProof/>
          <w:sz w:val="24"/>
        </w:rPr>
        <w:t xml:space="preserve"> férfi munkavállalókat jellemzően építkezéseken és a mezőgazdaságban alkalmazzák, míg a kelet-európaiakat (belaruszokat, ukránokat, lengyeleket) a közlekedési ágazatban foglalkoztatják. Míg a vietnami és thai nőket szépségszalonokban és körömszalonokban, addig az indiai és egyes afrikai nemzetiségűeket az otthoni ápolási-gondozási ágazatban zsákmányolják ki. Az Unióban a gyermekmunka jellemzően családon vagy a családi vállalkozásokon belül valósul meg. A gyermekeket a vendéglátásban, a mezőgazdaságban, az építőiparban vagy takarítási szolgáltatások keretében zsákmányolják ki. Sok gyermek látja el idős vagy beteg családtagjainak otthoni gondozását is</w:t>
      </w:r>
      <w:r>
        <w:rPr>
          <w:rStyle w:val="FootnoteReference"/>
          <w:rFonts w:ascii="Times New Roman" w:eastAsia="Calibri" w:hAnsi="Times New Roman" w:cs="Times New Roman"/>
          <w:noProof/>
          <w:sz w:val="24"/>
          <w:szCs w:val="24"/>
          <w:lang w:val="en-GB"/>
        </w:rPr>
        <w:footnoteReference w:id="31"/>
      </w:r>
      <w:r>
        <w:rPr>
          <w:rFonts w:ascii="Times New Roman" w:hAnsi="Times New Roman"/>
          <w:noProof/>
          <w:sz w:val="24"/>
        </w:rPr>
        <w:t>.</w:t>
      </w:r>
    </w:p>
    <w:p w14:paraId="41130ECF" w14:textId="15D3778E" w:rsidR="00EE624C" w:rsidRDefault="00EE624C"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A tagállamok az idénymunkások sajátos kiszolgáltatottságára is rámutattak</w:t>
      </w:r>
      <w:r>
        <w:rPr>
          <w:rStyle w:val="FootnoteReference"/>
          <w:rFonts w:ascii="Times New Roman" w:eastAsia="Calibri" w:hAnsi="Times New Roman" w:cs="Times New Roman"/>
          <w:noProof/>
          <w:sz w:val="24"/>
          <w:szCs w:val="24"/>
          <w:lang w:val="en-GB"/>
        </w:rPr>
        <w:footnoteReference w:id="32"/>
      </w:r>
      <w:r>
        <w:rPr>
          <w:rFonts w:ascii="Times New Roman" w:hAnsi="Times New Roman"/>
          <w:noProof/>
          <w:sz w:val="24"/>
        </w:rPr>
        <w:t>.</w:t>
      </w:r>
      <w:r>
        <w:rPr>
          <w:noProof/>
        </w:rPr>
        <w:t xml:space="preserve"> </w:t>
      </w:r>
      <w:r>
        <w:rPr>
          <w:rFonts w:ascii="Times New Roman" w:hAnsi="Times New Roman"/>
          <w:noProof/>
          <w:sz w:val="24"/>
        </w:rPr>
        <w:t>Az áldozatokat távoli mezőgazdasági területekre szállítják, akik ott élnek és dolgoznak, és többnyire bizonytalan és túlzsúfolt szállásért fizetnek. A szűkös gazdasági erőforrások és a nyelvtudás hiánya miatt teljes függőségbe kerülnek. A helyszínek korlátozott elérhetősége és távoli elhelyezkedése megnehezíti a munkaügyi ellenőrzéseket és az áldozatok azonosítását</w:t>
      </w:r>
      <w:r>
        <w:rPr>
          <w:rStyle w:val="FootnoteReference"/>
          <w:rFonts w:eastAsiaTheme="minorEastAsia"/>
          <w:noProof/>
          <w:sz w:val="24"/>
          <w:szCs w:val="24"/>
          <w:lang w:val="en-GB"/>
        </w:rPr>
        <w:footnoteReference w:id="33"/>
      </w:r>
      <w:r>
        <w:rPr>
          <w:rFonts w:ascii="Times New Roman" w:hAnsi="Times New Roman"/>
          <w:noProof/>
          <w:sz w:val="24"/>
        </w:rPr>
        <w:t>.</w:t>
      </w:r>
    </w:p>
    <w:p w14:paraId="335C2366" w14:textId="271E84EA" w:rsidR="00485EAB" w:rsidRDefault="00E074BC" w:rsidP="008964CA">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A kizsákmányolás előfordulása nem függ a vállalatok méretétől, nyereségétől, illetve szervezetétől. A nyomozások során arra derült fény, hogy az emberkereskedők rendkívül kifinomultan, összetett üzleti struktúrák keretében, különböző területekre szakosodva szervezik meg a személyazonosító okmányokkal ellátott, szinte minden kontinensről származó több száz ember toborzását, utaztatását és elszállásolását. A munkaerő-kizsákmányolás céljából folytatott emberkereskedelem gyakran más bűncselekményekkel, például költségvetési csalással, okmányokkal való visszaéléssel, valamint a foglalkoztatási és szociális biztonsági jogszabályok súlyos megsértésével is egybefonódik.</w:t>
      </w:r>
      <w:r>
        <w:rPr>
          <w:noProof/>
        </w:rPr>
        <w:t xml:space="preserve"> </w:t>
      </w:r>
      <w:r>
        <w:rPr>
          <w:rFonts w:ascii="Times New Roman" w:hAnsi="Times New Roman"/>
          <w:noProof/>
          <w:sz w:val="24"/>
        </w:rPr>
        <w:t>A szervezett bűnözői hálózatok a személyazonosító okmányok és a telefonok elkobzása mellett fizikai vagy pszichológiai fenyegetéseket is alkalmaznak, hogy ellenőrzésük alatt tartsák az áldozatokat. Az áldozatok többsége nem beszéli a fogadó ország nyelvét, vonakodnak együttműködni a hatóságokkal és nem feltétlenül azonosítják magukat áldozatként. A kizsákmányolók gyakran bankszámla nyitására kényszerítik áldozataikat, amelyet ellenőrzésük alatt tartanak, hogy hozzáférhessenek az áldozatok béréhez és pénzeszközeihez</w:t>
      </w:r>
      <w:r>
        <w:rPr>
          <w:rStyle w:val="FootnoteReference"/>
          <w:rFonts w:ascii="Times New Roman" w:hAnsi="Times New Roman" w:cs="Times New Roman"/>
          <w:noProof/>
          <w:sz w:val="24"/>
          <w:szCs w:val="24"/>
        </w:rPr>
        <w:footnoteReference w:id="34"/>
      </w:r>
      <w:r>
        <w:rPr>
          <w:rFonts w:ascii="Times New Roman" w:hAnsi="Times New Roman"/>
          <w:noProof/>
          <w:sz w:val="24"/>
        </w:rPr>
        <w:t xml:space="preserve">. </w:t>
      </w:r>
    </w:p>
    <w:p w14:paraId="3250411A" w14:textId="2F88E59E" w:rsidR="00EE624C" w:rsidRPr="00B011CB" w:rsidRDefault="00EE624C" w:rsidP="00B011CB">
      <w:pPr>
        <w:pStyle w:val="ListParagraph"/>
        <w:numPr>
          <w:ilvl w:val="1"/>
          <w:numId w:val="1"/>
        </w:numPr>
        <w:spacing w:before="160"/>
        <w:jc w:val="both"/>
        <w:rPr>
          <w:rFonts w:ascii="Times New Roman" w:eastAsia="Calibri" w:hAnsi="Times New Roman" w:cs="Times New Roman"/>
          <w:b/>
          <w:noProof/>
          <w:sz w:val="24"/>
          <w:szCs w:val="20"/>
        </w:rPr>
      </w:pPr>
      <w:r>
        <w:rPr>
          <w:rFonts w:ascii="Times New Roman" w:hAnsi="Times New Roman"/>
          <w:b/>
          <w:noProof/>
          <w:sz w:val="24"/>
        </w:rPr>
        <w:t>A kizsákmányolás egyéb formái céljából folytatott emberkereskedelem</w:t>
      </w:r>
    </w:p>
    <w:p w14:paraId="4BDE59A9" w14:textId="58DDCA2A" w:rsidR="00EE624C" w:rsidRPr="00EB2D75" w:rsidRDefault="00EE624C" w:rsidP="00EE624C">
      <w:pPr>
        <w:spacing w:before="160" w:line="240" w:lineRule="auto"/>
        <w:jc w:val="both"/>
        <w:rPr>
          <w:rFonts w:ascii="Times New Roman" w:hAnsi="Times New Roman" w:cs="Times New Roman"/>
          <w:noProof/>
          <w:sz w:val="24"/>
          <w:szCs w:val="24"/>
        </w:rPr>
      </w:pPr>
      <w:r>
        <w:rPr>
          <w:rFonts w:ascii="Times New Roman" w:hAnsi="Times New Roman"/>
          <w:noProof/>
          <w:color w:val="000000"/>
          <w:sz w:val="24"/>
        </w:rPr>
        <w:t xml:space="preserve">A jelentési időszakban az emberkereskedelem egyéb – a szexuális és munkaerő-kizsákmányoláson kívüli – formái az összes áldozat </w:t>
      </w:r>
      <w:r>
        <w:rPr>
          <w:rFonts w:ascii="Times New Roman" w:hAnsi="Times New Roman"/>
          <w:b/>
          <w:noProof/>
          <w:color w:val="000000"/>
          <w:sz w:val="24"/>
        </w:rPr>
        <w:t>14 %-át érintették</w:t>
      </w:r>
      <w:r>
        <w:rPr>
          <w:rStyle w:val="FootnoteReference"/>
          <w:rFonts w:ascii="Times New Roman" w:hAnsi="Times New Roman" w:cs="Times New Roman"/>
          <w:noProof/>
          <w:color w:val="000000"/>
          <w:sz w:val="24"/>
          <w:szCs w:val="24"/>
          <w:lang w:val="en-GB" w:eastAsia="en-IE"/>
        </w:rPr>
        <w:footnoteReference w:id="35"/>
      </w:r>
      <w:r>
        <w:rPr>
          <w:rFonts w:ascii="Times New Roman" w:hAnsi="Times New Roman"/>
          <w:noProof/>
          <w:color w:val="000000"/>
          <w:sz w:val="24"/>
        </w:rPr>
        <w:t xml:space="preserve">. </w:t>
      </w:r>
      <w:r>
        <w:rPr>
          <w:rFonts w:ascii="Times New Roman" w:hAnsi="Times New Roman"/>
          <w:noProof/>
          <w:sz w:val="24"/>
        </w:rPr>
        <w:t xml:space="preserve">A kizsákmányolás ilyen formái közé tartoznak a bűnözésre kényszerítés, a koldulásra kényszerítés, az illegális szerveltávolítás és az „egyéb” formák. </w:t>
      </w:r>
    </w:p>
    <w:p w14:paraId="2C2292B8" w14:textId="31DDB325" w:rsidR="00EE624C" w:rsidRPr="0046195B" w:rsidRDefault="067DEBEF"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Jóllehet a 2021–2022-es időszakban az Unióban a </w:t>
      </w:r>
      <w:r>
        <w:rPr>
          <w:rFonts w:ascii="Times New Roman" w:hAnsi="Times New Roman"/>
          <w:b/>
          <w:noProof/>
          <w:sz w:val="24"/>
        </w:rPr>
        <w:t>bűnözésre kényszerítés</w:t>
      </w:r>
      <w:r>
        <w:rPr>
          <w:rFonts w:ascii="Times New Roman" w:hAnsi="Times New Roman"/>
          <w:noProof/>
          <w:sz w:val="24"/>
        </w:rPr>
        <w:t xml:space="preserve"> az összes regisztrált áldozat csupán 3 %-át érintette, több tagállam</w:t>
      </w:r>
      <w:r>
        <w:rPr>
          <w:rStyle w:val="FootnoteReference"/>
          <w:rFonts w:ascii="Times New Roman" w:eastAsia="Calibri" w:hAnsi="Times New Roman" w:cs="Times New Roman"/>
          <w:noProof/>
          <w:sz w:val="24"/>
          <w:szCs w:val="24"/>
          <w:lang w:val="en-GB"/>
        </w:rPr>
        <w:footnoteReference w:id="36"/>
      </w:r>
      <w:r>
        <w:rPr>
          <w:rFonts w:ascii="Times New Roman" w:hAnsi="Times New Roman"/>
          <w:noProof/>
          <w:sz w:val="24"/>
        </w:rPr>
        <w:t xml:space="preserve"> is e kizsákmányolási forma növekedéséről számolt be. A bűnözésre kényszerítés gyakran lopáshoz, kisebb bűncselekményekhez, zsebtolvajláshoz, bolti lopáshoz és kábítószer-értékesítéshez kapcsolódik. A tagállamok a bűnözésre kényszerítés útján elkövetett online csalások és a társadalombiztosítási visszaélések terjedéséről is beszámoltak</w:t>
      </w:r>
      <w:r>
        <w:rPr>
          <w:rStyle w:val="FootnoteReference"/>
          <w:rFonts w:ascii="Times New Roman" w:eastAsia="Calibri" w:hAnsi="Times New Roman" w:cs="Times New Roman"/>
          <w:noProof/>
          <w:sz w:val="24"/>
          <w:szCs w:val="24"/>
          <w:lang w:val="en-GB"/>
        </w:rPr>
        <w:footnoteReference w:id="37"/>
      </w:r>
      <w:r>
        <w:rPr>
          <w:rFonts w:ascii="Times New Roman" w:hAnsi="Times New Roman"/>
          <w:noProof/>
          <w:sz w:val="24"/>
        </w:rPr>
        <w:t>. Beszámolóik szerint az is egyre gyakoribb, hogy a bűnbandák zsebtolvajlás és rablás céljából vagy drogfutárként zsákmányolnak ki gyermekeket</w:t>
      </w:r>
      <w:r>
        <w:rPr>
          <w:rStyle w:val="FootnoteReference"/>
          <w:rFonts w:ascii="Times New Roman" w:eastAsia="Calibri" w:hAnsi="Times New Roman" w:cs="Times New Roman"/>
          <w:noProof/>
          <w:sz w:val="24"/>
          <w:szCs w:val="24"/>
          <w:lang w:val="en-GB"/>
        </w:rPr>
        <w:footnoteReference w:id="38"/>
      </w:r>
      <w:r>
        <w:rPr>
          <w:rFonts w:ascii="Times New Roman" w:hAnsi="Times New Roman"/>
          <w:noProof/>
          <w:sz w:val="24"/>
        </w:rPr>
        <w:t>. A bűnbandák (főként migrációs háttérrel rendelkező) fiatal, kiszolgáltatott fiúkat használnak arra, hogy drogfutárként vagy kannabiszültetvényeken dolgozzanak, rablásokat vagy akár lövöldözéseket és egyéb erőszakos cselekményeket kövessenek el. 2023 októberében az Europol egy olyan bűnözői hálózat felszámolásában támogatta a szerb rendőrséget, amely kényszerházasság, koldulásra kényszerítés és bűnözésre kényszerítés céljából folytatott gyermekkereskedelemben vett részt. A családalapú bűnszervezeteken belül a bűnözők és az áldozatok életkora 5 és 17 év között volt. Ausztria, Franciaország és Németország is részt vett a nyomozásban</w:t>
      </w:r>
      <w:r>
        <w:rPr>
          <w:rStyle w:val="FootnoteReference"/>
          <w:rFonts w:ascii="Times New Roman" w:eastAsia="Times New Roman" w:hAnsi="Times New Roman" w:cs="Times New Roman"/>
          <w:noProof/>
          <w:spacing w:val="-6"/>
          <w:sz w:val="24"/>
          <w:szCs w:val="24"/>
          <w:lang w:val="en-US"/>
        </w:rPr>
        <w:footnoteReference w:id="39"/>
      </w:r>
      <w:r>
        <w:rPr>
          <w:rFonts w:ascii="Times New Roman" w:hAnsi="Times New Roman"/>
          <w:noProof/>
          <w:sz w:val="24"/>
        </w:rPr>
        <w:t>.</w:t>
      </w:r>
    </w:p>
    <w:p w14:paraId="45636D04" w14:textId="0722585B" w:rsidR="00EE624C" w:rsidRDefault="00EE624C"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koldulásra kényszerítés</w:t>
      </w:r>
      <w:r>
        <w:rPr>
          <w:rFonts w:ascii="Times New Roman" w:hAnsi="Times New Roman"/>
          <w:noProof/>
          <w:sz w:val="24"/>
        </w:rPr>
        <w:t xml:space="preserve"> (2 %) mint a kizsákmányolás egyik formája továbbra is jelen van több tagállamban. Portugáliában ez volt a kizsákmányolás harmadik legjelentősebb formája. Az áldozatok között főként kiskorú román, bolgár, szlovák és magyar állampolgárok, köztük roma nemzetiségűek képviseltették magukat. </w:t>
      </w:r>
    </w:p>
    <w:p w14:paraId="125A19EF" w14:textId="4BA44312" w:rsidR="00EE624C" w:rsidRPr="00EB2D75" w:rsidRDefault="00EE624C" w:rsidP="00EE624C">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Több tagállam</w:t>
      </w:r>
      <w:r>
        <w:rPr>
          <w:rFonts w:ascii="Times New Roman" w:eastAsia="Calibri" w:hAnsi="Times New Roman" w:cs="Times New Roman"/>
          <w:noProof/>
          <w:sz w:val="24"/>
          <w:szCs w:val="24"/>
          <w:vertAlign w:val="superscript"/>
          <w:lang w:val="en-GB"/>
        </w:rPr>
        <w:footnoteReference w:id="40"/>
      </w:r>
      <w:r>
        <w:rPr>
          <w:rFonts w:ascii="Times New Roman" w:hAnsi="Times New Roman"/>
          <w:noProof/>
          <w:sz w:val="24"/>
        </w:rPr>
        <w:t xml:space="preserve"> is beszámolt a </w:t>
      </w:r>
      <w:r>
        <w:rPr>
          <w:rFonts w:ascii="Times New Roman" w:hAnsi="Times New Roman"/>
          <w:b/>
          <w:noProof/>
          <w:sz w:val="24"/>
        </w:rPr>
        <w:t>kényszer- és színlelt házasság</w:t>
      </w:r>
      <w:r>
        <w:rPr>
          <w:rFonts w:ascii="Times New Roman" w:hAnsi="Times New Roman"/>
          <w:noProof/>
          <w:sz w:val="24"/>
        </w:rPr>
        <w:t xml:space="preserve"> céljából folytatott emberkereskedelem eseteiről, amelyek az etnikai kisebbségeket, például a migrációs háttérrel rendelkező roma embereket és gyermekeket (főként lányokat) érintik. A kényszerházasság gyakran a kizsákmányolás többféle formájával, többek között szexuális kizsákmányolással, munkaerő-kizsákmányolással vagy a koldulásra kényszerítéssel is összekapcsolódik</w:t>
      </w:r>
      <w:r>
        <w:rPr>
          <w:rStyle w:val="FootnoteReference"/>
          <w:rFonts w:ascii="Times New Roman" w:eastAsia="Calibri" w:hAnsi="Times New Roman" w:cs="Times New Roman"/>
          <w:noProof/>
          <w:sz w:val="24"/>
          <w:szCs w:val="24"/>
          <w:lang w:val="en-GB"/>
        </w:rPr>
        <w:footnoteReference w:id="41"/>
      </w:r>
      <w:r>
        <w:rPr>
          <w:rFonts w:ascii="Times New Roman" w:hAnsi="Times New Roman"/>
          <w:noProof/>
          <w:sz w:val="24"/>
        </w:rPr>
        <w:t xml:space="preserve">. </w:t>
      </w:r>
    </w:p>
    <w:p w14:paraId="429FDADD" w14:textId="09BE1D35" w:rsidR="00EE624C" w:rsidRPr="00EE624C" w:rsidRDefault="00EE624C" w:rsidP="00AE2102">
      <w:pPr>
        <w:spacing w:before="160" w:line="240" w:lineRule="auto"/>
        <w:jc w:val="both"/>
        <w:rPr>
          <w:noProof/>
          <w:sz w:val="24"/>
          <w:szCs w:val="24"/>
        </w:rPr>
      </w:pPr>
      <w:r>
        <w:rPr>
          <w:rFonts w:ascii="Times New Roman" w:hAnsi="Times New Roman"/>
          <w:noProof/>
          <w:sz w:val="24"/>
        </w:rPr>
        <w:t xml:space="preserve">A </w:t>
      </w:r>
      <w:r>
        <w:rPr>
          <w:rFonts w:ascii="Times New Roman" w:hAnsi="Times New Roman"/>
          <w:b/>
          <w:noProof/>
          <w:sz w:val="24"/>
        </w:rPr>
        <w:t>kizsákmányoló béranyaság</w:t>
      </w:r>
      <w:r>
        <w:rPr>
          <w:rFonts w:ascii="Times New Roman" w:hAnsi="Times New Roman"/>
          <w:noProof/>
          <w:sz w:val="24"/>
        </w:rPr>
        <w:t xml:space="preserve"> az emberkereskedelem egyik új formája. A bűnözők béranyaság céljából zsákmányolnak ki kiszolgáltatott nőket. A közvetítők (például a reprodukciós klinikák) nagyon nagy nyereség elérése érdekében határokon átnyúlóan folytatnak szervezett bűnözést. A görög rendőrség egy olyan bűnszervezetet számolt fel, amely kelet-európai országokból</w:t>
      </w:r>
      <w:r>
        <w:rPr>
          <w:rStyle w:val="FootnoteReference"/>
          <w:rFonts w:ascii="Times New Roman" w:eastAsia="Calibri" w:hAnsi="Times New Roman" w:cs="Times New Roman"/>
          <w:noProof/>
          <w:sz w:val="24"/>
          <w:szCs w:val="24"/>
          <w:lang w:val="en-GB"/>
        </w:rPr>
        <w:footnoteReference w:id="42"/>
      </w:r>
      <w:r>
        <w:rPr>
          <w:rFonts w:ascii="Times New Roman" w:hAnsi="Times New Roman"/>
          <w:noProof/>
          <w:sz w:val="24"/>
        </w:rPr>
        <w:t xml:space="preserve"> származó nőket zsákmányolt ki petesejtek eltávolítása és béranyasági szolgáltatások céljából. </w:t>
      </w:r>
    </w:p>
    <w:p w14:paraId="099C15F9" w14:textId="46B721B4" w:rsidR="00EE624C" w:rsidRPr="00EB2D75" w:rsidRDefault="00EE624C" w:rsidP="008964CA">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Bulgária, Görögország és Szlovákia </w:t>
      </w:r>
      <w:r>
        <w:rPr>
          <w:rFonts w:ascii="Times New Roman" w:hAnsi="Times New Roman"/>
          <w:b/>
          <w:noProof/>
          <w:sz w:val="24"/>
        </w:rPr>
        <w:t>szerveltávolítás</w:t>
      </w:r>
      <w:r>
        <w:rPr>
          <w:rFonts w:ascii="Times New Roman" w:hAnsi="Times New Roman"/>
          <w:noProof/>
          <w:sz w:val="24"/>
        </w:rPr>
        <w:t xml:space="preserve"> céljából folytatott emberkereskedelem gyanújáról számolt be, amely szervkereskedelemként sejtek, szövetek és vér kizsákmányoló jellegű eltávolítását is magában foglalta. Görögország emellett a petesejtek orvosilag asszisztált reprodukcióhoz kapcsolódó eltávolítását is szerveltávolításnak tekintette. E kizsákmányolási forma az Unióban 2021–2022-ben regisztrált esetek kevesebb mint 1 %-át tette ki. </w:t>
      </w:r>
    </w:p>
    <w:p w14:paraId="4403A216" w14:textId="56388BD7" w:rsidR="00EE624C" w:rsidRPr="00B011CB" w:rsidRDefault="00EE624C" w:rsidP="00B011CB">
      <w:pPr>
        <w:pStyle w:val="ListParagraph"/>
        <w:numPr>
          <w:ilvl w:val="1"/>
          <w:numId w:val="1"/>
        </w:numPr>
        <w:spacing w:before="160"/>
        <w:jc w:val="both"/>
        <w:rPr>
          <w:rFonts w:ascii="Times New Roman" w:eastAsia="Calibri" w:hAnsi="Times New Roman" w:cs="Times New Roman"/>
          <w:b/>
          <w:noProof/>
          <w:sz w:val="24"/>
          <w:szCs w:val="20"/>
        </w:rPr>
      </w:pPr>
      <w:r>
        <w:rPr>
          <w:rFonts w:ascii="Times New Roman" w:hAnsi="Times New Roman"/>
          <w:b/>
          <w:noProof/>
          <w:sz w:val="24"/>
        </w:rPr>
        <w:t>Gyermekkereskedelem</w:t>
      </w:r>
    </w:p>
    <w:p w14:paraId="202A26CD" w14:textId="37C55AE3" w:rsidR="00EE624C" w:rsidRPr="00EE624C" w:rsidRDefault="00EE624C" w:rsidP="00EE624C">
      <w:pPr>
        <w:spacing w:before="240" w:after="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A gyermekkereskedelem az emberkereskedelem gyorsan fejlődő és sokrétű formája, amely egyúttal az emberi kizsákmányolásnak, a gyermekek elleni erőszaknak, a gyermekbántalmazásnak és a gyermekek jogai megsértésének súlyos formáját jelenti. A 2021–2022-es időszakban a gyermekáldozatok 81 %-a (2 401 gyermek) uniós polgár volt, és 88 %-ukat (2 120 gyermeket) saját tagállamukban zsákmányolták ki. Az Unióban regisztrált összes áldozat közel egyötöde gyermekáldozat volt (19 %). A gyermekáldozatok aránya 2021–2022-ben 3 %-kal csökkent a 2019–2020-as időszakhoz képest</w:t>
      </w:r>
      <w:r>
        <w:rPr>
          <w:rStyle w:val="FootnoteReference"/>
          <w:rFonts w:ascii="Times New Roman" w:hAnsi="Times New Roman" w:cs="Times New Roman"/>
          <w:noProof/>
          <w:sz w:val="24"/>
          <w:szCs w:val="24"/>
          <w:lang w:val="en-US"/>
        </w:rPr>
        <w:footnoteReference w:id="43"/>
      </w:r>
      <w:r>
        <w:rPr>
          <w:rFonts w:ascii="Times New Roman" w:hAnsi="Times New Roman"/>
          <w:noProof/>
          <w:sz w:val="24"/>
        </w:rPr>
        <w:t>. Egyes tagállamok a gyermekáldozatok nagyon alacsony számáról számolnak be</w:t>
      </w:r>
      <w:r>
        <w:rPr>
          <w:rStyle w:val="FootnoteReference"/>
          <w:rFonts w:ascii="Times New Roman" w:eastAsia="Times New Roman" w:hAnsi="Times New Roman" w:cs="Times New Roman"/>
          <w:noProof/>
          <w:spacing w:val="-6"/>
          <w:sz w:val="24"/>
          <w:szCs w:val="24"/>
        </w:rPr>
        <w:footnoteReference w:id="44"/>
      </w:r>
      <w:r>
        <w:rPr>
          <w:rFonts w:ascii="Times New Roman" w:hAnsi="Times New Roman"/>
          <w:noProof/>
          <w:sz w:val="24"/>
        </w:rPr>
        <w:t>. A regisztrált gyermekáldozatok számában megfigyelhető csökkenő tendencia az online szexuális kizsákmányolás növekedésével lehet összefüggésben, ahol sok áldozat rejtve marad. Néhány tagállamban a gyermekáldozatokat nem tartják nyilván emberkereskedelem áldozataként annak érdekében, hogy biztosíthassák részükre a gyermekek számára rendelkezésre álló átfogóbb támogatást. Ezért a kizsákmányolás áldozatává vált gyermek tényleges száma továbbra sem ismert, és előfordulhat, hogy esetükben alacsony a bejelentési arány. Az áldozatok általában gyenge szociális és családi háttérrel rendelkeznek. Alacsony önbecsüléssel, pszichológiai problémákkal küzdenek, gyakran próbálnak ki drogokat, valamint rövid és hosszú távú fizikai, mentális, pszichológiai és egyéb mélyen gyökerező fejlődési problémáktól szenvednek. A bentlakásos vagy intézményi gondozásban élő gyermekek különösen kiszolgáltatottak az emberkereskedelemmel szemben.</w:t>
      </w:r>
    </w:p>
    <w:p w14:paraId="2DC8F84C" w14:textId="63A1DCF1" w:rsidR="341E90BB" w:rsidRPr="00AE2102" w:rsidRDefault="003A0DFC" w:rsidP="341E90BB">
      <w:pPr>
        <w:spacing w:before="240" w:after="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 xml:space="preserve">Az Unióban a gyermekek a </w:t>
      </w:r>
      <w:r>
        <w:rPr>
          <w:rFonts w:ascii="Times New Roman" w:hAnsi="Times New Roman"/>
          <w:b/>
          <w:noProof/>
          <w:sz w:val="24"/>
        </w:rPr>
        <w:t>kizsákmányolás minden formája</w:t>
      </w:r>
      <w:r>
        <w:rPr>
          <w:rFonts w:ascii="Times New Roman" w:hAnsi="Times New Roman"/>
          <w:noProof/>
          <w:sz w:val="24"/>
        </w:rPr>
        <w:t>, főként szexuális kizsákmányolás, de bűnözésre kényszerítés, koldulásra kényszerítés, kényszerházasság és munkaerő-kizsákmányolás céljából is emberkereskedelem áldozatává válnak</w:t>
      </w:r>
      <w:r>
        <w:rPr>
          <w:rStyle w:val="FootnoteReference"/>
          <w:rFonts w:ascii="Times New Roman" w:eastAsia="Times New Roman" w:hAnsi="Times New Roman" w:cs="Times New Roman"/>
          <w:noProof/>
          <w:sz w:val="24"/>
          <w:szCs w:val="24"/>
          <w:lang w:val="en-US"/>
        </w:rPr>
        <w:footnoteReference w:id="45"/>
      </w:r>
      <w:r>
        <w:rPr>
          <w:rFonts w:ascii="Times New Roman" w:hAnsi="Times New Roman"/>
          <w:noProof/>
          <w:sz w:val="24"/>
        </w:rPr>
        <w:t>. A digitalizáció következtében aggasztó mértékben nőtt a fiatalkorú prostitúció emberkereskedelemhez vezető eseteinek száma. Sok esetben olyan kisgyermekekről van szó, akik nagyon aktívak a közösségi oldalakon és a játékoldalakon, és ezáltal felkeltik az emberkereskedők figyelmét. A „zsebpénzes” kizsákmányolás a Covid19-világjárvány idején jelent meg, amikor az emberkereskedők fiatal lányokat győztek meg az interneten, hogy prostitúcióval egészítsék ki zsebpénzüket, ami szexuális kizsákmányoláshoz vezetett. A bűncselekmény olyan széles körben elterjedt Németországban, hogy a bűnüldöző szervek külön nevet adtak neki</w:t>
      </w:r>
      <w:r>
        <w:rPr>
          <w:rStyle w:val="FootnoteReference"/>
          <w:rFonts w:ascii="Times New Roman" w:eastAsia="Times New Roman" w:hAnsi="Times New Roman" w:cs="Times New Roman"/>
          <w:noProof/>
          <w:spacing w:val="-6"/>
          <w:sz w:val="24"/>
          <w:szCs w:val="24"/>
        </w:rPr>
        <w:footnoteReference w:id="46"/>
      </w:r>
      <w:r>
        <w:rPr>
          <w:rFonts w:ascii="Times New Roman" w:hAnsi="Times New Roman"/>
          <w:noProof/>
          <w:sz w:val="24"/>
        </w:rPr>
        <w:t xml:space="preserve">. </w:t>
      </w:r>
    </w:p>
    <w:p w14:paraId="1523ED0E" w14:textId="53A5E9E8" w:rsidR="00A116D7" w:rsidRPr="00307746" w:rsidRDefault="2B1DB6EB" w:rsidP="008964CA">
      <w:pPr>
        <w:spacing w:before="240" w:after="24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A franciaországi Trocadero-ügy annak egyik példája, hogy a törvényszék a bűnözésre kényszerítést első fokon az emberkereskedelem céljaként ismerte el. Hét algériai emberkereskedő tizenhét, kísérő nélküli kiskorúnál alakított ki kábítószer-függőséget, majd a híres párizsi Trocadero téren bűncselekmények, többek között lopás elkövetésére kényszerítették őket</w:t>
      </w:r>
      <w:r>
        <w:rPr>
          <w:rStyle w:val="FootnoteReference"/>
          <w:rFonts w:ascii="Times New Roman" w:eastAsia="Times New Roman" w:hAnsi="Times New Roman" w:cs="Times New Roman"/>
          <w:noProof/>
          <w:sz w:val="24"/>
          <w:szCs w:val="24"/>
          <w:lang w:val="en-US"/>
        </w:rPr>
        <w:footnoteReference w:id="47"/>
      </w:r>
      <w:r>
        <w:rPr>
          <w:rFonts w:ascii="Times New Roman" w:hAnsi="Times New Roman"/>
          <w:noProof/>
          <w:sz w:val="24"/>
        </w:rPr>
        <w:t>.</w:t>
      </w:r>
    </w:p>
    <w:p w14:paraId="2CF997A2" w14:textId="5CB63B7C" w:rsidR="00EE624C" w:rsidRPr="00B011CB" w:rsidRDefault="00EE624C" w:rsidP="00B011CB">
      <w:pPr>
        <w:pStyle w:val="ListParagraph"/>
        <w:numPr>
          <w:ilvl w:val="1"/>
          <w:numId w:val="1"/>
        </w:numPr>
        <w:spacing w:before="160"/>
        <w:jc w:val="both"/>
        <w:rPr>
          <w:rFonts w:ascii="Times New Roman" w:eastAsia="Calibri" w:hAnsi="Times New Roman" w:cs="Times New Roman"/>
          <w:b/>
          <w:noProof/>
          <w:sz w:val="24"/>
          <w:szCs w:val="20"/>
        </w:rPr>
      </w:pPr>
      <w:r>
        <w:rPr>
          <w:rFonts w:ascii="Times New Roman" w:hAnsi="Times New Roman"/>
          <w:b/>
          <w:noProof/>
          <w:sz w:val="24"/>
        </w:rPr>
        <w:t>Emberkereskedelem a migrációval összefüggésben</w:t>
      </w:r>
    </w:p>
    <w:p w14:paraId="540ABF0F" w14:textId="2E8EC779" w:rsidR="00B36820" w:rsidRDefault="00EE624C" w:rsidP="00EE624C">
      <w:pPr>
        <w:spacing w:before="240" w:after="0" w:line="240" w:lineRule="auto"/>
        <w:jc w:val="both"/>
        <w:rPr>
          <w:rFonts w:ascii="Times New Roman" w:hAnsi="Times New Roman" w:cs="Times New Roman"/>
          <w:noProof/>
          <w:sz w:val="24"/>
          <w:szCs w:val="24"/>
        </w:rPr>
      </w:pPr>
      <w:r>
        <w:rPr>
          <w:rFonts w:ascii="Times New Roman" w:hAnsi="Times New Roman"/>
          <w:noProof/>
          <w:sz w:val="24"/>
        </w:rPr>
        <w:t>A jelentési időszakban nőtt a nem uniós állampolgárok aránya, és ők tették ki az emberkereskedelem áldozatainak többségét.</w:t>
      </w:r>
      <w:r>
        <w:rPr>
          <w:noProof/>
        </w:rPr>
        <w:t xml:space="preserve"> </w:t>
      </w:r>
      <w:r>
        <w:rPr>
          <w:rFonts w:ascii="Times New Roman" w:hAnsi="Times New Roman"/>
          <w:noProof/>
          <w:sz w:val="24"/>
        </w:rPr>
        <w:t xml:space="preserve">2021–2022-ben a nyilvántartásba vett áldozatok 46 %-a uniós polgár, </w:t>
      </w:r>
      <w:r>
        <w:rPr>
          <w:rFonts w:ascii="Times New Roman" w:hAnsi="Times New Roman"/>
          <w:b/>
          <w:noProof/>
          <w:sz w:val="24"/>
        </w:rPr>
        <w:t>54 %-a pedig nem uniós állampolgár volt</w:t>
      </w:r>
      <w:r>
        <w:rPr>
          <w:rFonts w:ascii="Times New Roman" w:hAnsi="Times New Roman"/>
          <w:noProof/>
          <w:sz w:val="24"/>
        </w:rPr>
        <w:t xml:space="preserve">. Ez elmozdulást jelent a 2019–2020-as időszakhoz képest, amikor a regisztrált áldozatok többsége uniós polgár volt (55 % uniós polgár és 45 % harmadik országbeli állampolgár). </w:t>
      </w:r>
    </w:p>
    <w:p w14:paraId="07965569" w14:textId="77777777" w:rsidR="00AD461F" w:rsidRPr="002E0B7E" w:rsidRDefault="00AD461F" w:rsidP="00FA4E75">
      <w:pPr>
        <w:spacing w:after="0" w:line="240" w:lineRule="auto"/>
        <w:contextualSpacing/>
        <w:jc w:val="both"/>
        <w:rPr>
          <w:rFonts w:ascii="Times New Roman" w:eastAsia="Calibri" w:hAnsi="Times New Roman" w:cs="Times New Roman"/>
          <w:noProof/>
          <w:sz w:val="24"/>
          <w:szCs w:val="24"/>
        </w:rPr>
      </w:pPr>
    </w:p>
    <w:p w14:paraId="7D8295E1" w14:textId="1915973E" w:rsidR="00FF11A0" w:rsidRDefault="005A0AEC" w:rsidP="00FA4E75">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Az áldozatok állampolgársága és neme nagymértékben függ a kizsákmányolás formájától. Míg a Nigériából, Kamerunból, Kínából és a latin-amerikai országokból származó áldozatok főként nők, akik szexuális kizsákmányolás céljából válnak emberkereskedelem áldozatává, a Marokkóból, Bangladesből, Pakisztánból, a Fülöp-szigetekről, Algériából és Indiából származó áldozatok főként férfiak, akik munkaerő-kizsákmányolásnak vannak kitéve.</w:t>
      </w:r>
      <w:r>
        <w:rPr>
          <w:noProof/>
        </w:rPr>
        <w:t xml:space="preserve"> </w:t>
      </w:r>
    </w:p>
    <w:p w14:paraId="49C8A3FA" w14:textId="77777777" w:rsidR="00FA4E75" w:rsidRPr="002E0B7E" w:rsidRDefault="00FA4E75" w:rsidP="00FA4E75">
      <w:pPr>
        <w:spacing w:after="0" w:line="240" w:lineRule="auto"/>
        <w:contextualSpacing/>
        <w:jc w:val="both"/>
        <w:rPr>
          <w:rFonts w:ascii="Times New Roman" w:hAnsi="Times New Roman" w:cs="Times New Roman"/>
          <w:noProof/>
          <w:sz w:val="24"/>
          <w:szCs w:val="24"/>
        </w:rPr>
      </w:pPr>
    </w:p>
    <w:p w14:paraId="32F0C016" w14:textId="293C861E" w:rsidR="00EE624C" w:rsidRDefault="00B44CFB" w:rsidP="32BEDE67">
      <w:pPr>
        <w:spacing w:after="0" w:line="240" w:lineRule="auto"/>
        <w:jc w:val="both"/>
        <w:rPr>
          <w:rFonts w:ascii="Times New Roman" w:hAnsi="Times New Roman" w:cs="Times New Roman"/>
          <w:noProof/>
          <w:sz w:val="24"/>
          <w:szCs w:val="24"/>
        </w:rPr>
      </w:pPr>
      <w:r>
        <w:rPr>
          <w:rFonts w:ascii="Times New Roman" w:hAnsi="Times New Roman"/>
          <w:noProof/>
          <w:sz w:val="24"/>
        </w:rPr>
        <w:t>Az elmúlt években afrikai bűnszervezetek a Ciprusra és a délkelet-európai országokba érkező migránsok közült sok afrikai nőt és lányt kényszerítettek erőszakkal prostitúcióra. Például nigériai, kongói, kameruni és más afrikai nők érkeztek diákvízummal Ciprus nem kormányzati ellenőrzés alatt álló területére, és végül magánlakásokban, bárokban és éjszakai klubokban prostitúcióra kényszerítették őket</w:t>
      </w:r>
      <w:r>
        <w:rPr>
          <w:rStyle w:val="FootnoteReference"/>
          <w:rFonts w:ascii="Times New Roman" w:hAnsi="Times New Roman" w:cs="Times New Roman"/>
          <w:noProof/>
          <w:sz w:val="24"/>
          <w:szCs w:val="24"/>
          <w:lang w:val="en-GB"/>
        </w:rPr>
        <w:footnoteReference w:id="48"/>
      </w:r>
      <w:r>
        <w:rPr>
          <w:noProof/>
        </w:rPr>
        <w:t>.</w:t>
      </w:r>
      <w:r>
        <w:rPr>
          <w:rFonts w:ascii="Times New Roman" w:hAnsi="Times New Roman"/>
          <w:noProof/>
          <w:sz w:val="24"/>
        </w:rPr>
        <w:t xml:space="preserve"> Hasonlóképpen, latin-amerikai és ukrán nők érkeznek jogszerűen az Unióba rövid távú tartózkodás céljából, akik látszólag jogszerű szerződésekkel prostitúciót folytatnak, ami gyakran szigorú megfigyelés és az épületek elhagyására vonatkozó korlátozások melletti kizsákmányoláshoz vezet. Az emberkereskedelem Kínából és latin-amerikai országokból származó áldozatai – a közvetlen repülőjáratok mellett – gyakran a nyugat-balkáni útvonalon keresztül jutnak el az úti cél szerinti tagállamba</w:t>
      </w:r>
      <w:r>
        <w:rPr>
          <w:rStyle w:val="FootnoteReference"/>
          <w:rFonts w:ascii="Times New Roman" w:hAnsi="Times New Roman" w:cs="Times New Roman"/>
          <w:noProof/>
          <w:sz w:val="24"/>
          <w:szCs w:val="24"/>
          <w:lang w:val="en-GB"/>
        </w:rPr>
        <w:footnoteReference w:id="49"/>
      </w:r>
      <w:r>
        <w:rPr>
          <w:rFonts w:ascii="Times New Roman" w:hAnsi="Times New Roman"/>
          <w:noProof/>
          <w:sz w:val="24"/>
        </w:rPr>
        <w:t xml:space="preserve">. </w:t>
      </w:r>
    </w:p>
    <w:p w14:paraId="7C11B680" w14:textId="46C8CA73" w:rsidR="006727F1" w:rsidRPr="008964CA" w:rsidRDefault="00EE624C" w:rsidP="008964CA">
      <w:pPr>
        <w:spacing w:before="240" w:after="24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A kísérő nélküli kiskorúak különös mértékben veszélyeztetettek, és kiszolgáltatottak az emberkereskedőkkel szemben. 2018 és 2022 között minden évben jelentősen nőtt az Európába érkező, kísérő nélküli kiskorúak száma, és 2022-ben elérte a 15 928 főt. Az észak-afrikai és afgán migránscsempész- és emberkereskedő-hálózatok fiatal afgán, marokkói, algériai vagy tunéziai fiúkat zsákmányolnak ki, és az Unióba vezető migrációs útvonaluk mentén prostitúcióra vagy szexuális erőszakra kényszerítik őket. A kizsákmányolást gyakran a közösségi médiában terjesztik azzal a céllal, hogy pénzt zsaroljanak ki a családjuktól</w:t>
      </w:r>
      <w:r>
        <w:rPr>
          <w:rStyle w:val="FootnoteReference"/>
          <w:rFonts w:ascii="Times New Roman" w:eastAsia="Times New Roman" w:hAnsi="Times New Roman" w:cs="Times New Roman"/>
          <w:noProof/>
          <w:spacing w:val="-6"/>
          <w:sz w:val="24"/>
          <w:szCs w:val="24"/>
          <w:lang w:val="en-US"/>
        </w:rPr>
        <w:footnoteReference w:id="50"/>
      </w:r>
      <w:r>
        <w:rPr>
          <w:rFonts w:ascii="Times New Roman" w:hAnsi="Times New Roman"/>
          <w:noProof/>
          <w:sz w:val="24"/>
        </w:rPr>
        <w:t xml:space="preserve">. </w:t>
      </w:r>
    </w:p>
    <w:p w14:paraId="624F8121" w14:textId="77777777" w:rsidR="00662705" w:rsidRPr="00662705" w:rsidRDefault="00662705" w:rsidP="00662705">
      <w:pPr>
        <w:numPr>
          <w:ilvl w:val="0"/>
          <w:numId w:val="2"/>
        </w:numPr>
        <w:spacing w:before="160" w:line="240" w:lineRule="auto"/>
        <w:jc w:val="both"/>
        <w:rPr>
          <w:rFonts w:ascii="Times New Roman" w:eastAsia="Times New Roman" w:hAnsi="Times New Roman" w:cs="Times New Roman"/>
          <w:b/>
          <w:noProof/>
          <w:sz w:val="24"/>
          <w:szCs w:val="20"/>
        </w:rPr>
      </w:pPr>
      <w:r>
        <w:rPr>
          <w:rFonts w:ascii="Times New Roman" w:hAnsi="Times New Roman"/>
          <w:b/>
          <w:noProof/>
          <w:sz w:val="24"/>
        </w:rPr>
        <w:t>AZ EMBERKERESKEDELEM KEZELÉSÉT CÉLZÓ UNIÓS ÉS TAGÁLLAMI INTÉZKEDÉSEK</w:t>
      </w:r>
    </w:p>
    <w:p w14:paraId="1F19C90C" w14:textId="77777777" w:rsidR="00662705" w:rsidRPr="00662705" w:rsidRDefault="00662705" w:rsidP="00B957A6">
      <w:pPr>
        <w:spacing w:before="160" w:line="240" w:lineRule="auto"/>
        <w:ind w:firstLine="360"/>
        <w:jc w:val="both"/>
        <w:rPr>
          <w:rFonts w:ascii="Times New Roman" w:eastAsia="Times New Roman" w:hAnsi="Times New Roman" w:cs="Times New Roman"/>
          <w:b/>
          <w:noProof/>
          <w:sz w:val="24"/>
          <w:szCs w:val="20"/>
        </w:rPr>
      </w:pPr>
      <w:r>
        <w:rPr>
          <w:rFonts w:ascii="Times New Roman" w:hAnsi="Times New Roman"/>
          <w:b/>
          <w:noProof/>
          <w:sz w:val="24"/>
        </w:rPr>
        <w:t>3.1. Az emberkereskedelem kezelésére irányuló átfogó megközelítés</w:t>
      </w:r>
    </w:p>
    <w:p w14:paraId="0901D918" w14:textId="4E0EFEC3" w:rsidR="006A5BB1" w:rsidRDefault="00D75738" w:rsidP="000A3428">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jelentési időszakban az emberkereskedelem elleni küzdelemre irányuló uniós stratégia (2021–2025) négy területén bejelentett </w:t>
      </w:r>
      <w:r>
        <w:rPr>
          <w:rFonts w:ascii="Times New Roman" w:hAnsi="Times New Roman"/>
          <w:b/>
          <w:noProof/>
          <w:sz w:val="24"/>
        </w:rPr>
        <w:t>jogi, pénzügyi, operatív és szakpolitikai kezdeményezések</w:t>
      </w:r>
      <w:r>
        <w:rPr>
          <w:rFonts w:ascii="Times New Roman" w:hAnsi="Times New Roman"/>
          <w:noProof/>
          <w:sz w:val="24"/>
        </w:rPr>
        <w:t xml:space="preserve"> esetében már jelentős előrehaladás történt, illetve azok folyamatban vannak vagy már meg is valósultak. Az uniós stratégia egyik kiemelt intézkedése </w:t>
      </w:r>
      <w:r>
        <w:rPr>
          <w:rFonts w:ascii="Times New Roman" w:hAnsi="Times New Roman"/>
          <w:b/>
          <w:noProof/>
          <w:sz w:val="24"/>
        </w:rPr>
        <w:t xml:space="preserve">a 2011/36/EU irányelv </w:t>
      </w:r>
      <w:r>
        <w:rPr>
          <w:rFonts w:ascii="Times New Roman" w:hAnsi="Times New Roman"/>
          <w:noProof/>
          <w:sz w:val="24"/>
        </w:rPr>
        <w:t xml:space="preserve">értékelése és </w:t>
      </w:r>
      <w:r>
        <w:rPr>
          <w:rFonts w:ascii="Times New Roman" w:hAnsi="Times New Roman"/>
          <w:b/>
          <w:noProof/>
          <w:sz w:val="24"/>
        </w:rPr>
        <w:t>felülvizsgálata</w:t>
      </w:r>
      <w:r>
        <w:rPr>
          <w:rFonts w:ascii="Times New Roman" w:eastAsia="Times New Roman" w:hAnsi="Times New Roman" w:cs="Times New Roman"/>
          <w:noProof/>
          <w:sz w:val="24"/>
          <w:szCs w:val="24"/>
          <w:vertAlign w:val="superscript"/>
        </w:rPr>
        <w:footnoteReference w:id="51"/>
      </w:r>
      <w:r>
        <w:rPr>
          <w:rFonts w:ascii="Times New Roman" w:hAnsi="Times New Roman"/>
          <w:noProof/>
          <w:sz w:val="24"/>
        </w:rPr>
        <w:t>. A Bizottság a főbb hiányosságokat a 2022. december 19-én előterjesztett – majd a társjogalkotók által 2024. június 13-án elfogadott és végül 2024. július 14-én hatályba lépett – jogalkotási javaslatban</w:t>
      </w:r>
      <w:r>
        <w:rPr>
          <w:rFonts w:ascii="Times New Roman" w:eastAsia="Times New Roman" w:hAnsi="Times New Roman" w:cs="Times New Roman"/>
          <w:noProof/>
          <w:sz w:val="24"/>
          <w:szCs w:val="24"/>
          <w:vertAlign w:val="superscript"/>
        </w:rPr>
        <w:footnoteReference w:id="52"/>
      </w:r>
      <w:r>
        <w:rPr>
          <w:rFonts w:ascii="Times New Roman" w:hAnsi="Times New Roman"/>
          <w:noProof/>
          <w:sz w:val="24"/>
        </w:rPr>
        <w:t xml:space="preserve"> orvosolta. A tagállamoknak 2026. július 15-ig kell átültetniük és végrehajtaniuk az új rendelkezéseket. </w:t>
      </w:r>
    </w:p>
    <w:p w14:paraId="6D768C82" w14:textId="1B338BDE" w:rsidR="00CC14C1" w:rsidRDefault="00867343" w:rsidP="00CC14C1">
      <w:pPr>
        <w:spacing w:before="120"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 xml:space="preserve">A Bizottság </w:t>
      </w:r>
      <w:r>
        <w:rPr>
          <w:rFonts w:ascii="Times New Roman" w:hAnsi="Times New Roman"/>
          <w:b/>
          <w:noProof/>
          <w:sz w:val="24"/>
        </w:rPr>
        <w:t>emberkereskedelem elleni küzdelemmel foglalkozó központot</w:t>
      </w:r>
      <w:r>
        <w:rPr>
          <w:rFonts w:ascii="Times New Roman" w:hAnsi="Times New Roman"/>
          <w:noProof/>
          <w:sz w:val="24"/>
        </w:rPr>
        <w:t xml:space="preserve"> hoz létre, amely ernyőplatformként fog működni azzal a céllal, hogy támogassa a tagállamokat a módosított irányelv és a stratégia végrehajtásában, iránymutatásokat dolgozzon ki, megossza a bevált gyakorlatokat és megerősítse az együttműködést.</w:t>
      </w:r>
      <w:r>
        <w:rPr>
          <w:noProof/>
        </w:rPr>
        <w:tab/>
      </w:r>
      <w:r>
        <w:rPr>
          <w:noProof/>
        </w:rPr>
        <w:tab/>
      </w:r>
      <w:r>
        <w:rPr>
          <w:noProof/>
        </w:rPr>
        <w:tab/>
      </w:r>
      <w:r>
        <w:rPr>
          <w:noProof/>
        </w:rPr>
        <w:tab/>
      </w:r>
      <w:r>
        <w:rPr>
          <w:noProof/>
        </w:rPr>
        <w:tab/>
      </w:r>
      <w:r>
        <w:rPr>
          <w:noProof/>
        </w:rPr>
        <w:tab/>
      </w:r>
      <w:r>
        <w:rPr>
          <w:noProof/>
        </w:rPr>
        <w:tab/>
      </w:r>
    </w:p>
    <w:p w14:paraId="46FE9F8E" w14:textId="2A7A1152" w:rsidR="004F32C8" w:rsidRDefault="00EE3619" w:rsidP="000A3428">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módosított irányelv értelmében kötelező lesz </w:t>
      </w:r>
      <w:r>
        <w:rPr>
          <w:rFonts w:ascii="Times New Roman" w:hAnsi="Times New Roman"/>
          <w:b/>
          <w:noProof/>
          <w:sz w:val="24"/>
        </w:rPr>
        <w:t xml:space="preserve">statisztikákat gyűjteni és </w:t>
      </w:r>
      <w:r>
        <w:rPr>
          <w:rFonts w:ascii="Times New Roman" w:hAnsi="Times New Roman"/>
          <w:noProof/>
          <w:sz w:val="24"/>
        </w:rPr>
        <w:t xml:space="preserve">azokat </w:t>
      </w:r>
      <w:r>
        <w:rPr>
          <w:rFonts w:ascii="Times New Roman" w:hAnsi="Times New Roman"/>
          <w:b/>
          <w:noProof/>
          <w:sz w:val="24"/>
        </w:rPr>
        <w:t>megosztani</w:t>
      </w:r>
      <w:r>
        <w:rPr>
          <w:rFonts w:ascii="Times New Roman" w:hAnsi="Times New Roman"/>
          <w:noProof/>
          <w:sz w:val="24"/>
        </w:rPr>
        <w:t xml:space="preserve"> a Bizottsággal (EUROSTAT). Az adatok lehetővé teszik a helyzet megértését és a szükséges intézkedések azonosítását, és hozzájárulnak a </w:t>
      </w:r>
      <w:r>
        <w:rPr>
          <w:rFonts w:ascii="Times New Roman" w:hAnsi="Times New Roman"/>
          <w:b/>
          <w:noProof/>
          <w:sz w:val="24"/>
        </w:rPr>
        <w:t>nemzeti stratégiákban és cselekvési tervekben</w:t>
      </w:r>
      <w:r>
        <w:rPr>
          <w:rFonts w:ascii="Times New Roman" w:eastAsia="Times New Roman" w:hAnsi="Times New Roman" w:cs="Times New Roman"/>
          <w:noProof/>
          <w:sz w:val="24"/>
          <w:szCs w:val="24"/>
          <w:vertAlign w:val="superscript"/>
          <w:lang w:val="en-GB"/>
        </w:rPr>
        <w:footnoteReference w:id="53"/>
      </w:r>
      <w:r>
        <w:rPr>
          <w:rFonts w:ascii="Times New Roman" w:hAnsi="Times New Roman"/>
          <w:noProof/>
          <w:sz w:val="24"/>
        </w:rPr>
        <w:t xml:space="preserve"> tükröződő uniós és nemzeti prioritások, valamint az érintett érdekelt feleknek az áldozatok felderítése, azonosítása és védelme terén való támogatását célzó </w:t>
      </w:r>
      <w:r>
        <w:rPr>
          <w:rFonts w:ascii="Times New Roman" w:hAnsi="Times New Roman"/>
          <w:b/>
          <w:noProof/>
          <w:sz w:val="24"/>
        </w:rPr>
        <w:t>iránymutatások</w:t>
      </w:r>
      <w:r>
        <w:rPr>
          <w:rFonts w:ascii="Times New Roman" w:hAnsi="Times New Roman"/>
          <w:noProof/>
          <w:sz w:val="24"/>
        </w:rPr>
        <w:t xml:space="preserve">, </w:t>
      </w:r>
      <w:r>
        <w:rPr>
          <w:rFonts w:ascii="Times New Roman" w:hAnsi="Times New Roman"/>
          <w:b/>
          <w:noProof/>
          <w:sz w:val="24"/>
        </w:rPr>
        <w:t>protokollok</w:t>
      </w:r>
      <w:r>
        <w:rPr>
          <w:rFonts w:ascii="Times New Roman" w:hAnsi="Times New Roman"/>
          <w:noProof/>
          <w:sz w:val="24"/>
        </w:rPr>
        <w:t xml:space="preserve"> és </w:t>
      </w:r>
      <w:r>
        <w:rPr>
          <w:rFonts w:ascii="Times New Roman" w:hAnsi="Times New Roman"/>
          <w:b/>
          <w:noProof/>
          <w:sz w:val="24"/>
        </w:rPr>
        <w:t>eljárások</w:t>
      </w:r>
      <w:r>
        <w:rPr>
          <w:rFonts w:ascii="Times New Roman" w:eastAsia="SimSun" w:hAnsi="Times New Roman" w:cs="Times New Roman"/>
          <w:noProof/>
          <w:sz w:val="24"/>
          <w:szCs w:val="24"/>
          <w:vertAlign w:val="superscript"/>
          <w:lang w:val="en-GB"/>
        </w:rPr>
        <w:footnoteReference w:id="54"/>
      </w:r>
      <w:r>
        <w:rPr>
          <w:rFonts w:ascii="Times New Roman" w:hAnsi="Times New Roman"/>
          <w:noProof/>
          <w:sz w:val="24"/>
        </w:rPr>
        <w:t xml:space="preserve"> kidolgozásához. A módosított irányelv új kötelezettséget is ró a tagállamokra, miszerint ötévente </w:t>
      </w:r>
      <w:r>
        <w:rPr>
          <w:rFonts w:ascii="Times New Roman" w:hAnsi="Times New Roman"/>
          <w:b/>
          <w:noProof/>
          <w:sz w:val="24"/>
        </w:rPr>
        <w:t>emberkereskedelem elleni nemzeti cselekvési tervet</w:t>
      </w:r>
      <w:r>
        <w:rPr>
          <w:rFonts w:ascii="Times New Roman" w:hAnsi="Times New Roman"/>
          <w:noProof/>
          <w:sz w:val="24"/>
        </w:rPr>
        <w:t xml:space="preserve"> kell elfogadniuk és végrehajtaniuk. </w:t>
      </w:r>
    </w:p>
    <w:p w14:paraId="18DF64FB" w14:textId="6C9A6D8F" w:rsidR="005B4CF8" w:rsidRDefault="00CB7DAB" w:rsidP="004F5A17">
      <w:pPr>
        <w:spacing w:before="120"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Az adatokat az emberkereskedelem elleni küzdelemre szánt </w:t>
      </w:r>
      <w:r>
        <w:rPr>
          <w:rFonts w:ascii="Times New Roman" w:hAnsi="Times New Roman"/>
          <w:b/>
          <w:noProof/>
          <w:sz w:val="24"/>
        </w:rPr>
        <w:t>pénzügyi erőforrások</w:t>
      </w:r>
      <w:r>
        <w:rPr>
          <w:rFonts w:ascii="Times New Roman" w:hAnsi="Times New Roman"/>
          <w:noProof/>
          <w:sz w:val="24"/>
        </w:rPr>
        <w:t xml:space="preserve"> elosztásához is felhasználják. A jelentési időszakban a Menekültügyi, Migrációs és Integrációs Alapon (MMIA)</w:t>
      </w:r>
      <w:r>
        <w:rPr>
          <w:rFonts w:ascii="Times New Roman" w:eastAsia="Times New Roman" w:hAnsi="Times New Roman" w:cs="Times New Roman"/>
          <w:noProof/>
          <w:kern w:val="0"/>
          <w:sz w:val="24"/>
          <w:szCs w:val="24"/>
          <w:vertAlign w:val="superscript"/>
          <w:lang w:eastAsia="de-DE"/>
        </w:rPr>
        <w:footnoteReference w:id="55"/>
      </w:r>
      <w:r>
        <w:rPr>
          <w:rFonts w:ascii="Times New Roman" w:hAnsi="Times New Roman"/>
          <w:noProof/>
          <w:sz w:val="24"/>
        </w:rPr>
        <w:t xml:space="preserve"> és a Belső Biztonsági Alapon (BBA)</w:t>
      </w:r>
      <w:r>
        <w:rPr>
          <w:rFonts w:ascii="Times New Roman" w:eastAsia="Times New Roman" w:hAnsi="Times New Roman" w:cs="Times New Roman"/>
          <w:noProof/>
          <w:kern w:val="0"/>
          <w:sz w:val="24"/>
          <w:szCs w:val="24"/>
          <w:vertAlign w:val="superscript"/>
          <w:lang w:eastAsia="de-DE"/>
        </w:rPr>
        <w:footnoteReference w:id="56"/>
      </w:r>
      <w:r>
        <w:rPr>
          <w:rFonts w:ascii="Times New Roman" w:hAnsi="Times New Roman"/>
          <w:noProof/>
          <w:sz w:val="24"/>
        </w:rPr>
        <w:t xml:space="preserve"> keresztül tervezett finanszírozás a 2021–2024-es időszakot tekintve összesen mintegy 25 millió EUR-t tesz ki</w:t>
      </w:r>
      <w:r>
        <w:rPr>
          <w:rStyle w:val="FootnoteReference"/>
          <w:rFonts w:ascii="Times New Roman" w:eastAsia="Times New Roman" w:hAnsi="Times New Roman" w:cs="Times New Roman"/>
          <w:noProof/>
          <w:kern w:val="0"/>
          <w:sz w:val="24"/>
          <w:szCs w:val="24"/>
          <w:lang w:val="en-GB" w:eastAsia="de-DE"/>
        </w:rPr>
        <w:footnoteReference w:id="57"/>
      </w:r>
      <w:r>
        <w:rPr>
          <w:rFonts w:ascii="Times New Roman" w:hAnsi="Times New Roman"/>
          <w:noProof/>
          <w:sz w:val="24"/>
        </w:rPr>
        <w:t>. A 25 millió EUR-ból például a Belső Biztonsági Alap keretében mintegy 3,8 millió EUR-t ítéltek oda öt olyan transznacionális intézkedésre, amelynek célja, hogy az emberkereskedelem elleni bűnüldözési és igazságügyi válaszintézkedések megerősítése révén ellehetetlenítse az emberkereskedők üzletszerű tevékenységét, különös tekintettel a gyermekekre és a munkaerő-kizsákmányolásra</w:t>
      </w:r>
      <w:r>
        <w:rPr>
          <w:rStyle w:val="FootnoteReference"/>
          <w:rFonts w:ascii="Times New Roman" w:eastAsia="Times New Roman" w:hAnsi="Times New Roman" w:cs="Times New Roman"/>
          <w:noProof/>
          <w:kern w:val="0"/>
          <w:sz w:val="24"/>
          <w:szCs w:val="24"/>
          <w:lang w:val="en-GB" w:eastAsia="de-DE"/>
        </w:rPr>
        <w:footnoteReference w:id="58"/>
      </w:r>
      <w:r>
        <w:rPr>
          <w:rFonts w:ascii="Times New Roman" w:hAnsi="Times New Roman"/>
          <w:noProof/>
          <w:sz w:val="24"/>
        </w:rPr>
        <w:t>. Emellett a Menekültügyi, Migrációs és Integrációs Alap keretében például mintegy 4 millió EUR-t ítéltek oda hat olyan transznacionális projektnek, amely az emberkereskedelem áldozatául esett harmadik országbeli állampolgárok segítésével, támogatásával és integrációjával foglalkozik.</w:t>
      </w:r>
    </w:p>
    <w:p w14:paraId="4364A28F" w14:textId="118BF66F" w:rsidR="00F62E49" w:rsidRDefault="00427291" w:rsidP="00AE2102">
      <w:pPr>
        <w:spacing w:before="160" w:line="240" w:lineRule="auto"/>
        <w:jc w:val="both"/>
        <w:rPr>
          <w:rFonts w:ascii="Times New Roman" w:eastAsia="Times New Roman" w:hAnsi="Times New Roman" w:cs="Times New Roman"/>
          <w:noProof/>
          <w:sz w:val="24"/>
          <w:szCs w:val="24"/>
        </w:rPr>
      </w:pPr>
      <w:r>
        <w:rPr>
          <w:rFonts w:ascii="Times New Roman" w:hAnsi="Times New Roman"/>
          <w:b/>
          <w:noProof/>
          <w:sz w:val="24"/>
        </w:rPr>
        <w:t>Operatív</w:t>
      </w:r>
      <w:r>
        <w:rPr>
          <w:rFonts w:ascii="Times New Roman" w:hAnsi="Times New Roman"/>
          <w:noProof/>
          <w:sz w:val="24"/>
        </w:rPr>
        <w:t xml:space="preserve"> szempontból az emberkereskedelem elleni küzdelem teljes mértékben beépül a Bűnügyi Fenyegetettség Elleni Európai Multidiszciplináris Platform (EMPACT) tevékenységébe, amely a Tanács által az EMPACT-ciklus keretében meghatározott tíz bűnüldözési prioritással kapcsolatos multidiszciplináris fellépéseket támogatja</w:t>
      </w:r>
      <w:r>
        <w:rPr>
          <w:rStyle w:val="FootnoteReference"/>
          <w:rFonts w:ascii="Times New Roman" w:eastAsia="Times New Roman" w:hAnsi="Times New Roman" w:cs="Times New Roman"/>
          <w:noProof/>
          <w:kern w:val="0"/>
          <w:sz w:val="24"/>
          <w:szCs w:val="24"/>
          <w:lang w:val="en-GB" w:eastAsia="de-DE"/>
        </w:rPr>
        <w:footnoteReference w:id="59"/>
      </w:r>
      <w:r>
        <w:rPr>
          <w:rFonts w:ascii="Times New Roman" w:hAnsi="Times New Roman"/>
          <w:noProof/>
          <w:sz w:val="24"/>
        </w:rPr>
        <w:t xml:space="preserve">. Célja, hogy a kizsákmányolás valamennyi formája tekintetében felszámolja az emberkereskedelemmel foglalkozó bűnözői hálózatokat. A 2022–2025-ös időszakban az uniós ügynökségek támogatásával összesen 70 operatív intézkedést hajtanak végre olyan stratégiai célok megvalósítása érdekében, mint a munkaerő- és szexuális kizsákmányolással, a bűnözésre kényszerítéssel, a gyermekkereskedelemmel kapcsolatos közös nyomozások, az emberkereskedelemmel kapcsolatos pénzügyi nyomozások, valamint az emberkereskedelemre vonatkozó operatív és stratégiai információk gyűjtése és megosztása. </w:t>
      </w:r>
    </w:p>
    <w:p w14:paraId="2A0E7FC5" w14:textId="7227E875" w:rsidR="0066391E" w:rsidRDefault="008048D4" w:rsidP="00AE2102">
      <w:pPr>
        <w:spacing w:before="16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Az Eurojust 66 közös nyomozócsoportot támogatott emberkereskedelemmel kapcsolatos ügyekben</w:t>
      </w:r>
      <w:r>
        <w:rPr>
          <w:rStyle w:val="FootnoteReference"/>
          <w:rFonts w:ascii="Times New Roman" w:eastAsia="Times New Roman" w:hAnsi="Times New Roman" w:cs="Times New Roman"/>
          <w:noProof/>
          <w:sz w:val="24"/>
          <w:szCs w:val="24"/>
          <w:lang w:val="en-GB"/>
        </w:rPr>
        <w:footnoteReference w:id="60"/>
      </w:r>
      <w:r>
        <w:rPr>
          <w:rFonts w:ascii="Times New Roman" w:hAnsi="Times New Roman"/>
          <w:noProof/>
          <w:sz w:val="24"/>
        </w:rPr>
        <w:t>. Több tagállam</w:t>
      </w:r>
      <w:r>
        <w:rPr>
          <w:rFonts w:ascii="Times New Roman" w:eastAsia="Times New Roman" w:hAnsi="Times New Roman" w:cs="Times New Roman"/>
          <w:noProof/>
          <w:sz w:val="24"/>
          <w:szCs w:val="24"/>
          <w:vertAlign w:val="superscript"/>
          <w:lang w:val="en-GB"/>
        </w:rPr>
        <w:footnoteReference w:id="61"/>
      </w:r>
      <w:r>
        <w:rPr>
          <w:rFonts w:ascii="Times New Roman" w:hAnsi="Times New Roman"/>
          <w:noProof/>
          <w:sz w:val="24"/>
        </w:rPr>
        <w:t xml:space="preserve"> is arról számolt be, hogy részt vett az Eurojust által koordinált közös nyomozócsoportokban – uniós tagállamokkal és nem uniós országokkal együtt egyaránt. </w:t>
      </w:r>
    </w:p>
    <w:p w14:paraId="338A1389" w14:textId="2E0B900E" w:rsidR="00F55952" w:rsidRDefault="7F71CA66" w:rsidP="00AE2102">
      <w:pPr>
        <w:spacing w:before="16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Végezetül az emberkereskedelem </w:t>
      </w:r>
      <w:r>
        <w:rPr>
          <w:rFonts w:ascii="Times New Roman" w:hAnsi="Times New Roman"/>
          <w:b/>
          <w:noProof/>
          <w:sz w:val="24"/>
        </w:rPr>
        <w:t>többszereplős, összehangolt megközelítést</w:t>
      </w:r>
      <w:r>
        <w:rPr>
          <w:rFonts w:ascii="Times New Roman" w:hAnsi="Times New Roman"/>
          <w:noProof/>
          <w:sz w:val="24"/>
        </w:rPr>
        <w:t xml:space="preserve"> igényel. A módosított irányelv</w:t>
      </w:r>
      <w:r>
        <w:rPr>
          <w:rStyle w:val="FootnoteReference"/>
          <w:rFonts w:ascii="Times New Roman" w:eastAsia="Times New Roman" w:hAnsi="Times New Roman" w:cs="Times New Roman"/>
          <w:noProof/>
          <w:kern w:val="0"/>
          <w:sz w:val="24"/>
          <w:szCs w:val="24"/>
          <w:lang w:val="en-GB" w:eastAsia="de-DE"/>
        </w:rPr>
        <w:footnoteReference w:id="62"/>
      </w:r>
      <w:r>
        <w:rPr>
          <w:rFonts w:ascii="Times New Roman" w:hAnsi="Times New Roman"/>
          <w:noProof/>
          <w:sz w:val="24"/>
        </w:rPr>
        <w:t xml:space="preserve"> megerősítette az emberkereskedelem elleni küzdelem európai uniós koordinátora</w:t>
      </w:r>
      <w:r>
        <w:rPr>
          <w:rStyle w:val="FootnoteReference"/>
          <w:rFonts w:ascii="Times New Roman" w:eastAsia="Times New Roman" w:hAnsi="Times New Roman" w:cs="Times New Roman"/>
          <w:noProof/>
          <w:kern w:val="0"/>
          <w:sz w:val="24"/>
          <w:szCs w:val="24"/>
          <w:lang w:val="en-GB" w:eastAsia="de-DE"/>
        </w:rPr>
        <w:footnoteReference w:id="63"/>
      </w:r>
      <w:r>
        <w:rPr>
          <w:rFonts w:ascii="Times New Roman" w:hAnsi="Times New Roman"/>
          <w:noProof/>
          <w:sz w:val="24"/>
        </w:rPr>
        <w:t xml:space="preserve"> általi uniós szintű koordinációt, lévén kifejezetten előírja az emberkereskedelem elleni küzdelem nemzeti koordinátoraival, a független szervekkel, az uniós ügynökségekkel és az e területen tevékenykedő érintett civil társadalmi szervezetekkel való koordinációt. </w:t>
      </w:r>
    </w:p>
    <w:p w14:paraId="1C13FB28" w14:textId="4287405D" w:rsidR="002F2117" w:rsidRPr="00662705" w:rsidRDefault="00663232" w:rsidP="008964CA">
      <w:pPr>
        <w:spacing w:before="240" w:after="240" w:line="240" w:lineRule="auto"/>
        <w:jc w:val="both"/>
        <w:rPr>
          <w:rFonts w:ascii="Times New Roman" w:eastAsia="Times New Roman" w:hAnsi="Times New Roman" w:cs="Times New Roman"/>
          <w:iCs/>
          <w:noProof/>
          <w:kern w:val="0"/>
          <w:sz w:val="24"/>
          <w:szCs w:val="20"/>
          <w14:ligatures w14:val="none"/>
        </w:rPr>
      </w:pPr>
      <w:r>
        <w:rPr>
          <w:rFonts w:ascii="Times New Roman" w:hAnsi="Times New Roman"/>
          <w:noProof/>
          <w:sz w:val="24"/>
        </w:rPr>
        <w:t xml:space="preserve">A koordinációval nemzeti szinten is foglalkoznak. A módosított irányelv kötelezővé teszi az </w:t>
      </w:r>
      <w:r>
        <w:rPr>
          <w:rFonts w:ascii="Times New Roman" w:hAnsi="Times New Roman"/>
          <w:b/>
          <w:noProof/>
          <w:sz w:val="24"/>
        </w:rPr>
        <w:t>emberkereskedelem elleni küzdelem nemzeti koordinátorainak</w:t>
      </w:r>
      <w:r>
        <w:rPr>
          <w:rFonts w:ascii="Times New Roman" w:hAnsi="Times New Roman"/>
          <w:noProof/>
          <w:sz w:val="24"/>
        </w:rPr>
        <w:t xml:space="preserve"> funkcióját, megfelelő forrásokat ír elő, és meghatározza a feladatokat</w:t>
      </w:r>
      <w:r>
        <w:rPr>
          <w:rStyle w:val="FootnoteReference"/>
          <w:rFonts w:ascii="Times New Roman" w:eastAsia="Calibri" w:hAnsi="Times New Roman" w:cs="Times New Roman"/>
          <w:noProof/>
          <w:sz w:val="24"/>
          <w:szCs w:val="24"/>
          <w:lang w:val="en-IE" w:eastAsia="en-GB"/>
        </w:rPr>
        <w:footnoteReference w:id="64"/>
      </w:r>
      <w:r>
        <w:rPr>
          <w:rFonts w:ascii="Times New Roman" w:hAnsi="Times New Roman"/>
          <w:noProof/>
          <w:sz w:val="24"/>
        </w:rPr>
        <w:t xml:space="preserve">. Továbbá arra ösztönzi a tagállamokat, hogy hozzanak létre </w:t>
      </w:r>
      <w:r>
        <w:rPr>
          <w:rFonts w:ascii="Times New Roman" w:hAnsi="Times New Roman"/>
          <w:b/>
          <w:noProof/>
          <w:sz w:val="24"/>
        </w:rPr>
        <w:t>független nemzeti szerveket</w:t>
      </w:r>
      <w:r>
        <w:rPr>
          <w:rFonts w:ascii="Times New Roman" w:hAnsi="Times New Roman"/>
          <w:noProof/>
          <w:sz w:val="24"/>
        </w:rPr>
        <w:t xml:space="preserve"> az emberkereskedelem elleni intézkedések végrehajtásának és hatásának nyomon követésére. Németország például a Német Emberi Jogi Intézetet jelölte ki arra, hogy betöltse az emberkereskedelemmel foglalkozó független nemzeti előadó szerepét, így az Unióban 16-ra nőtt a nemzeti előadók száma</w:t>
      </w:r>
      <w:r>
        <w:rPr>
          <w:rStyle w:val="FootnoteReference"/>
          <w:rFonts w:ascii="Times New Roman" w:eastAsia="Calibri" w:hAnsi="Times New Roman" w:cs="Times New Roman"/>
          <w:noProof/>
          <w:sz w:val="24"/>
          <w:szCs w:val="24"/>
          <w:lang w:val="en-IE" w:eastAsia="en-GB"/>
        </w:rPr>
        <w:footnoteReference w:id="65"/>
      </w:r>
      <w:r>
        <w:rPr>
          <w:rFonts w:ascii="Times New Roman" w:hAnsi="Times New Roman"/>
          <w:noProof/>
          <w:sz w:val="24"/>
        </w:rPr>
        <w:t>.</w:t>
      </w:r>
    </w:p>
    <w:p w14:paraId="560C40C0" w14:textId="77777777" w:rsidR="00662705" w:rsidRPr="00662705" w:rsidRDefault="00662705" w:rsidP="00662705">
      <w:pPr>
        <w:spacing w:before="160" w:line="240" w:lineRule="auto"/>
        <w:ind w:left="360"/>
        <w:jc w:val="both"/>
        <w:rPr>
          <w:rFonts w:ascii="Times New Roman" w:eastAsia="Times New Roman" w:hAnsi="Times New Roman" w:cs="Times New Roman"/>
          <w:b/>
          <w:noProof/>
          <w:sz w:val="24"/>
          <w:szCs w:val="20"/>
        </w:rPr>
      </w:pPr>
      <w:r>
        <w:rPr>
          <w:rFonts w:ascii="Times New Roman" w:hAnsi="Times New Roman"/>
          <w:b/>
          <w:noProof/>
          <w:sz w:val="24"/>
        </w:rPr>
        <w:t xml:space="preserve">3.2. Az emberkereskedelem megelőzése </w:t>
      </w:r>
    </w:p>
    <w:p w14:paraId="2F1CE390" w14:textId="0A2223F3" w:rsidR="00662705" w:rsidRPr="00662705" w:rsidRDefault="00662705" w:rsidP="00B957A6">
      <w:pPr>
        <w:spacing w:before="160" w:line="240" w:lineRule="auto"/>
        <w:ind w:left="360" w:firstLine="348"/>
        <w:jc w:val="both"/>
        <w:rPr>
          <w:rFonts w:ascii="Times New Roman" w:eastAsia="Times New Roman" w:hAnsi="Times New Roman" w:cs="Times New Roman"/>
          <w:b/>
          <w:noProof/>
          <w:sz w:val="24"/>
          <w:szCs w:val="20"/>
        </w:rPr>
      </w:pPr>
      <w:r>
        <w:rPr>
          <w:rFonts w:ascii="Times New Roman" w:hAnsi="Times New Roman"/>
          <w:b/>
          <w:noProof/>
          <w:sz w:val="24"/>
        </w:rPr>
        <w:t>3.2.1. A bűnözést előmozdító kereslet csökkentése</w:t>
      </w:r>
    </w:p>
    <w:p w14:paraId="247AF338" w14:textId="48054EBC" w:rsidR="00901989" w:rsidRDefault="54D7B8C3" w:rsidP="341E90BB">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kereslet elősegíti a kiszolgáltatott helyzetben lévő emberek kizsákmányolásának minden formáját, amelyet az emberkereskedők ki is használnak. Több tagállamban </w:t>
      </w:r>
      <w:r>
        <w:rPr>
          <w:rFonts w:ascii="Times New Roman" w:hAnsi="Times New Roman"/>
          <w:b/>
          <w:noProof/>
          <w:sz w:val="24"/>
        </w:rPr>
        <w:t>jogszabályi módosításokat</w:t>
      </w:r>
      <w:r>
        <w:rPr>
          <w:rFonts w:ascii="Times New Roman" w:hAnsi="Times New Roman"/>
          <w:noProof/>
          <w:sz w:val="24"/>
        </w:rPr>
        <w:t xml:space="preserve"> vezettek be, amelyek bűncselekménnyé nyilvánították a szexuális szolgáltatások vagy az emberkereskedelem áldozatai által nyújtott szolgáltatások igénybevételét</w:t>
      </w:r>
      <w:r>
        <w:rPr>
          <w:rFonts w:ascii="Times New Roman" w:eastAsia="Times New Roman" w:hAnsi="Times New Roman" w:cs="Times New Roman"/>
          <w:noProof/>
          <w:sz w:val="24"/>
          <w:szCs w:val="24"/>
          <w:vertAlign w:val="superscript"/>
        </w:rPr>
        <w:footnoteReference w:id="66"/>
      </w:r>
      <w:r>
        <w:rPr>
          <w:rFonts w:ascii="Times New Roman" w:hAnsi="Times New Roman"/>
          <w:noProof/>
          <w:sz w:val="24"/>
        </w:rPr>
        <w:t xml:space="preserve">, eközben más tagállamok az ilyen bűncselekménnyé nyilvánítás bevezetéséről tárgyaltak. </w:t>
      </w:r>
    </w:p>
    <w:p w14:paraId="4CA407BF" w14:textId="395B33DA" w:rsidR="00901989" w:rsidRDefault="00CB58DE" w:rsidP="341E90BB">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2022-ben négy tagállam összesen 51 gyanúsítottról és 8 büntetőeljárásról számolt be áldozatok által nyújtott szolgáltatások igénybevételével kapcsolatban. A jelentési időszakban Ciprus arról számolt be, hogy egy felhasználót 3 év börtönbüntetésre ítéltek az emberkereskedelem áldozata által nyújtott szexuális szolgáltatások igénybevételének bűncselekménye miatt, eközben Magyarország arról számolt be, hogy egy felhasználót gyermekprostitúcióval kapcsolatos kizsákmányolás miatt ítéltek el.</w:t>
      </w:r>
    </w:p>
    <w:p w14:paraId="4EC2A960" w14:textId="185A0A2D" w:rsidR="00662705" w:rsidRPr="00AE2102" w:rsidRDefault="1172F696" w:rsidP="008964CA">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emberkereskedelmet ösztönző kereslet kezelésére irányuló összehangolt szakpolitikai válasz kidolgozása, valamint a tagállamok büntető igazságszolgáltatási erőfeszítéseinek további megerősítése és összehangolása érdekében a módosított irányelv kötelezővé tette a tagállamok számára, hogy </w:t>
      </w:r>
      <w:r>
        <w:rPr>
          <w:rFonts w:ascii="Times New Roman" w:hAnsi="Times New Roman"/>
          <w:b/>
          <w:noProof/>
          <w:sz w:val="24"/>
        </w:rPr>
        <w:t>bűncselekménnyé nyilvánítsák az áldozatok kizsákmányolásával nyújtott szolgáltatások tudatos igénybevételét</w:t>
      </w:r>
      <w:r>
        <w:rPr>
          <w:rStyle w:val="FootnoteReference"/>
          <w:rFonts w:ascii="Times New Roman" w:eastAsia="Times New Roman" w:hAnsi="Times New Roman" w:cs="Times New Roman"/>
          <w:noProof/>
          <w:sz w:val="24"/>
          <w:szCs w:val="24"/>
          <w:lang w:val="en-GB"/>
        </w:rPr>
        <w:footnoteReference w:id="67"/>
      </w:r>
      <w:r>
        <w:rPr>
          <w:rFonts w:ascii="Times New Roman" w:hAnsi="Times New Roman"/>
          <w:noProof/>
          <w:sz w:val="24"/>
        </w:rPr>
        <w:t>. A módosított irányelv a preambulumbekezdésekben iránymutatásként olyan mutatókkal szolgál, amelyek objektív és ténybeli körülményeken alapuló „tudásra” engednek következtetni</w:t>
      </w:r>
      <w:r>
        <w:rPr>
          <w:rStyle w:val="FootnoteReference"/>
          <w:rFonts w:ascii="Times New Roman" w:eastAsia="Times New Roman" w:hAnsi="Times New Roman" w:cs="Times New Roman"/>
          <w:noProof/>
          <w:sz w:val="24"/>
          <w:szCs w:val="24"/>
          <w:lang w:val="en-GB"/>
        </w:rPr>
        <w:footnoteReference w:id="68"/>
      </w:r>
      <w:r>
        <w:rPr>
          <w:rFonts w:ascii="Times New Roman" w:hAnsi="Times New Roman"/>
          <w:noProof/>
          <w:sz w:val="24"/>
        </w:rPr>
        <w:t xml:space="preserve">. Az irányelv a kizsákmányolás minden formáját felöleli, ahol a szolgáltatást emberkereskedelem áldozata nyújtja. Nem vonatkozik azonban azokra az ügyfelekre, akik emberkereskedelem áldozatai által előállított termékeket vásárolnak. </w:t>
      </w:r>
    </w:p>
    <w:p w14:paraId="727F52C2" w14:textId="5D1EFBBF" w:rsidR="00662705" w:rsidRPr="00662705" w:rsidRDefault="00662705" w:rsidP="00B957A6">
      <w:pPr>
        <w:spacing w:before="160" w:line="240" w:lineRule="auto"/>
        <w:ind w:firstLine="708"/>
        <w:jc w:val="both"/>
        <w:rPr>
          <w:rFonts w:ascii="Times New Roman" w:eastAsia="Times New Roman" w:hAnsi="Times New Roman" w:cs="Times New Roman"/>
          <w:b/>
          <w:bCs/>
          <w:noProof/>
          <w:sz w:val="24"/>
          <w:szCs w:val="24"/>
        </w:rPr>
      </w:pPr>
      <w:r>
        <w:rPr>
          <w:rFonts w:ascii="Times New Roman" w:hAnsi="Times New Roman"/>
          <w:b/>
          <w:noProof/>
          <w:sz w:val="24"/>
        </w:rPr>
        <w:t>3.2.2.</w:t>
      </w:r>
      <w:r>
        <w:rPr>
          <w:noProof/>
        </w:rPr>
        <w:tab/>
      </w:r>
      <w:r>
        <w:rPr>
          <w:rFonts w:ascii="Times New Roman" w:hAnsi="Times New Roman"/>
          <w:b/>
          <w:noProof/>
          <w:sz w:val="24"/>
        </w:rPr>
        <w:t>Jogi személyeket célzó megelőző intézkedések</w:t>
      </w:r>
    </w:p>
    <w:p w14:paraId="08513868" w14:textId="21C6A8E0" w:rsidR="00E6643A" w:rsidRPr="00662705" w:rsidRDefault="00662705" w:rsidP="00662705">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Uniós szinten számos jogalkotási intézkedést fogadtak el azzal a céllal, hogy foglalkozzanak a vállalatok – köztük az online platformok – azzal kapcsolatos felelősségével, hogy a tevékenységeik során és ellátási láncaikon belül csökkentsék a keresletet, valamint felderítsék az emberkereskedelem lehetséges eseteit. </w:t>
      </w:r>
    </w:p>
    <w:p w14:paraId="4B0757AF" w14:textId="7F4C2BD4" w:rsidR="00662705" w:rsidRPr="009B6440" w:rsidRDefault="00662705" w:rsidP="341E90BB">
      <w:pPr>
        <w:tabs>
          <w:tab w:val="left" w:pos="2160"/>
        </w:tabs>
        <w:spacing w:before="120"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color w:val="000000" w:themeColor="text1"/>
          <w:sz w:val="24"/>
        </w:rPr>
        <w:t xml:space="preserve">A 2022. október 19-én elfogadott, </w:t>
      </w:r>
      <w:r>
        <w:rPr>
          <w:rFonts w:ascii="Times New Roman" w:hAnsi="Times New Roman"/>
          <w:b/>
          <w:noProof/>
          <w:color w:val="000000" w:themeColor="text1"/>
          <w:sz w:val="24"/>
        </w:rPr>
        <w:t>digitális szolgáltatásokról szóló rendelet</w:t>
      </w:r>
      <w:r>
        <w:rPr>
          <w:rFonts w:ascii="Times New Roman" w:eastAsiaTheme="minorEastAsia" w:hAnsi="Times New Roman" w:cs="Times New Roman"/>
          <w:noProof/>
          <w:kern w:val="0"/>
          <w:sz w:val="24"/>
          <w:szCs w:val="24"/>
          <w:vertAlign w:val="superscript"/>
          <w:lang w:val="en-GB"/>
        </w:rPr>
        <w:footnoteReference w:id="69"/>
      </w:r>
      <w:r>
        <w:rPr>
          <w:rFonts w:ascii="Times New Roman" w:hAnsi="Times New Roman"/>
          <w:noProof/>
          <w:color w:val="000000" w:themeColor="text1"/>
          <w:sz w:val="24"/>
        </w:rPr>
        <w:t xml:space="preserve"> hozzá fog járulni az emberkereskedelemmel kapcsolatos online tartalmak felderítéséhez, nyomon követéséhez és eltávolításához</w:t>
      </w:r>
      <w:r>
        <w:rPr>
          <w:rStyle w:val="FootnoteReference"/>
          <w:rFonts w:ascii="Times New Roman" w:eastAsiaTheme="minorEastAsia" w:hAnsi="Times New Roman" w:cs="Times New Roman"/>
          <w:noProof/>
          <w:color w:val="000000" w:themeColor="text1"/>
          <w:kern w:val="0"/>
          <w:sz w:val="24"/>
          <w:szCs w:val="24"/>
          <w:lang w:val="en-GB"/>
        </w:rPr>
        <w:footnoteReference w:id="70"/>
      </w:r>
      <w:r>
        <w:rPr>
          <w:rFonts w:ascii="Times New Roman" w:hAnsi="Times New Roman"/>
          <w:noProof/>
          <w:color w:val="000000" w:themeColor="text1"/>
          <w:sz w:val="24"/>
        </w:rPr>
        <w:t>. A Bizottság megjelölte az „online óriásplatformokat” és a „nagyon népszerű online keresőprogramokat”, köztük négy, felnőtteknek szóló weboldalt</w:t>
      </w:r>
      <w:r>
        <w:rPr>
          <w:rFonts w:ascii="Times New Roman" w:eastAsiaTheme="minorEastAsia" w:hAnsi="Times New Roman" w:cs="Times New Roman"/>
          <w:noProof/>
          <w:kern w:val="0"/>
          <w:sz w:val="24"/>
          <w:szCs w:val="24"/>
          <w:vertAlign w:val="superscript"/>
          <w:lang w:val="en-GB"/>
        </w:rPr>
        <w:footnoteReference w:id="71"/>
      </w:r>
      <w:r>
        <w:rPr>
          <w:rFonts w:ascii="Times New Roman" w:hAnsi="Times New Roman"/>
          <w:noProof/>
          <w:color w:val="000000" w:themeColor="text1"/>
          <w:sz w:val="24"/>
        </w:rPr>
        <w:t xml:space="preserve">, amelyekre szigorú kötelezettségek vonatkoznak a rendszerszintű kockázatok azonosítása, értékelése és mérséklése, valamint az átláthatósági intézkedések, a hozzáférhető bejelentési eszközök és a panasztételi mechanizmusok tekintetében. Emellett minden online platformnak és keresőprogramnak megfelelő intézkedéseket kell hoznia a kiskorúak magas szintű magánéleti védelmének, biztonságának és védelmének biztosítása érdekében, valamint értesítenie kell a bűnüldöző szerveket a jogellenes tartalmakról, ha gyanítható bűncselekményekről szerez tudomást. </w:t>
      </w:r>
      <w:r>
        <w:rPr>
          <w:rFonts w:ascii="Times New Roman" w:hAnsi="Times New Roman"/>
          <w:noProof/>
          <w:sz w:val="24"/>
        </w:rPr>
        <w:t xml:space="preserve">Ezenkívül az </w:t>
      </w:r>
      <w:r>
        <w:rPr>
          <w:rFonts w:ascii="Times New Roman" w:hAnsi="Times New Roman"/>
          <w:b/>
          <w:noProof/>
          <w:sz w:val="24"/>
        </w:rPr>
        <w:t>emberkereskedelem elleni módosított irányelvnek</w:t>
      </w:r>
      <w:r>
        <w:rPr>
          <w:rFonts w:ascii="Times New Roman" w:hAnsi="Times New Roman"/>
          <w:noProof/>
          <w:sz w:val="24"/>
        </w:rPr>
        <w:t xml:space="preserve"> köszönhetően az információs és kommunikációs technológiák segítségével elkövetett vagy elősegített szexuális kizsákmányolás </w:t>
      </w:r>
      <w:r>
        <w:rPr>
          <w:rFonts w:ascii="Times New Roman" w:hAnsi="Times New Roman"/>
          <w:b/>
          <w:noProof/>
          <w:sz w:val="24"/>
        </w:rPr>
        <w:t>súlyosító körülménnyé</w:t>
      </w:r>
      <w:r>
        <w:rPr>
          <w:rFonts w:ascii="Times New Roman" w:hAnsi="Times New Roman"/>
          <w:noProof/>
          <w:sz w:val="24"/>
        </w:rPr>
        <w:t xml:space="preserve"> vált, amely szigorúbb büntetésekhez vezethet, figyelembe véve az ilyen technológiák segítségével elkövetett bűncselekmények terjedését és az áldozatokra gyakorolt lehetséges tartós hatást.</w:t>
      </w:r>
    </w:p>
    <w:p w14:paraId="73BBA50B" w14:textId="5F733F85" w:rsidR="00662705" w:rsidRPr="00662705" w:rsidRDefault="00662705" w:rsidP="00662705">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 </w:t>
      </w:r>
      <w:r>
        <w:rPr>
          <w:rFonts w:ascii="Times New Roman" w:hAnsi="Times New Roman"/>
          <w:b/>
          <w:noProof/>
          <w:color w:val="000000" w:themeColor="text1"/>
          <w:sz w:val="24"/>
        </w:rPr>
        <w:t>fenntarthatósággal kapcsolatos vállalati átvilágításról szóló</w:t>
      </w:r>
      <w:r>
        <w:rPr>
          <w:rFonts w:ascii="Times New Roman" w:hAnsi="Times New Roman"/>
          <w:noProof/>
          <w:color w:val="000000" w:themeColor="text1"/>
          <w:sz w:val="24"/>
        </w:rPr>
        <w:t xml:space="preserve">, 2024. június 13-i </w:t>
      </w:r>
      <w:r>
        <w:rPr>
          <w:rFonts w:ascii="Times New Roman" w:hAnsi="Times New Roman"/>
          <w:b/>
          <w:noProof/>
          <w:color w:val="000000" w:themeColor="text1"/>
          <w:sz w:val="24"/>
        </w:rPr>
        <w:t>irányelv</w:t>
      </w:r>
      <w:r>
        <w:rPr>
          <w:rFonts w:ascii="Times New Roman" w:hAnsi="Times New Roman" w:cs="Times New Roman"/>
          <w:noProof/>
          <w:sz w:val="24"/>
          <w:szCs w:val="24"/>
          <w:vertAlign w:val="superscript"/>
        </w:rPr>
        <w:footnoteReference w:id="72"/>
      </w:r>
      <w:r>
        <w:rPr>
          <w:rFonts w:ascii="Times New Roman" w:hAnsi="Times New Roman"/>
          <w:noProof/>
          <w:color w:val="000000" w:themeColor="text1"/>
          <w:sz w:val="24"/>
        </w:rPr>
        <w:t xml:space="preserve"> kiegészíti a 2011/36/EU irányelvet. Az irányelv horizontális keretet határoz meg annak érdekében, hogy előmozdítsa az egységes piacon működő vállalkozásoknak és alvállalkozóiknak az emberi jogok és a környezet tiszteletben tartásához való hozzájárulását saját tevékenységeik során és ellátási láncaik mentén. Az irányelv hatálya alá tartozó vállalkozások feladatai közé tartozik, hogy azonosítsák, megelőzzék és mérsékeljék az emberi jogokra és a környezetre gyakorolt káros hatásaikat, valamint számot adjanak azokról, ideértve az emberkereskedelmet is.</w:t>
      </w:r>
    </w:p>
    <w:p w14:paraId="00B79A59" w14:textId="1174CC85" w:rsidR="00662705" w:rsidRDefault="00F026AA" w:rsidP="00662705">
      <w:pPr>
        <w:spacing w:before="120" w:after="0" w:line="240" w:lineRule="auto"/>
        <w:jc w:val="both"/>
        <w:rPr>
          <w:rFonts w:ascii="Verdana" w:hAnsi="Verdana"/>
          <w:noProof/>
          <w:color w:val="3E4951"/>
          <w:sz w:val="30"/>
          <w:szCs w:val="30"/>
        </w:rPr>
      </w:pPr>
      <w:r>
        <w:rPr>
          <w:rFonts w:ascii="Times New Roman" w:hAnsi="Times New Roman"/>
          <w:noProof/>
          <w:color w:val="000000" w:themeColor="text1"/>
          <w:sz w:val="24"/>
        </w:rPr>
        <w:t xml:space="preserve">2024. november 27-én elfogadták a </w:t>
      </w:r>
      <w:r>
        <w:rPr>
          <w:rFonts w:ascii="Times New Roman" w:hAnsi="Times New Roman"/>
          <w:b/>
          <w:noProof/>
          <w:color w:val="000000" w:themeColor="text1"/>
          <w:sz w:val="24"/>
        </w:rPr>
        <w:t>kényszermunkával előállított termékek uniós piacon belüli tilalmáról szóló rendeletet</w:t>
      </w:r>
      <w:r>
        <w:rPr>
          <w:rFonts w:ascii="Times New Roman" w:hAnsi="Times New Roman" w:cs="Times New Roman"/>
          <w:noProof/>
          <w:sz w:val="24"/>
          <w:szCs w:val="24"/>
          <w:vertAlign w:val="superscript"/>
        </w:rPr>
        <w:footnoteReference w:id="73"/>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A rendelet hatálya a kényszermunkával előállított hazai és importált termékekre terjed ki. A nemzetközi normákra alapozva, valamint a meglévő horizontális és ágazati uniós kezdeményezéseket, különösen az átvilágítási és átláthatósági kötelezettségeket kiegészítve a rendelet várhatóan szilárd, kockázatalapú végrehajtási kerettel ötvözi majd a tilalmat.</w:t>
      </w:r>
      <w:r>
        <w:rPr>
          <w:rFonts w:ascii="Verdana" w:hAnsi="Verdana"/>
          <w:noProof/>
          <w:color w:val="3E4951"/>
          <w:sz w:val="30"/>
        </w:rPr>
        <w:t xml:space="preserve"> </w:t>
      </w:r>
    </w:p>
    <w:p w14:paraId="730F5328" w14:textId="0C8E5097" w:rsidR="001F420B" w:rsidRDefault="00564EC6" w:rsidP="001F420B">
      <w:pPr>
        <w:spacing w:before="160" w:line="240" w:lineRule="auto"/>
        <w:jc w:val="both"/>
        <w:rPr>
          <w:rFonts w:ascii="Times New Roman" w:eastAsia="Calibri" w:hAnsi="Times New Roman" w:cs="Times New Roman"/>
          <w:noProof/>
          <w:sz w:val="24"/>
          <w:szCs w:val="24"/>
        </w:rPr>
      </w:pPr>
      <w:bookmarkStart w:id="2" w:name="_Hlk176284788"/>
      <w:r>
        <w:rPr>
          <w:rFonts w:ascii="Times New Roman" w:hAnsi="Times New Roman"/>
          <w:noProof/>
          <w:sz w:val="24"/>
        </w:rPr>
        <w:t>2023 októberében a Bizottság benyújtotta a</w:t>
      </w:r>
      <w:r>
        <w:rPr>
          <w:rFonts w:ascii="Times New Roman" w:hAnsi="Times New Roman"/>
          <w:noProof/>
          <w:color w:val="000000" w:themeColor="text1"/>
          <w:sz w:val="24"/>
        </w:rPr>
        <w:t xml:space="preserve"> </w:t>
      </w:r>
      <w:r>
        <w:rPr>
          <w:rFonts w:ascii="Times New Roman" w:hAnsi="Times New Roman"/>
          <w:b/>
          <w:noProof/>
          <w:color w:val="000000" w:themeColor="text1"/>
          <w:sz w:val="24"/>
        </w:rPr>
        <w:t>kábítószer-kereskedelem és a szervezett bűnözés elleni küzdelemre vonatkozó uniós ütemtervet</w:t>
      </w:r>
      <w:r>
        <w:rPr>
          <w:rFonts w:ascii="Times New Roman" w:hAnsi="Times New Roman" w:cs="Times New Roman"/>
          <w:noProof/>
          <w:sz w:val="24"/>
          <w:szCs w:val="24"/>
          <w:vertAlign w:val="superscript"/>
        </w:rPr>
        <w:footnoteReference w:id="74"/>
      </w:r>
      <w:r>
        <w:rPr>
          <w:rFonts w:ascii="Times New Roman" w:hAnsi="Times New Roman"/>
          <w:noProof/>
          <w:color w:val="000000" w:themeColor="text1"/>
          <w:sz w:val="24"/>
        </w:rPr>
        <w:t>, amely 17 operatív intézkedést javasol négy pillér mentén</w:t>
      </w:r>
      <w:bookmarkEnd w:id="2"/>
      <w:r>
        <w:rPr>
          <w:rFonts w:ascii="Times New Roman" w:hAnsi="Times New Roman"/>
          <w:noProof/>
          <w:color w:val="000000" w:themeColor="text1"/>
          <w:sz w:val="24"/>
        </w:rPr>
        <w:t>, amelyek egyike a bűnmegelőzéshez kapcsolódik. Az ütemterv e tekintetben prioritásként kezeli a fiatalok és a gyermekek bűnbandák általi toborzásának megakadályozására irányuló intézkedések előmozdítását, mivel a bűnözői hálózatok – köztük kábítószer-kereskedők – bűncselekmények elkövetése, különösen kábítószer-kereskedelem céljából zsákmányolnak ki kiszolgáltatott fiatalokat vagy akár gyermekeket</w:t>
      </w:r>
      <w:r>
        <w:rPr>
          <w:rStyle w:val="FootnoteReference"/>
          <w:rFonts w:ascii="Times New Roman" w:hAnsi="Times New Roman" w:cs="Times New Roman"/>
          <w:noProof/>
          <w:color w:val="000000" w:themeColor="text1"/>
          <w:sz w:val="24"/>
          <w:szCs w:val="24"/>
          <w:lang w:val="en-US"/>
        </w:rPr>
        <w:footnoteReference w:id="75"/>
      </w:r>
      <w:r>
        <w:rPr>
          <w:rFonts w:ascii="Times New Roman" w:hAnsi="Times New Roman"/>
          <w:noProof/>
          <w:color w:val="000000" w:themeColor="text1"/>
          <w:sz w:val="24"/>
        </w:rPr>
        <w:t xml:space="preserve">. </w:t>
      </w:r>
      <w:r>
        <w:rPr>
          <w:rFonts w:ascii="Times New Roman" w:hAnsi="Times New Roman"/>
          <w:noProof/>
          <w:sz w:val="24"/>
        </w:rPr>
        <w:t>Nemzeti szinten a tagállamok már hoztak olyan intézkedéseket, amelyek arra kötelezik vállalatokat, hogy az ellátási láncuk mentén az esetleges munkaerő-kizsákmányolás felderítése és megelőzése érdekében átvilágítást végezzenek</w:t>
      </w:r>
      <w:r>
        <w:rPr>
          <w:rStyle w:val="FootnoteReference"/>
          <w:rFonts w:ascii="Times New Roman" w:eastAsia="Times New Roman" w:hAnsi="Times New Roman" w:cs="Times New Roman"/>
          <w:noProof/>
          <w:sz w:val="24"/>
          <w:szCs w:val="24"/>
          <w:lang w:val="en-GB"/>
        </w:rPr>
        <w:footnoteReference w:id="76"/>
      </w:r>
      <w:r>
        <w:rPr>
          <w:rFonts w:ascii="Times New Roman" w:hAnsi="Times New Roman"/>
          <w:noProof/>
          <w:sz w:val="24"/>
        </w:rPr>
        <w:t>. Egyes tagállamok eleget tettek az OECD felelős üzleti magatartással kapcsolatos, multinacionális vállalkozásokra vonatkozó iránymutatásainak vagy aktualizálták azokat</w:t>
      </w:r>
      <w:r>
        <w:rPr>
          <w:rFonts w:ascii="Times New Roman" w:eastAsia="Times New Roman" w:hAnsi="Times New Roman" w:cs="Times New Roman"/>
          <w:noProof/>
          <w:sz w:val="24"/>
          <w:szCs w:val="24"/>
          <w:vertAlign w:val="superscript"/>
        </w:rPr>
        <w:footnoteReference w:id="77"/>
      </w:r>
      <w:r>
        <w:rPr>
          <w:rFonts w:ascii="Times New Roman" w:hAnsi="Times New Roman"/>
          <w:noProof/>
          <w:sz w:val="24"/>
        </w:rPr>
        <w:t>, illetve az emberkereskedelem elleni küzdelemről szóló nemzeti cselekvési terveikbe külön rendelkezéseket illesztettek be ezzel kapcsolatban</w:t>
      </w:r>
      <w:r>
        <w:rPr>
          <w:rFonts w:ascii="Times New Roman" w:eastAsia="Times New Roman" w:hAnsi="Times New Roman" w:cs="Times New Roman"/>
          <w:noProof/>
          <w:sz w:val="24"/>
          <w:szCs w:val="24"/>
          <w:vertAlign w:val="superscript"/>
        </w:rPr>
        <w:footnoteReference w:id="78"/>
      </w:r>
      <w:r>
        <w:rPr>
          <w:rFonts w:ascii="Times New Roman" w:hAnsi="Times New Roman"/>
          <w:noProof/>
          <w:sz w:val="24"/>
        </w:rPr>
        <w:t>. Egyes tagállamok</w:t>
      </w:r>
      <w:r>
        <w:rPr>
          <w:rFonts w:ascii="Times New Roman" w:eastAsia="Times New Roman" w:hAnsi="Times New Roman" w:cs="Times New Roman"/>
          <w:noProof/>
          <w:sz w:val="24"/>
          <w:szCs w:val="24"/>
          <w:vertAlign w:val="superscript"/>
        </w:rPr>
        <w:footnoteReference w:id="79"/>
      </w:r>
      <w:r>
        <w:rPr>
          <w:rFonts w:ascii="Times New Roman" w:hAnsi="Times New Roman"/>
          <w:noProof/>
          <w:sz w:val="24"/>
        </w:rPr>
        <w:t xml:space="preserve"> konferenciákat és képzéseket szerveztek a vállalatok számára a vállalati átvilágítással kapcsolatban, míg mások szigorúbb szabályokat fogadtak el, büntetve a vállalkozásokat a kizsákmányoló magatartásért</w:t>
      </w:r>
      <w:r>
        <w:rPr>
          <w:rFonts w:ascii="Times New Roman" w:eastAsia="Calibri" w:hAnsi="Times New Roman" w:cs="Times New Roman"/>
          <w:noProof/>
          <w:sz w:val="24"/>
          <w:szCs w:val="24"/>
          <w:vertAlign w:val="superscript"/>
        </w:rPr>
        <w:footnoteReference w:id="80"/>
      </w:r>
      <w:r>
        <w:rPr>
          <w:rFonts w:ascii="Times New Roman" w:hAnsi="Times New Roman"/>
          <w:noProof/>
          <w:sz w:val="24"/>
        </w:rPr>
        <w:t>, illetve online iránymutatást tettek közzé arról, hogy miként lehet minimálisra csökkenteni a munkaerő-kizsákmányolás kockázatát</w:t>
      </w:r>
      <w:r>
        <w:rPr>
          <w:rFonts w:ascii="Times New Roman" w:hAnsi="Times New Roman" w:cs="Times New Roman"/>
          <w:noProof/>
          <w:sz w:val="24"/>
          <w:szCs w:val="24"/>
          <w:vertAlign w:val="superscript"/>
        </w:rPr>
        <w:footnoteReference w:id="81"/>
      </w:r>
      <w:r>
        <w:rPr>
          <w:rFonts w:ascii="Times New Roman" w:hAnsi="Times New Roman"/>
          <w:noProof/>
          <w:sz w:val="24"/>
        </w:rPr>
        <w:t xml:space="preserve">. </w:t>
      </w:r>
    </w:p>
    <w:p w14:paraId="33EEA75E" w14:textId="4CABBA1A" w:rsidR="00C92DBB" w:rsidRPr="001F420B" w:rsidRDefault="00F70EC1" w:rsidP="001F420B">
      <w:pPr>
        <w:spacing w:before="160" w:line="240" w:lineRule="auto"/>
        <w:jc w:val="both"/>
        <w:rPr>
          <w:rFonts w:ascii="Times New Roman" w:eastAsia="Calibri" w:hAnsi="Times New Roman" w:cs="Times New Roman"/>
          <w:noProof/>
          <w:sz w:val="24"/>
          <w:szCs w:val="24"/>
        </w:rPr>
      </w:pPr>
      <w:r>
        <w:rPr>
          <w:rFonts w:ascii="Times New Roman" w:hAnsi="Times New Roman"/>
          <w:noProof/>
          <w:sz w:val="24"/>
        </w:rPr>
        <w:t>Ami a munkaerő-kizsákmányolás bűncselekményeit illeti, Franciaország „tiltólistát” vezetett be, azaz a Munkaügyi Minisztérium egy külön erre a célra létrehozott weboldalon</w:t>
      </w:r>
      <w:r>
        <w:rPr>
          <w:rStyle w:val="FootnoteReference"/>
          <w:rFonts w:ascii="Times New Roman" w:hAnsi="Times New Roman" w:cs="Times New Roman"/>
          <w:noProof/>
          <w:sz w:val="24"/>
          <w:szCs w:val="24"/>
          <w:lang w:val="en-US"/>
        </w:rPr>
        <w:footnoteReference w:id="82"/>
      </w:r>
      <w:r>
        <w:rPr>
          <w:rFonts w:ascii="Times New Roman" w:hAnsi="Times New Roman"/>
          <w:noProof/>
          <w:sz w:val="24"/>
        </w:rPr>
        <w:t xml:space="preserve"> közzéteszi a jogi személyeket elítélő jogerős bírósági határozatokat. </w:t>
      </w:r>
    </w:p>
    <w:p w14:paraId="551C92FC" w14:textId="5A8798CB" w:rsidR="002A7BBA" w:rsidRPr="009B6440" w:rsidRDefault="00B957A6" w:rsidP="00B957A6">
      <w:pPr>
        <w:spacing w:before="160"/>
        <w:ind w:firstLine="708"/>
        <w:jc w:val="both"/>
        <w:rPr>
          <w:rFonts w:ascii="Times New Roman" w:eastAsia="Times New Roman" w:hAnsi="Times New Roman" w:cs="Times New Roman"/>
          <w:b/>
          <w:bCs/>
          <w:noProof/>
          <w:sz w:val="24"/>
          <w:szCs w:val="20"/>
        </w:rPr>
      </w:pPr>
      <w:r>
        <w:rPr>
          <w:rFonts w:ascii="Times New Roman" w:hAnsi="Times New Roman"/>
          <w:b/>
          <w:noProof/>
          <w:sz w:val="24"/>
        </w:rPr>
        <w:t>3.2.3. Figyelemfelhívó kampányok</w:t>
      </w:r>
    </w:p>
    <w:p w14:paraId="77552638" w14:textId="173D304E" w:rsidR="00662705" w:rsidRPr="00662705" w:rsidRDefault="00662705" w:rsidP="00307746">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2023. október 18-án, az Emberkereskedelem Elleni Küzdelem Európai Napján az Európai Bizottság kampányt indított </w:t>
      </w:r>
      <w:r>
        <w:rPr>
          <w:rFonts w:ascii="Times New Roman" w:hAnsi="Times New Roman"/>
          <w:b/>
          <w:noProof/>
          <w:sz w:val="24"/>
        </w:rPr>
        <w:t>„Vessünk véget az emberkereskedelemnek. Szakítsuk meg a láthatatlan láncot”</w:t>
      </w:r>
      <w:r>
        <w:rPr>
          <w:rFonts w:ascii="Times New Roman" w:hAnsi="Times New Roman" w:cs="Times New Roman"/>
          <w:noProof/>
          <w:vertAlign w:val="superscript"/>
        </w:rPr>
        <w:footnoteReference w:id="83"/>
      </w:r>
      <w:r>
        <w:rPr>
          <w:rFonts w:ascii="Times New Roman" w:hAnsi="Times New Roman"/>
          <w:noProof/>
          <w:sz w:val="24"/>
        </w:rPr>
        <w:t xml:space="preserve"> címmel</w:t>
      </w:r>
      <w:r>
        <w:rPr>
          <w:noProof/>
        </w:rPr>
        <w:t xml:space="preserve">. </w:t>
      </w:r>
      <w:r>
        <w:rPr>
          <w:rFonts w:ascii="Times New Roman" w:hAnsi="Times New Roman"/>
          <w:noProof/>
          <w:sz w:val="24"/>
        </w:rPr>
        <w:t>E kampány célja, hogy felhívja a figyelmet az emberkereskedelemre, beleértve a szexuális kizsákmányolást és a munkaerő-kizsákmányolást is. Az első fázisban a Bizottság létrehozott egy kampányoldalt, ahol az összes hivatalos nyelven mindenki által szabadon használható online videót és online anyagokat tett elérhetővé. A második fázis előkészületi szakaszban van. Középpontjában azok a tagállamok állnak majd, ahol a legmagasabb az áldozatok száma, és ahol az emberkereskedelem különböző formái vannak jelen</w:t>
      </w:r>
      <w:r>
        <w:rPr>
          <w:rStyle w:val="FootnoteReference"/>
          <w:rFonts w:ascii="Times New Roman" w:hAnsi="Times New Roman" w:cs="Times New Roman"/>
          <w:noProof/>
          <w:sz w:val="24"/>
          <w:szCs w:val="24"/>
          <w:lang w:val="en-GB"/>
        </w:rPr>
        <w:footnoteReference w:id="84"/>
      </w:r>
      <w:r>
        <w:rPr>
          <w:rFonts w:ascii="Times New Roman" w:hAnsi="Times New Roman"/>
          <w:noProof/>
          <w:sz w:val="24"/>
        </w:rPr>
        <w:t>.</w:t>
      </w:r>
    </w:p>
    <w:p w14:paraId="18A822D0" w14:textId="32B16B19" w:rsidR="00662705" w:rsidRPr="00662705" w:rsidRDefault="0099224B" w:rsidP="00905460">
      <w:pPr>
        <w:autoSpaceDE w:val="0"/>
        <w:autoSpaceDN w:val="0"/>
        <w:adjustRightInd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Az uniós ügynökségek a jelentési időszakban figyelemfelhívó tevékenységet is folytattak. Az Europol útmutatót tett közzé arról, hogy hogyan ne dőljünk be a „lover boy”-oknak</w:t>
      </w:r>
      <w:r>
        <w:rPr>
          <w:rFonts w:ascii="Times New Roman" w:hAnsi="Times New Roman" w:cs="Times New Roman"/>
          <w:noProof/>
          <w:sz w:val="24"/>
          <w:szCs w:val="24"/>
          <w:vertAlign w:val="superscript"/>
        </w:rPr>
        <w:footnoteReference w:id="85"/>
      </w:r>
      <w:r>
        <w:rPr>
          <w:rFonts w:ascii="Times New Roman" w:hAnsi="Times New Roman"/>
          <w:noProof/>
          <w:sz w:val="24"/>
        </w:rPr>
        <w:t xml:space="preserve">, míg az Európai Munkaügyi Hatóság </w:t>
      </w:r>
      <w:hyperlink r:id="rId15">
        <w:r>
          <w:rPr>
            <w:rFonts w:ascii="Times New Roman" w:hAnsi="Times New Roman"/>
            <w:noProof/>
            <w:sz w:val="24"/>
          </w:rPr>
          <w:t>videót</w:t>
        </w:r>
      </w:hyperlink>
      <w:r>
        <w:rPr>
          <w:rFonts w:ascii="Times New Roman" w:hAnsi="Times New Roman"/>
          <w:noProof/>
          <w:sz w:val="24"/>
        </w:rPr>
        <w:t xml:space="preserve"> és több tájékoztató füzetet</w:t>
      </w:r>
      <w:r>
        <w:rPr>
          <w:rFonts w:ascii="Times New Roman" w:eastAsia="Times New Roman" w:hAnsi="Times New Roman" w:cs="Times New Roman"/>
          <w:noProof/>
          <w:sz w:val="24"/>
          <w:szCs w:val="24"/>
          <w:vertAlign w:val="superscript"/>
          <w:lang w:val="en-GB"/>
        </w:rPr>
        <w:footnoteReference w:id="86"/>
      </w:r>
      <w:r>
        <w:rPr>
          <w:rFonts w:ascii="Times New Roman" w:hAnsi="Times New Roman"/>
          <w:noProof/>
          <w:sz w:val="24"/>
        </w:rPr>
        <w:t xml:space="preserve"> készített, hogy felhívja a figyelmet a munkaerő-kizsákmányolás céljából folytatott emberkereskedelem kockázataira, ugyanakkor kiemelte, hogy összehangolt és közös ellenőrzések koordinálásával támogatja az alkalmazandó uniós munkajog érvényesítését.</w:t>
      </w:r>
    </w:p>
    <w:p w14:paraId="054C51C5" w14:textId="7A254941" w:rsidR="00662705" w:rsidRPr="00AE2102" w:rsidRDefault="00662705" w:rsidP="00905460">
      <w:pPr>
        <w:spacing w:before="160" w:line="240" w:lineRule="auto"/>
        <w:jc w:val="both"/>
        <w:rPr>
          <w:rFonts w:ascii="Times New Roman" w:eastAsia="Times New Roman" w:hAnsi="Times New Roman" w:cs="Times New Roman"/>
          <w:noProof/>
          <w:sz w:val="24"/>
          <w:szCs w:val="20"/>
        </w:rPr>
      </w:pPr>
      <w:r>
        <w:rPr>
          <w:rFonts w:ascii="Times New Roman" w:hAnsi="Times New Roman"/>
          <w:noProof/>
          <w:sz w:val="24"/>
        </w:rPr>
        <w:t>A tagállamok</w:t>
      </w:r>
      <w:r>
        <w:rPr>
          <w:rFonts w:ascii="Times New Roman" w:eastAsia="Times New Roman" w:hAnsi="Times New Roman" w:cs="Times New Roman"/>
          <w:noProof/>
          <w:sz w:val="24"/>
          <w:szCs w:val="24"/>
          <w:vertAlign w:val="superscript"/>
        </w:rPr>
        <w:footnoteReference w:id="87"/>
      </w:r>
      <w:r>
        <w:rPr>
          <w:rFonts w:ascii="Times New Roman" w:hAnsi="Times New Roman"/>
          <w:noProof/>
          <w:sz w:val="24"/>
        </w:rPr>
        <w:t xml:space="preserve"> emberkereskedelemmel kapcsolatos figyelemfelhívó kampányokat hajtottak végre többek között a közösségi médiában, videókon, szórólapokon és plakátokon keresztül, a médiában és az iskolákban. Egyes tagállamok</w:t>
      </w:r>
      <w:r>
        <w:rPr>
          <w:rFonts w:ascii="Times New Roman" w:eastAsia="Times New Roman" w:hAnsi="Times New Roman" w:cs="Times New Roman"/>
          <w:noProof/>
          <w:sz w:val="24"/>
          <w:szCs w:val="24"/>
          <w:vertAlign w:val="superscript"/>
        </w:rPr>
        <w:footnoteReference w:id="88"/>
      </w:r>
      <w:r>
        <w:rPr>
          <w:rFonts w:ascii="Times New Roman" w:hAnsi="Times New Roman"/>
          <w:noProof/>
          <w:sz w:val="24"/>
        </w:rPr>
        <w:t xml:space="preserve"> a munkavállalói jogokról és a biztonságos munkalehetőségekről, valamint a különböző ágazatokban munkaerő-kizsákmányolás céljából folytatott emberkereskedelem veszélyeiről folytattak figyelemfelhívó kampányokat. Számos tagállam</w:t>
      </w:r>
      <w:r>
        <w:rPr>
          <w:rFonts w:ascii="Times New Roman" w:eastAsia="Times New Roman" w:hAnsi="Times New Roman" w:cs="Times New Roman"/>
          <w:noProof/>
          <w:sz w:val="24"/>
          <w:szCs w:val="24"/>
          <w:vertAlign w:val="superscript"/>
        </w:rPr>
        <w:footnoteReference w:id="89"/>
      </w:r>
      <w:r>
        <w:rPr>
          <w:rFonts w:ascii="Times New Roman" w:hAnsi="Times New Roman"/>
          <w:noProof/>
          <w:sz w:val="24"/>
        </w:rPr>
        <w:t xml:space="preserve"> a közösségi médiában, a társkereső weboldalakon és a szexuális szolgáltatásokat hirdető platformokon jelen lévő ügyfeleket megcélozva indított kampányokat. Románia például nemzetközi megelőzési kampányt indított „Ügyfelek nélkül nincs emberkereskedelem!” címmel, amelyet a román és a spanyol rendőrséggel partnerségben hajtott végre.</w:t>
      </w:r>
      <w:r>
        <w:rPr>
          <w:noProof/>
        </w:rPr>
        <w:t xml:space="preserve"> </w:t>
      </w:r>
      <w:r>
        <w:rPr>
          <w:rFonts w:ascii="Times New Roman" w:hAnsi="Times New Roman"/>
          <w:noProof/>
          <w:sz w:val="24"/>
        </w:rPr>
        <w:t xml:space="preserve">Szlovákia kifejezetten roma nyelven tájékoztatta a roma közösséget a kényszerházasság kockázatairól. </w:t>
      </w:r>
    </w:p>
    <w:p w14:paraId="2C0437A5" w14:textId="4378D57A" w:rsidR="00662705" w:rsidRPr="00662705" w:rsidRDefault="00662705" w:rsidP="008964CA">
      <w:pPr>
        <w:spacing w:before="240" w:after="240" w:line="240" w:lineRule="auto"/>
        <w:jc w:val="both"/>
        <w:rPr>
          <w:rFonts w:ascii="Times New Roman" w:hAnsi="Times New Roman" w:cs="Times New Roman"/>
          <w:noProof/>
          <w:sz w:val="24"/>
          <w:szCs w:val="24"/>
        </w:rPr>
      </w:pPr>
      <w:r>
        <w:rPr>
          <w:rFonts w:ascii="Times New Roman" w:hAnsi="Times New Roman"/>
          <w:noProof/>
          <w:sz w:val="24"/>
        </w:rPr>
        <w:t>A 2024. évi párizsi olimpiai és paralimpiai játékokkal összefüggésben a nők erőszakkal szembeni védelmével és az emberkereskedelem elleni küzdelemmel foglalkozó tárcaközi misszió (MIPROF) átfogó intézkedéseket hozott az emberkereskedelem megelőzése érdekében, többek között a következőket: i. az Országos Bíróképző Iskolával együttműködésben azzal a céllal indított képzés, hogy megfelelő képzésben részesüljön mindenki, aki potenciális áldozatokkal kerül kapcsolatba, valamint biztosítsák, hogy e személyek kellően tájékozottak és cselekvőképesek legyenek, ii. együttműködés a magánszektorral, különösen a rövid távú bérbeadással foglalkozó platformokkal és a közlekedési vállalatokkal</w:t>
      </w:r>
      <w:r>
        <w:rPr>
          <w:rStyle w:val="FootnoteReference"/>
          <w:rFonts w:ascii="Times New Roman" w:hAnsi="Times New Roman" w:cs="Times New Roman"/>
          <w:noProof/>
          <w:sz w:val="24"/>
          <w:szCs w:val="24"/>
          <w:lang w:val="en-IE"/>
        </w:rPr>
        <w:footnoteReference w:id="90"/>
      </w:r>
      <w:r>
        <w:rPr>
          <w:rFonts w:ascii="Times New Roman" w:hAnsi="Times New Roman"/>
          <w:noProof/>
          <w:sz w:val="24"/>
        </w:rPr>
        <w:t xml:space="preserve"> annak érdekében, hogy felhívják a figyelmüket az emberkereskedelem kockázataira és formáira, valamint ráirányítsák a figyelmüket a kellő gondosságra, iii. olyan kommunikációs kampány, amely a külföldi turisták figyelmét hivatott felhívni az emberkereskedelem kockázataira</w:t>
      </w:r>
      <w:r>
        <w:rPr>
          <w:rFonts w:ascii="Times New Roman" w:hAnsi="Times New Roman" w:cs="Times New Roman"/>
          <w:noProof/>
          <w:sz w:val="24"/>
          <w:szCs w:val="24"/>
          <w:vertAlign w:val="superscript"/>
          <w:lang w:val="en-IE"/>
        </w:rPr>
        <w:footnoteReference w:id="91"/>
      </w:r>
      <w:r>
        <w:rPr>
          <w:rFonts w:ascii="Times New Roman" w:hAnsi="Times New Roman"/>
          <w:noProof/>
          <w:sz w:val="24"/>
        </w:rPr>
        <w:t xml:space="preserve">. </w:t>
      </w:r>
    </w:p>
    <w:p w14:paraId="38D78BB6" w14:textId="77777777" w:rsidR="00662705" w:rsidRPr="00662705" w:rsidRDefault="00662705" w:rsidP="00B957A6">
      <w:pPr>
        <w:spacing w:before="160" w:line="240" w:lineRule="auto"/>
        <w:ind w:firstLine="708"/>
        <w:jc w:val="both"/>
        <w:rPr>
          <w:rFonts w:ascii="Times New Roman" w:eastAsia="Times New Roman" w:hAnsi="Times New Roman" w:cs="Times New Roman"/>
          <w:b/>
          <w:bCs/>
          <w:noProof/>
          <w:sz w:val="24"/>
          <w:szCs w:val="20"/>
        </w:rPr>
      </w:pPr>
      <w:r>
        <w:rPr>
          <w:rFonts w:ascii="Times New Roman" w:hAnsi="Times New Roman"/>
          <w:b/>
          <w:noProof/>
          <w:sz w:val="24"/>
        </w:rPr>
        <w:t>3.2.4</w:t>
      </w:r>
      <w:r>
        <w:rPr>
          <w:noProof/>
        </w:rPr>
        <w:tab/>
      </w:r>
      <w:r>
        <w:rPr>
          <w:rFonts w:ascii="Times New Roman" w:hAnsi="Times New Roman"/>
          <w:b/>
          <w:noProof/>
          <w:sz w:val="24"/>
        </w:rPr>
        <w:t>Képzés</w:t>
      </w:r>
    </w:p>
    <w:p w14:paraId="401785A1" w14:textId="40A3C269" w:rsidR="00662705" w:rsidRPr="00662705" w:rsidRDefault="00D74987" w:rsidP="00307746">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módosított irányelv tovább ösztönzi a specializált képzést: előírja a tagállamok számára, hogy mozdítsák elő az emberkereskedelem áldozataival és potenciális áldozataival valószínűleg kapcsolatba kerülő szakemberek számára nyújtott rendszeres és specializált képzést annak érdekében, hogy képessé váljanak az emberkereskedelem megelőzésére és az ellene való küzdelemre, valamint a másodlagos áldozattáválás megakadályozására. A jelentési időszakban a tagállamok számos képzési tevékenységet kínáltak különböző érdekelt felek, köztük bűnüldöző és igazságügyi hatóságok, határőrök, menekültügyi és bevándorlási tisztviselők, egészségügyi szakemberek, szociális munkások, szociális és munkaügyi felügyelők, konzulátusi személyzet, önkormányzati személyzet, valamint a légi járatok személyzete számára, hogy képesek legyenek felderíteni az emberkereskedelemmel kapcsolatos eseteket, azonosítani a lehetséges áldozatokat, meghallgatásokat végezni, valamint a tájékoztatni az áldozatokat a támogatási intézkedésekről és az áldozatkezelési rendszerekről. </w:t>
      </w:r>
    </w:p>
    <w:p w14:paraId="581CFA9C" w14:textId="1DDE32C8" w:rsidR="006802E1" w:rsidRPr="00A660AB" w:rsidRDefault="00A24E06" w:rsidP="009C7B69">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Uniós szinten több uniós ügynökség dolgozott ki célzott képzési tevékenységeket. Az Európai Unió Bűnüldözési Képzési Ügynöksége (CEPOL) továbbra is biztosított képzési tevékenységeket azzal a céllal, hogy az uniós tagállamokban előmozdítsa egy nyomozói hálózat létrehozását, és közvetlenül fokozza a határokon átnyúló operatív együttműködés hatékonyságát. A sokrétű képzési tevékenységek a kriminalisztika emberkereskedelem elleni küzdelemmel kapcsolatos fő szempontjaira, különösen a szexuális kizsákmányolásra, többek között az online emberkereskedelemre, a munkaerő-kizsákmányolásra, továbbá a különleges nyomozási technikák, valamint a pénzügyi és online nyomozások integrálására terjednek ki. Az Európai Munkaügyi Hatóság emellett több képzési modult is biztosított, valamint a munkaerő-kizsákmányolással kapcsolatban képzési kézikönyveket dolgozott ki a munkaügyi felügyelők számára. Az Alapjogi Ügynökség (FRA) egy képzési kézikönyvet is összeállított a munkaügyi felügyelők és a más munkahelyi felügyelő testületek képzése céljából, amely a harmadik országbeli munkavállalók köztük az idénymunkások, az ideiglenes engedélyekkel rendelkező migráns munkavállalók és az irreguláris helyzetben lévő migránsok jogait biztosító uniós jogi védelmi normákra összpontosít</w:t>
      </w:r>
      <w:r>
        <w:rPr>
          <w:rStyle w:val="FootnoteReference"/>
          <w:rFonts w:ascii="Times New Roman" w:eastAsia="Times New Roman" w:hAnsi="Times New Roman" w:cs="Times New Roman"/>
          <w:noProof/>
          <w:sz w:val="24"/>
          <w:szCs w:val="24"/>
          <w:lang w:val="en-GB"/>
        </w:rPr>
        <w:footnoteReference w:id="92"/>
      </w:r>
      <w:r>
        <w:rPr>
          <w:rFonts w:ascii="Times New Roman" w:hAnsi="Times New Roman"/>
          <w:noProof/>
          <w:sz w:val="24"/>
        </w:rPr>
        <w:t xml:space="preserve">. </w:t>
      </w:r>
    </w:p>
    <w:p w14:paraId="0DD22A41" w14:textId="2032246D" w:rsidR="006802E1" w:rsidRPr="001F420B" w:rsidRDefault="006802E1" w:rsidP="001F420B">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Az Európai Igazságügyi Képzési Hálózat (EJTN)</w:t>
      </w:r>
      <w:r>
        <w:rPr>
          <w:rStyle w:val="FootnoteReference"/>
          <w:rFonts w:ascii="Times New Roman" w:hAnsi="Times New Roman" w:cs="Times New Roman"/>
          <w:iCs/>
          <w:noProof/>
          <w:sz w:val="24"/>
          <w:szCs w:val="24"/>
          <w:lang w:val="en-GB"/>
        </w:rPr>
        <w:footnoteReference w:id="93"/>
      </w:r>
      <w:r>
        <w:rPr>
          <w:rFonts w:ascii="Times New Roman" w:hAnsi="Times New Roman"/>
          <w:noProof/>
          <w:sz w:val="24"/>
        </w:rPr>
        <w:t xml:space="preserve"> képzést nyújtott a bírák és az ügyészek számára a munkaerő-kizsákmányolás igazságügyi vonatkozásairól és a büntetőeljárásokhoz kapcsolódó sajátos kihívásokról.</w:t>
      </w:r>
    </w:p>
    <w:p w14:paraId="798462F2" w14:textId="1BA1A74F" w:rsidR="0041109F" w:rsidRPr="001F420B" w:rsidRDefault="0041109F" w:rsidP="001F420B">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CEPOL, az Európai Munkaügyi Hatóság és az EJTN a képzési beavatkozások terén is egyesítette erőfeszítéseit, különös figyelmet fordítva az áldozatok védelmére és az alapvető jogokra.</w:t>
      </w:r>
    </w:p>
    <w:p w14:paraId="3477B372" w14:textId="2EEE7A2F" w:rsidR="00662705" w:rsidRPr="00662705" w:rsidRDefault="00662705" w:rsidP="00662705">
      <w:pPr>
        <w:spacing w:before="160" w:line="240" w:lineRule="auto"/>
        <w:ind w:left="360"/>
        <w:jc w:val="both"/>
        <w:rPr>
          <w:rFonts w:ascii="Times New Roman" w:eastAsia="Times New Roman" w:hAnsi="Times New Roman" w:cs="Times New Roman"/>
          <w:b/>
          <w:noProof/>
          <w:sz w:val="24"/>
          <w:szCs w:val="20"/>
        </w:rPr>
      </w:pPr>
      <w:r>
        <w:rPr>
          <w:rFonts w:ascii="Times New Roman" w:hAnsi="Times New Roman"/>
          <w:b/>
          <w:noProof/>
          <w:sz w:val="24"/>
        </w:rPr>
        <w:t>3.3. Az emberkereskedők üzletszerű tevékenységének ellehetetlenítése</w:t>
      </w:r>
    </w:p>
    <w:p w14:paraId="6F2BE9F6" w14:textId="77777777" w:rsidR="00662705" w:rsidRPr="00662705" w:rsidRDefault="00662705" w:rsidP="00B957A6">
      <w:pPr>
        <w:spacing w:before="160" w:line="240" w:lineRule="auto"/>
        <w:ind w:firstLine="708"/>
        <w:jc w:val="both"/>
        <w:rPr>
          <w:rFonts w:ascii="Times New Roman" w:eastAsia="Times New Roman" w:hAnsi="Times New Roman" w:cs="Times New Roman"/>
          <w:b/>
          <w:noProof/>
          <w:sz w:val="24"/>
          <w:szCs w:val="20"/>
        </w:rPr>
      </w:pPr>
      <w:r>
        <w:rPr>
          <w:rFonts w:ascii="Times New Roman" w:hAnsi="Times New Roman"/>
          <w:b/>
          <w:noProof/>
          <w:sz w:val="24"/>
        </w:rPr>
        <w:t>3.3.1. Nyomozások</w:t>
      </w:r>
    </w:p>
    <w:p w14:paraId="02BB8280" w14:textId="2B13949C" w:rsidR="00662705" w:rsidRPr="00662705" w:rsidRDefault="00662705" w:rsidP="00662705">
      <w:pPr>
        <w:spacing w:after="20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Az emberkereskedelmet nagyobb bűnszervezetek, valamint kisebb hálózatok vagy akár egyének folytatnak. Az Unióban működő, legnagyobb fenyegetést jelentő bűnözői hálózatokról szóló jelentésében</w:t>
      </w:r>
      <w:r>
        <w:rPr>
          <w:rFonts w:ascii="Times New Roman" w:eastAsia="Times New Roman" w:hAnsi="Times New Roman" w:cs="Times New Roman"/>
          <w:noProof/>
          <w:spacing w:val="-6"/>
          <w:sz w:val="24"/>
          <w:szCs w:val="24"/>
          <w:vertAlign w:val="superscript"/>
        </w:rPr>
        <w:footnoteReference w:id="94"/>
      </w:r>
      <w:r>
        <w:rPr>
          <w:rFonts w:ascii="Times New Roman" w:hAnsi="Times New Roman"/>
          <w:noProof/>
          <w:sz w:val="24"/>
        </w:rPr>
        <w:t xml:space="preserve"> az Europol tizennyolc bűnözői hálózat esetében a szexuális kizsákmányolást, tizenhárom hálózat</w:t>
      </w:r>
      <w:r>
        <w:rPr>
          <w:rStyle w:val="FootnoteReference"/>
          <w:rFonts w:ascii="Times New Roman" w:eastAsia="Times New Roman" w:hAnsi="Times New Roman" w:cs="Times New Roman"/>
          <w:noProof/>
          <w:spacing w:val="-6"/>
          <w:sz w:val="24"/>
          <w:szCs w:val="24"/>
          <w:lang w:val="en-US"/>
        </w:rPr>
        <w:footnoteReference w:id="95"/>
      </w:r>
      <w:r>
        <w:rPr>
          <w:rFonts w:ascii="Times New Roman" w:hAnsi="Times New Roman"/>
          <w:noProof/>
          <w:sz w:val="24"/>
        </w:rPr>
        <w:t xml:space="preserve"> esetében a munkaerő-kizsákmányolást, öt hálózat esetében pedig az emberkereskedelem egyéb formáit jelölte meg egyedüli fő tevékenységként. Számos bűnözői hálózat az emberkereskedelmet a bűncselekmények más területeivel, például kábítószer-kereskedelemmel, vagyon elleni szervezett bűnözéssel, okmányokkal és személyazonossággal való visszaéléssel, valamint migránscsempészéssel ötvözi. </w:t>
      </w:r>
      <w:r>
        <w:rPr>
          <w:rFonts w:ascii="Times New Roman" w:hAnsi="Times New Roman"/>
          <w:b/>
          <w:noProof/>
          <w:sz w:val="24"/>
        </w:rPr>
        <w:t>A kábítószer-kereskedelem és a szervezett bűnözés elleni küzdelemre vonatkozó uniós ütemtervben</w:t>
      </w:r>
      <w:r>
        <w:rPr>
          <w:rStyle w:val="FootnoteReference"/>
          <w:rFonts w:ascii="Times New Roman" w:eastAsia="Times New Roman" w:hAnsi="Times New Roman" w:cs="Times New Roman"/>
          <w:b/>
          <w:bCs/>
          <w:noProof/>
          <w:spacing w:val="-6"/>
          <w:sz w:val="24"/>
          <w:szCs w:val="24"/>
          <w:lang w:val="en-US"/>
        </w:rPr>
        <w:footnoteReference w:id="96"/>
      </w:r>
      <w:r>
        <w:rPr>
          <w:rFonts w:ascii="Times New Roman" w:hAnsi="Times New Roman"/>
          <w:noProof/>
          <w:sz w:val="24"/>
        </w:rPr>
        <w:t xml:space="preserve"> meghatározott operatív intézkedések célja e nagy kockázatot jelentő bűnözői hálózatok – köztük az emberkereskedelemben érintett hálózatok – elleni küzdelem.</w:t>
      </w:r>
    </w:p>
    <w:p w14:paraId="6E8A0CFD" w14:textId="3ABCAE0A" w:rsidR="00662705" w:rsidRPr="00662705" w:rsidRDefault="00662705" w:rsidP="00662705">
      <w:pPr>
        <w:spacing w:after="200" w:line="240" w:lineRule="auto"/>
        <w:jc w:val="both"/>
        <w:rPr>
          <w:rFonts w:ascii="Times New Roman" w:eastAsia="Times New Roman" w:hAnsi="Times New Roman" w:cs="Times New Roman"/>
          <w:noProof/>
          <w:spacing w:val="-6"/>
          <w:sz w:val="24"/>
          <w:szCs w:val="24"/>
        </w:rPr>
      </w:pPr>
      <w:r>
        <w:rPr>
          <w:rFonts w:ascii="Times New Roman" w:hAnsi="Times New Roman"/>
          <w:noProof/>
          <w:sz w:val="24"/>
        </w:rPr>
        <w:t xml:space="preserve">Az egyéb új fejleményekre reagálva a </w:t>
      </w:r>
      <w:r>
        <w:rPr>
          <w:rFonts w:ascii="Times New Roman" w:hAnsi="Times New Roman"/>
          <w:b/>
          <w:noProof/>
          <w:sz w:val="24"/>
        </w:rPr>
        <w:t>módosított irányelv</w:t>
      </w:r>
      <w:r>
        <w:rPr>
          <w:rFonts w:ascii="Times New Roman" w:hAnsi="Times New Roman"/>
          <w:noProof/>
          <w:sz w:val="24"/>
        </w:rPr>
        <w:t xml:space="preserve"> számos újdonságot vezet be azzal a céllal, hogy bűncselekménnyé nyilvánítsa az </w:t>
      </w:r>
      <w:r>
        <w:rPr>
          <w:rFonts w:ascii="Times New Roman" w:hAnsi="Times New Roman"/>
          <w:b/>
          <w:noProof/>
          <w:sz w:val="24"/>
        </w:rPr>
        <w:t>emberkereskedelem új formáit</w:t>
      </w:r>
      <w:r>
        <w:rPr>
          <w:rFonts w:ascii="Times New Roman" w:hAnsi="Times New Roman"/>
          <w:noProof/>
          <w:sz w:val="24"/>
        </w:rPr>
        <w:t xml:space="preserve">, szigorúbb szankciókat állapítson meg, valamint a tagállamokban fejlessze a bűnüldöző hatóságok és az ügyészségek szakértelmét és képességeit. A béranyasággal, a kényszerházassággal és az illegális örökbefogadással kapcsolatos kizsákmányolást kifejezetten olyan kizsákmányolási formaként nevezi meg, amely emberkereskedelemnek minősülhet, amennyiben teljesülnek a fogalommeghatározás egyéb elemei (magatartás és elkövetési mód). </w:t>
      </w:r>
    </w:p>
    <w:p w14:paraId="4121315C" w14:textId="72BBB25A" w:rsidR="00662705" w:rsidRPr="00662705" w:rsidRDefault="00662705"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bűnüldözési együttműködés</w:t>
      </w:r>
      <w:r>
        <w:rPr>
          <w:rFonts w:ascii="Times New Roman" w:hAnsi="Times New Roman"/>
          <w:noProof/>
          <w:sz w:val="24"/>
        </w:rPr>
        <w:t xml:space="preserve"> a 2021–2024-es időszakban</w:t>
      </w:r>
      <w:r>
        <w:rPr>
          <w:rFonts w:ascii="Times New Roman" w:eastAsia="Times New Roman" w:hAnsi="Times New Roman" w:cs="Times New Roman"/>
          <w:noProof/>
          <w:sz w:val="24"/>
          <w:szCs w:val="24"/>
          <w:vertAlign w:val="superscript"/>
          <w:lang w:val="en-GB"/>
        </w:rPr>
        <w:footnoteReference w:id="97"/>
      </w:r>
      <w:r>
        <w:rPr>
          <w:rFonts w:ascii="Times New Roman" w:hAnsi="Times New Roman"/>
          <w:noProof/>
          <w:sz w:val="24"/>
        </w:rPr>
        <w:t xml:space="preserve"> uniós és nemzeti szinten egyaránt intenzív maradt, ami abban is megmutatkozik, hogy az emberkereskedelemmel </w:t>
      </w:r>
      <w:r>
        <w:rPr>
          <w:rFonts w:ascii="Times New Roman" w:hAnsi="Times New Roman"/>
          <w:b/>
          <w:noProof/>
          <w:sz w:val="24"/>
        </w:rPr>
        <w:t>gyanúsított személyek</w:t>
      </w:r>
      <w:r>
        <w:rPr>
          <w:rFonts w:ascii="Times New Roman" w:hAnsi="Times New Roman"/>
          <w:noProof/>
          <w:sz w:val="24"/>
        </w:rPr>
        <w:t xml:space="preserve"> teljes száma folyamatosan </w:t>
      </w:r>
      <w:r>
        <w:rPr>
          <w:rFonts w:ascii="Times New Roman" w:hAnsi="Times New Roman"/>
          <w:b/>
          <w:noProof/>
          <w:sz w:val="24"/>
        </w:rPr>
        <w:t>16 %-kal nőtt</w:t>
      </w:r>
      <w:r>
        <w:rPr>
          <w:rFonts w:ascii="Times New Roman" w:hAnsi="Times New Roman"/>
          <w:noProof/>
          <w:sz w:val="24"/>
        </w:rPr>
        <w:t xml:space="preserve"> az előző jelentési időszakhoz képest</w:t>
      </w:r>
      <w:r>
        <w:rPr>
          <w:rFonts w:ascii="Times New Roman" w:eastAsia="Times New Roman" w:hAnsi="Times New Roman" w:cs="Times New Roman"/>
          <w:noProof/>
          <w:sz w:val="24"/>
          <w:szCs w:val="24"/>
          <w:vertAlign w:val="superscript"/>
          <w:lang w:val="en-GB"/>
        </w:rPr>
        <w:footnoteReference w:id="98"/>
      </w:r>
      <w:r>
        <w:rPr>
          <w:rFonts w:ascii="Times New Roman" w:hAnsi="Times New Roman"/>
          <w:noProof/>
          <w:sz w:val="24"/>
        </w:rPr>
        <w:t xml:space="preserve">. 2022-ben az uniós polgárok aránya az Unióban regisztrált összes gyanúsított 72 %-át tette ki. </w:t>
      </w:r>
    </w:p>
    <w:p w14:paraId="1B9FC71A" w14:textId="116D97A5" w:rsidR="00662705" w:rsidRPr="00662705" w:rsidRDefault="00662705"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emberkereskedelem az </w:t>
      </w:r>
      <w:r>
        <w:rPr>
          <w:rFonts w:ascii="Times New Roman" w:hAnsi="Times New Roman"/>
          <w:b/>
          <w:noProof/>
          <w:sz w:val="24"/>
        </w:rPr>
        <w:t>Európai Multidiszciplináris Platform a Bűnügyi Fenyegetettség Ellen (EMPACT)</w:t>
      </w:r>
      <w:r>
        <w:rPr>
          <w:rFonts w:ascii="Times New Roman" w:hAnsi="Times New Roman"/>
          <w:noProof/>
          <w:sz w:val="24"/>
        </w:rPr>
        <w:t xml:space="preserve"> egyik prioritása. 2024-ben az emberkereskedelem terén 22 operatív intézkedést hajtottak végre az EMPACT keretében. 2023-ban az EMPACT operatív intézkedései meglehetősen sikeresnek bizonyultak, és folyamatosan javuló eredményeket hoztak a közös akciónapok, az operatív munkacsoportok és az operatív eredmények számának növekedése tekintetében, nevezetesen 7 536 (potenciális) áldozatot és több mint 5 000 gyanúsítottat azonosítottak, valamint 103 pénzügyi nyomozást indítottak és 4 108 670 EUR-t foglaltak le</w:t>
      </w:r>
      <w:r>
        <w:rPr>
          <w:rStyle w:val="FootnoteReference"/>
          <w:rFonts w:ascii="Times New Roman" w:eastAsia="Times New Roman" w:hAnsi="Times New Roman" w:cs="Times New Roman"/>
          <w:noProof/>
          <w:sz w:val="24"/>
          <w:szCs w:val="24"/>
          <w:lang w:val="en-GB"/>
        </w:rPr>
        <w:footnoteReference w:id="99"/>
      </w:r>
      <w:r>
        <w:rPr>
          <w:rFonts w:ascii="Times New Roman" w:hAnsi="Times New Roman"/>
          <w:noProof/>
          <w:sz w:val="24"/>
        </w:rPr>
        <w:t xml:space="preserve">. </w:t>
      </w:r>
    </w:p>
    <w:p w14:paraId="4A484CBA" w14:textId="03218340" w:rsidR="00E31CD1" w:rsidRPr="00AE2102" w:rsidRDefault="00662705" w:rsidP="00662705">
      <w:pPr>
        <w:spacing w:before="120" w:after="120" w:line="240" w:lineRule="auto"/>
        <w:contextualSpacing/>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Az EMPACT támogatta továbbá a – különösen a </w:t>
      </w:r>
      <w:r>
        <w:rPr>
          <w:rFonts w:ascii="Times New Roman" w:hAnsi="Times New Roman"/>
          <w:b/>
          <w:noProof/>
          <w:sz w:val="24"/>
        </w:rPr>
        <w:t>hackathonok</w:t>
      </w:r>
      <w:r>
        <w:rPr>
          <w:rFonts w:ascii="Times New Roman" w:hAnsi="Times New Roman"/>
          <w:noProof/>
          <w:sz w:val="24"/>
        </w:rPr>
        <w:t xml:space="preserve"> formájában megvalósuló – </w:t>
      </w:r>
      <w:r>
        <w:rPr>
          <w:rFonts w:ascii="Times New Roman" w:hAnsi="Times New Roman"/>
          <w:b/>
          <w:noProof/>
          <w:sz w:val="24"/>
        </w:rPr>
        <w:t>digitális nyomozásokkal</w:t>
      </w:r>
      <w:r>
        <w:rPr>
          <w:rFonts w:ascii="Times New Roman" w:hAnsi="Times New Roman"/>
          <w:noProof/>
          <w:sz w:val="24"/>
        </w:rPr>
        <w:t xml:space="preserve"> kapcsolatos innovatív megközelítéseket; ezek segítettek azonosítani azokat az online platformokat, ahol szexuális vagy munkaerő-kizsákmányolás történt, valamint segítettek a tagállamoknak elemezni a nyomozások során lefoglalt, médiából származó nagy mennyiségű digitális adatot. 2022-ben 20 ország csatlakozott, 2023-ban már 26, 2024-ben pedig 27 ország vett részt – köztük Unión kívüli szomszédos országokból</w:t>
      </w:r>
      <w:r>
        <w:rPr>
          <w:rStyle w:val="FootnoteReference"/>
          <w:rFonts w:ascii="Times New Roman" w:eastAsia="Times New Roman" w:hAnsi="Times New Roman" w:cs="Times New Roman"/>
          <w:noProof/>
          <w:kern w:val="0"/>
          <w:sz w:val="24"/>
          <w:szCs w:val="24"/>
          <w:lang w:val="en-GB"/>
        </w:rPr>
        <w:footnoteReference w:id="100"/>
      </w:r>
      <w:r>
        <w:rPr>
          <w:rFonts w:ascii="Times New Roman" w:hAnsi="Times New Roman"/>
          <w:noProof/>
          <w:sz w:val="24"/>
        </w:rPr>
        <w:t xml:space="preserve"> származó partnerek is részt vettek – a fellépésben. A fellépés során strukturált megközelítést alakítottak ki az emberkereskedelem online dimenziójával kapcsolatban, a toborzástól kezdve a potenciális áldozatok azonosításán és az áldozatok kizsákmányolásán át az emberkereskedők és bűnözői csoportok felderítéséig. Nagyon hasznosnak bizonyultak, mivel a hackathont követően az ellenőrzött weboldalakon jelentősen csökkent a forgalom. </w:t>
      </w:r>
    </w:p>
    <w:p w14:paraId="05E4BA87" w14:textId="77777777" w:rsidR="00E31CD1" w:rsidRPr="002E0B7E" w:rsidRDefault="00E31CD1" w:rsidP="00662705">
      <w:pPr>
        <w:spacing w:before="120" w:after="120" w:line="240" w:lineRule="auto"/>
        <w:contextualSpacing/>
        <w:jc w:val="both"/>
        <w:rPr>
          <w:rFonts w:ascii="Times New Roman" w:eastAsia="Times New Roman" w:hAnsi="Times New Roman" w:cs="Times New Roman"/>
          <w:noProof/>
          <w:kern w:val="0"/>
          <w:sz w:val="24"/>
          <w:szCs w:val="24"/>
          <w14:ligatures w14:val="none"/>
        </w:rPr>
      </w:pPr>
    </w:p>
    <w:p w14:paraId="4039E26B" w14:textId="21D9DDA4" w:rsidR="00662705" w:rsidRDefault="00662705" w:rsidP="00AE2102">
      <w:pPr>
        <w:tabs>
          <w:tab w:val="left" w:pos="7710"/>
        </w:tabs>
        <w:spacing w:before="120" w:after="120" w:line="240" w:lineRule="auto"/>
        <w:contextualSpacing/>
        <w:jc w:val="both"/>
        <w:rPr>
          <w:rFonts w:ascii="Times New Roman" w:hAnsi="Times New Roman" w:cs="Times New Roman"/>
          <w:noProof/>
        </w:rPr>
      </w:pPr>
      <w:r>
        <w:rPr>
          <w:rFonts w:ascii="Times New Roman" w:hAnsi="Times New Roman"/>
          <w:noProof/>
          <w:sz w:val="24"/>
        </w:rPr>
        <w:t>A hackathon fontos szerepet játszik abban, hogy a tagállamokban az emberkereskedelem elleni küzdelemmel foglalkozó szakembereket olyan digitális eszközökkel képezzék ki, amelyeket a mindennapi munkájuk során használhatnak. A tagállamok</w:t>
      </w:r>
      <w:r>
        <w:rPr>
          <w:rFonts w:ascii="Times New Roman" w:eastAsia="Times New Roman" w:hAnsi="Times New Roman" w:cs="Times New Roman"/>
          <w:noProof/>
          <w:sz w:val="24"/>
          <w:szCs w:val="24"/>
          <w:vertAlign w:val="superscript"/>
          <w:lang w:val="en-GB"/>
        </w:rPr>
        <w:footnoteReference w:id="101"/>
      </w:r>
      <w:r>
        <w:rPr>
          <w:rFonts w:ascii="Times New Roman" w:hAnsi="Times New Roman"/>
          <w:noProof/>
          <w:sz w:val="24"/>
        </w:rPr>
        <w:t xml:space="preserve"> különböző stratégiákat fogadtak el a technológia használatával elősegített emberkereskedelem eseteinek felderítésére és kivizsgálására. </w:t>
      </w:r>
      <w:r>
        <w:rPr>
          <w:rFonts w:ascii="Times New Roman" w:hAnsi="Times New Roman"/>
          <w:noProof/>
        </w:rPr>
        <w:t>Idetartozik az internet (mind a látható web, mind a dark web) nyílt forrásból származó, valós idejű értékelt felderítési információk elemzésével összekapcsolt megfigyelése, a keresőrobotok telepítése, a fedett műveletek, valamint a felnőtteknek szóló weboldalak szolgáltatóival és a rövid távú bérbeadással foglalkozó vállalkozásokkal való köz-magán partnerségek létrehozása is</w:t>
      </w:r>
      <w:r>
        <w:rPr>
          <w:rFonts w:ascii="Times New Roman" w:hAnsi="Times New Roman" w:cs="Times New Roman"/>
          <w:noProof/>
          <w:vertAlign w:val="superscript"/>
        </w:rPr>
        <w:footnoteReference w:id="102"/>
      </w:r>
      <w:r>
        <w:rPr>
          <w:rFonts w:ascii="Times New Roman" w:hAnsi="Times New Roman"/>
          <w:noProof/>
        </w:rPr>
        <w:t xml:space="preserve">. </w:t>
      </w:r>
    </w:p>
    <w:p w14:paraId="2ECC1758" w14:textId="77777777" w:rsidR="001A7566" w:rsidRPr="002E0B7E" w:rsidRDefault="001A7566" w:rsidP="00AE2102">
      <w:pPr>
        <w:tabs>
          <w:tab w:val="left" w:pos="7710"/>
        </w:tabs>
        <w:spacing w:before="120" w:after="120" w:line="240" w:lineRule="auto"/>
        <w:contextualSpacing/>
        <w:jc w:val="both"/>
        <w:rPr>
          <w:rFonts w:ascii="Times New Roman" w:eastAsia="Times New Roman" w:hAnsi="Times New Roman" w:cs="Times New Roman"/>
          <w:noProof/>
          <w:sz w:val="24"/>
          <w:szCs w:val="24"/>
        </w:rPr>
      </w:pPr>
    </w:p>
    <w:p w14:paraId="03BDCF6D" w14:textId="25B608B4" w:rsidR="000C701E" w:rsidRPr="000C701E" w:rsidRDefault="00E13609" w:rsidP="00662705">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Európai szinten erőfeszítéseket tettek a </w:t>
      </w:r>
      <w:r>
        <w:rPr>
          <w:rFonts w:ascii="Times New Roman" w:hAnsi="Times New Roman"/>
          <w:b/>
          <w:noProof/>
          <w:sz w:val="24"/>
        </w:rPr>
        <w:t>pénzügyi nyomozások</w:t>
      </w:r>
      <w:r>
        <w:rPr>
          <w:rFonts w:ascii="Times New Roman" w:hAnsi="Times New Roman"/>
          <w:noProof/>
          <w:sz w:val="24"/>
        </w:rPr>
        <w:t xml:space="preserve"> alkalmazásának javítása érdekében.</w:t>
      </w:r>
      <w:r>
        <w:rPr>
          <w:rFonts w:ascii="Times New Roman" w:hAnsi="Times New Roman"/>
          <w:b/>
          <w:noProof/>
          <w:sz w:val="24"/>
        </w:rPr>
        <w:t xml:space="preserve"> </w:t>
      </w:r>
      <w:r>
        <w:rPr>
          <w:rFonts w:ascii="Times New Roman" w:hAnsi="Times New Roman"/>
          <w:noProof/>
          <w:sz w:val="24"/>
        </w:rPr>
        <w:t>Az EMPACT keretében a tagállamok az Europollal közösen kézikönyvet dolgoztak ki az emberkereskedelemmel kapcsolatos nyomozások során folytatott pénzügyi nyomozásokról. Ezen túlmenően az Europol pénzügyi információs köz-magán társulása (EFIPPP) munkafolyamatot indított az automatikus műveletfigyelésre vonatkozó mutatók kidolgozása céljából</w:t>
      </w:r>
      <w:r>
        <w:rPr>
          <w:rFonts w:ascii="Times New Roman" w:eastAsia="Calibri" w:hAnsi="Times New Roman" w:cs="Times New Roman"/>
          <w:noProof/>
          <w:sz w:val="24"/>
          <w:szCs w:val="24"/>
          <w:vertAlign w:val="superscript"/>
        </w:rPr>
        <w:footnoteReference w:id="103"/>
      </w:r>
      <w:r>
        <w:rPr>
          <w:rFonts w:ascii="Times New Roman" w:hAnsi="Times New Roman"/>
          <w:noProof/>
          <w:sz w:val="24"/>
        </w:rPr>
        <w:t>. Az elkobzások számának növekedése ellenére az Europol az emberkereskedelemmel kapcsolatos bűncselekményekre vonatkozó átfogó pénzügyi adatok hiányát jelentős információs hiányosságnak tekinti. E kihívás kezelése érdekében a bűnüldöző hatóságoknak jobb ismeretekkel kell rendelkezniük, javítaniuk kell a nemzetközi együttműködést, speciális erőforrásokba kell beruházniuk, a pénzügyi intézmények és közösségek körében pedig növelniük kell a tudatosságot</w:t>
      </w:r>
      <w:r>
        <w:rPr>
          <w:rFonts w:ascii="Times New Roman" w:hAnsi="Times New Roman" w:cs="Times New Roman"/>
          <w:noProof/>
          <w:sz w:val="24"/>
          <w:szCs w:val="24"/>
          <w:vertAlign w:val="superscript"/>
        </w:rPr>
        <w:footnoteReference w:id="104"/>
      </w:r>
      <w:r>
        <w:rPr>
          <w:rFonts w:ascii="Times New Roman" w:hAnsi="Times New Roman"/>
          <w:noProof/>
          <w:sz w:val="24"/>
        </w:rPr>
        <w:t>. Nemzeti szinten a tagállamok arról számoltak be, hogy az emberkereskedelemre vonatkozó mutatók megállapítása, a köz- és magánszféra közötti partnerségek létrehozása, illetve rendszeresebb együttműködés révén szorosabb együttműködést folytatnak a pénzügyi ágazattal</w:t>
      </w:r>
      <w:r>
        <w:rPr>
          <w:rFonts w:ascii="Times New Roman" w:eastAsia="Calibri" w:hAnsi="Times New Roman" w:cs="Times New Roman"/>
          <w:noProof/>
          <w:sz w:val="24"/>
          <w:szCs w:val="24"/>
          <w:vertAlign w:val="superscript"/>
        </w:rPr>
        <w:footnoteReference w:id="105"/>
      </w:r>
      <w:r>
        <w:rPr>
          <w:rFonts w:ascii="Times New Roman" w:hAnsi="Times New Roman"/>
          <w:noProof/>
          <w:sz w:val="24"/>
        </w:rPr>
        <w:t xml:space="preserve">. </w:t>
      </w:r>
    </w:p>
    <w:p w14:paraId="4DEE02E1" w14:textId="77777777" w:rsidR="00662705" w:rsidRPr="002E0B7E" w:rsidRDefault="00662705" w:rsidP="00662705">
      <w:pPr>
        <w:spacing w:after="0" w:line="240" w:lineRule="auto"/>
        <w:jc w:val="both"/>
        <w:rPr>
          <w:rFonts w:ascii="Times New Roman" w:eastAsia="Calibri" w:hAnsi="Times New Roman" w:cs="Times New Roman"/>
          <w:noProof/>
          <w:sz w:val="24"/>
          <w:szCs w:val="20"/>
        </w:rPr>
      </w:pPr>
    </w:p>
    <w:p w14:paraId="17696685" w14:textId="27EB5420" w:rsidR="00C10D07" w:rsidRPr="004F5D5D" w:rsidRDefault="004F5D5D" w:rsidP="004F5D5D">
      <w:pPr>
        <w:spacing w:after="180" w:line="240" w:lineRule="auto"/>
        <w:jc w:val="both"/>
        <w:rPr>
          <w:rFonts w:ascii="Times New Roman" w:eastAsia="Calibri" w:hAnsi="Times New Roman" w:cs="Times New Roman"/>
          <w:noProof/>
          <w:sz w:val="24"/>
          <w:szCs w:val="20"/>
        </w:rPr>
      </w:pPr>
      <w:r>
        <w:rPr>
          <w:rFonts w:ascii="Times New Roman" w:hAnsi="Times New Roman"/>
          <w:noProof/>
          <w:sz w:val="24"/>
        </w:rPr>
        <w:t xml:space="preserve">Uniós szinten a </w:t>
      </w:r>
      <w:r>
        <w:rPr>
          <w:rFonts w:ascii="Times New Roman" w:hAnsi="Times New Roman"/>
          <w:b/>
          <w:noProof/>
          <w:sz w:val="24"/>
        </w:rPr>
        <w:t xml:space="preserve">munkaerő-kizsákmányolás </w:t>
      </w:r>
      <w:r>
        <w:rPr>
          <w:rFonts w:ascii="Times New Roman" w:hAnsi="Times New Roman"/>
          <w:noProof/>
          <w:sz w:val="24"/>
        </w:rPr>
        <w:t xml:space="preserve">megelőzése </w:t>
      </w:r>
      <w:r>
        <w:rPr>
          <w:rFonts w:ascii="Times New Roman" w:hAnsi="Times New Roman"/>
          <w:b/>
          <w:noProof/>
          <w:sz w:val="24"/>
        </w:rPr>
        <w:t>és a csalárd álláshirdetések felderítése</w:t>
      </w:r>
      <w:r>
        <w:rPr>
          <w:rFonts w:ascii="Times New Roman" w:hAnsi="Times New Roman"/>
          <w:noProof/>
          <w:sz w:val="24"/>
        </w:rPr>
        <w:t xml:space="preserve"> érdekében az Europol útmutatót tett közzé, amelyben ismerteti a leggyakoribb mutatókat</w:t>
      </w:r>
      <w:r>
        <w:rPr>
          <w:rFonts w:ascii="Times New Roman" w:eastAsia="Times New Roman" w:hAnsi="Times New Roman" w:cs="Times New Roman"/>
          <w:noProof/>
          <w:kern w:val="0"/>
          <w:sz w:val="24"/>
          <w:szCs w:val="24"/>
          <w:vertAlign w:val="superscript"/>
          <w:lang w:val="en-GB"/>
        </w:rPr>
        <w:footnoteReference w:id="106"/>
      </w:r>
      <w:r>
        <w:rPr>
          <w:rFonts w:ascii="Times New Roman" w:hAnsi="Times New Roman"/>
          <w:noProof/>
          <w:sz w:val="24"/>
        </w:rPr>
        <w:t>. Az Európai Munkaügyi Hatóság támogatta a tagállami munkaügyi hatóságokat abban, hogy a be nem jelentett munkavégzés elleni küzdelem érdekében a bűnüldöző hatóságokkal határokon átnyúló, összehangolt és közös munkaügyi ellenőrzéseket végezzenek. Az EMPACT két operatív intézkedése kizárólag a munkaerő-kizsákmányolásra összpontosított, különös tekintettel az áldozatok támogatására és – nagy kockázatot jelentő ágazatként – a mezőgazdaságra.</w:t>
      </w:r>
    </w:p>
    <w:p w14:paraId="2DED4B55" w14:textId="36666D65" w:rsidR="00E13609" w:rsidRDefault="00662705" w:rsidP="00671A23">
      <w:pPr>
        <w:spacing w:after="0" w:line="240" w:lineRule="auto"/>
        <w:jc w:val="both"/>
        <w:rPr>
          <w:rFonts w:ascii="Times New Roman" w:hAnsi="Times New Roman" w:cs="Times New Roman"/>
          <w:noProof/>
          <w:sz w:val="24"/>
          <w:szCs w:val="24"/>
        </w:rPr>
      </w:pPr>
      <w:r>
        <w:rPr>
          <w:rFonts w:ascii="Times New Roman" w:hAnsi="Times New Roman"/>
          <w:b/>
          <w:noProof/>
          <w:sz w:val="24"/>
        </w:rPr>
        <w:t>A vagyonvisszaszerzésről és -elkobzásról szóló, 2024. április 24-i (EU) 2024/1260 irányelv</w:t>
      </w:r>
      <w:r>
        <w:rPr>
          <w:rFonts w:ascii="Times New Roman" w:hAnsi="Times New Roman" w:cs="Times New Roman"/>
          <w:noProof/>
          <w:sz w:val="24"/>
          <w:szCs w:val="24"/>
          <w:vertAlign w:val="superscript"/>
        </w:rPr>
        <w:footnoteReference w:id="107"/>
      </w:r>
      <w:r>
        <w:rPr>
          <w:rFonts w:ascii="Times New Roman" w:hAnsi="Times New Roman"/>
          <w:noProof/>
          <w:sz w:val="24"/>
        </w:rPr>
        <w:t xml:space="preserve"> megerősíti a rendőrség, az ügyészek és a bírák azon képességét, hogy felkutassák és elkobozzák a bűnszervezetek illegális tevékenységekből, többek között emberkereskedelemből származó nyereségét. Az irányelv továbbá megerősíti a határokon átnyúló rendőrségi együttműködést is azáltal, hogy a szervezett bűnözéssel kapcsolatos ügyekben kötelezővé teszi vagyonfelkutatási nyomozások megindítását. Bővíti a bíróságok tiltott vagyon elkobzásával kapcsolatos lehetőségeit, többek között lehetővé teszi a jogtalan vagyon bűnösséget megállapító ítélet nélküli elkobzását, amennyiben a bíróság meggyőződött arról, hogy a szóban forgó vagyon büntetendő cselekményből származik. Mindez a bűnszervezetek bűnözői tevékenységének ellehetetlenítését, struktúráik felszámolását és a további bűncselekmények elkövetésének megakadályozását hivatott lehetővé tenni.</w:t>
      </w:r>
    </w:p>
    <w:p w14:paraId="092438BA" w14:textId="77777777" w:rsidR="00E13609" w:rsidRPr="002E0B7E" w:rsidRDefault="00E13609" w:rsidP="00671A23">
      <w:pPr>
        <w:spacing w:after="0" w:line="240" w:lineRule="auto"/>
        <w:jc w:val="both"/>
        <w:rPr>
          <w:rFonts w:ascii="Times New Roman" w:hAnsi="Times New Roman" w:cs="Times New Roman"/>
          <w:noProof/>
          <w:sz w:val="24"/>
          <w:szCs w:val="24"/>
        </w:rPr>
      </w:pPr>
    </w:p>
    <w:p w14:paraId="7C606816" w14:textId="2B6D1C25" w:rsidR="00662705" w:rsidRDefault="00662705" w:rsidP="00671A23">
      <w:pPr>
        <w:spacing w:after="0" w:line="240" w:lineRule="auto"/>
        <w:jc w:val="both"/>
        <w:rPr>
          <w:rFonts w:ascii="Times New Roman" w:eastAsia="Calibri" w:hAnsi="Times New Roman" w:cs="Times New Roman"/>
          <w:noProof/>
          <w:kern w:val="0"/>
          <w:sz w:val="24"/>
          <w:szCs w:val="24"/>
          <w14:ligatures w14:val="none"/>
        </w:rPr>
      </w:pPr>
      <w:r>
        <w:rPr>
          <w:rFonts w:ascii="Times New Roman" w:hAnsi="Times New Roman"/>
          <w:noProof/>
          <w:sz w:val="24"/>
        </w:rPr>
        <w:t xml:space="preserve">A megújult </w:t>
      </w:r>
      <w:r>
        <w:rPr>
          <w:rFonts w:ascii="Times New Roman" w:hAnsi="Times New Roman"/>
          <w:b/>
          <w:noProof/>
          <w:sz w:val="24"/>
        </w:rPr>
        <w:t>Schengeni Információs Rendszer (SIS)</w:t>
      </w:r>
      <w:r>
        <w:rPr>
          <w:rStyle w:val="FootnoteReference"/>
          <w:rFonts w:ascii="Times New Roman" w:eastAsia="Calibri" w:hAnsi="Times New Roman" w:cs="Times New Roman"/>
          <w:b/>
          <w:bCs/>
          <w:noProof/>
          <w:kern w:val="0"/>
          <w:sz w:val="24"/>
          <w:szCs w:val="24"/>
          <w:lang w:val="en-GB"/>
        </w:rPr>
        <w:footnoteReference w:id="108"/>
      </w:r>
      <w:r>
        <w:rPr>
          <w:rFonts w:ascii="Times New Roman" w:hAnsi="Times New Roman"/>
          <w:noProof/>
          <w:sz w:val="24"/>
        </w:rPr>
        <w:t xml:space="preserve"> 2023. március 7-én lépett működésbe</w:t>
      </w:r>
      <w:r>
        <w:rPr>
          <w:rStyle w:val="FootnoteReference"/>
          <w:rFonts w:ascii="Times New Roman" w:eastAsia="Calibri" w:hAnsi="Times New Roman" w:cs="Times New Roman"/>
          <w:noProof/>
          <w:kern w:val="0"/>
          <w:sz w:val="24"/>
          <w:szCs w:val="24"/>
          <w:lang w:val="en-GB"/>
        </w:rPr>
        <w:footnoteReference w:id="109"/>
      </w:r>
      <w:r>
        <w:rPr>
          <w:rFonts w:ascii="Times New Roman" w:hAnsi="Times New Roman"/>
          <w:noProof/>
          <w:sz w:val="24"/>
        </w:rPr>
        <w:t xml:space="preserve"> és új figyelmeztetőjelzés-kategóriákat vezetett be. Ide tartoznak az olyan kiszolgáltatott személyekre vonatkozó úgynevezett „megelőző figyelmeztető jelzések”, akiknek az utazását meg kell akadályozni</w:t>
      </w:r>
      <w:r>
        <w:rPr>
          <w:rFonts w:ascii="Times New Roman" w:eastAsia="Calibri" w:hAnsi="Times New Roman" w:cs="Times New Roman"/>
          <w:noProof/>
          <w:sz w:val="24"/>
          <w:szCs w:val="24"/>
          <w:vertAlign w:val="superscript"/>
          <w:lang w:val="en-GB"/>
        </w:rPr>
        <w:footnoteReference w:id="110"/>
      </w:r>
      <w:r>
        <w:rPr>
          <w:rFonts w:ascii="Times New Roman" w:hAnsi="Times New Roman"/>
          <w:noProof/>
          <w:sz w:val="24"/>
        </w:rPr>
        <w:t>. A nagykorú kiszolgáltatott személyekre és gyermekekre vonatkozó figyelmeztető jelzéseket az illetékes nemzeti hatóságok – köztük az igazságügyi hatóságok – határozatát követően kell bevinni a SIS-be. Amennyiben a nagykorú kiszolgáltatott személy vagy gyermek emberkereskedelem veszélyének van kitéve, utazása megakadályozható, és az érintett személyt védelem alá kell helyezni. A SIS másik fontos jellemzője, hogy a rendszerbe bevitt személyek megtalálásának és azonosításának elősegítése érdekében új típusú biometrikus azonosítókkal (például tenyérnyomatokkal, ujjnyomokkal és tenyérnyomokkal, valamint eltűnt személyekkel kapcsolatos DNS-nyilvántartásokkal) egészült ki</w:t>
      </w:r>
      <w:r>
        <w:rPr>
          <w:rFonts w:ascii="Times New Roman" w:eastAsia="Calibri" w:hAnsi="Times New Roman" w:cs="Times New Roman"/>
          <w:noProof/>
          <w:kern w:val="0"/>
          <w:sz w:val="24"/>
          <w:szCs w:val="24"/>
          <w:vertAlign w:val="superscript"/>
          <w:lang w:val="en-US"/>
        </w:rPr>
        <w:footnoteReference w:id="111"/>
      </w:r>
      <w:r>
        <w:rPr>
          <w:rFonts w:ascii="Times New Roman" w:hAnsi="Times New Roman"/>
          <w:noProof/>
          <w:sz w:val="24"/>
        </w:rPr>
        <w:t>.</w:t>
      </w:r>
    </w:p>
    <w:p w14:paraId="085BCB09" w14:textId="77777777" w:rsidR="004F5D5D" w:rsidRPr="002E0B7E" w:rsidRDefault="004F5D5D" w:rsidP="00671A23">
      <w:pPr>
        <w:spacing w:after="0" w:line="240" w:lineRule="auto"/>
        <w:jc w:val="both"/>
        <w:rPr>
          <w:rFonts w:ascii="Times New Roman" w:eastAsia="Calibri" w:hAnsi="Times New Roman" w:cs="Times New Roman"/>
          <w:noProof/>
          <w:kern w:val="0"/>
          <w:sz w:val="24"/>
          <w:szCs w:val="24"/>
          <w14:ligatures w14:val="none"/>
        </w:rPr>
      </w:pPr>
    </w:p>
    <w:p w14:paraId="592C80CA" w14:textId="3CC0DDC4" w:rsidR="004F5D5D" w:rsidRPr="00662705" w:rsidRDefault="004F5D5D" w:rsidP="004F5D5D">
      <w:pPr>
        <w:spacing w:after="0" w:line="240" w:lineRule="auto"/>
        <w:jc w:val="both"/>
        <w:rPr>
          <w:rFonts w:ascii="Times New Roman" w:hAnsi="Times New Roman" w:cs="Times New Roman"/>
          <w:noProof/>
          <w:sz w:val="24"/>
          <w:szCs w:val="24"/>
        </w:rPr>
      </w:pPr>
      <w:r>
        <w:rPr>
          <w:rFonts w:ascii="Times New Roman" w:hAnsi="Times New Roman"/>
          <w:noProof/>
          <w:sz w:val="24"/>
        </w:rPr>
        <w:t>Végezetül annak ellenére, hogy 2021-ben és 2022-ben fokozódott a határokon átnyúló együttműködés és az Europol részt vett néhány összetettebb nyomozásban, jelentős különbség van az Europol által készített statisztikák és az Eurostat által közzétett hivatalos statisztikák között, különösen az áldozatok száma, életkora és állampolgársága, a kizsákmányolás formái és a gyanúsítottak száma tekintetében. Bár ezen eltéréseknek objektív okai vannak</w:t>
      </w:r>
      <w:r>
        <w:rPr>
          <w:rStyle w:val="FootnoteReference"/>
          <w:rFonts w:ascii="Times New Roman" w:hAnsi="Times New Roman" w:cs="Times New Roman"/>
          <w:noProof/>
          <w:sz w:val="24"/>
          <w:szCs w:val="24"/>
          <w:lang w:val="en-US"/>
        </w:rPr>
        <w:footnoteReference w:id="112"/>
      </w:r>
      <w:r>
        <w:rPr>
          <w:rFonts w:ascii="Times New Roman" w:hAnsi="Times New Roman"/>
          <w:noProof/>
          <w:sz w:val="24"/>
        </w:rPr>
        <w:t xml:space="preserve">, hangsúlyozni kell, hogy a tagállamoknak időben meg kell osztaniuk az Europollal a releváns információkat és adatokat. </w:t>
      </w:r>
    </w:p>
    <w:p w14:paraId="381D6867" w14:textId="77777777" w:rsidR="00A73282" w:rsidRPr="002E0B7E" w:rsidRDefault="00A73282" w:rsidP="00662705">
      <w:pPr>
        <w:autoSpaceDE w:val="0"/>
        <w:autoSpaceDN w:val="0"/>
        <w:spacing w:after="0" w:line="260" w:lineRule="exact"/>
        <w:ind w:right="-29"/>
        <w:jc w:val="both"/>
        <w:rPr>
          <w:rFonts w:ascii="Arial" w:eastAsia="Times New Roman" w:hAnsi="Arial" w:cs="Arial"/>
          <w:noProof/>
          <w:color w:val="44546A" w:themeColor="text2"/>
          <w:kern w:val="0"/>
          <w:sz w:val="20"/>
          <w:szCs w:val="20"/>
          <w14:ligatures w14:val="none"/>
        </w:rPr>
      </w:pPr>
    </w:p>
    <w:p w14:paraId="3AE21D0A" w14:textId="544C758E" w:rsidR="00662705" w:rsidRPr="00662705" w:rsidRDefault="00662705" w:rsidP="00B957A6">
      <w:pPr>
        <w:shd w:val="clear" w:color="auto" w:fill="FFFFFF"/>
        <w:spacing w:after="0" w:line="240" w:lineRule="auto"/>
        <w:ind w:firstLine="708"/>
        <w:jc w:val="both"/>
        <w:rPr>
          <w:rFonts w:ascii="Times New Roman" w:eastAsia="Times New Roman" w:hAnsi="Times New Roman" w:cs="Times New Roman"/>
          <w:b/>
          <w:bCs/>
          <w:noProof/>
          <w:kern w:val="0"/>
          <w:sz w:val="24"/>
          <w:szCs w:val="24"/>
          <w14:ligatures w14:val="none"/>
        </w:rPr>
      </w:pPr>
      <w:r>
        <w:rPr>
          <w:rFonts w:ascii="Times New Roman" w:hAnsi="Times New Roman"/>
          <w:b/>
          <w:noProof/>
          <w:sz w:val="24"/>
        </w:rPr>
        <w:t>3.3.2. Büntetőeljárások és bűnösséget megállapító ítéletek</w:t>
      </w:r>
    </w:p>
    <w:p w14:paraId="4E49F7CF" w14:textId="77777777" w:rsidR="00742F42" w:rsidRPr="002E0B7E" w:rsidRDefault="00742F42" w:rsidP="00662705">
      <w:pPr>
        <w:shd w:val="clear" w:color="auto" w:fill="FFFFFF"/>
        <w:spacing w:after="0" w:line="240" w:lineRule="auto"/>
        <w:jc w:val="both"/>
        <w:rPr>
          <w:rFonts w:ascii="Times New Roman" w:eastAsia="Times New Roman" w:hAnsi="Times New Roman" w:cs="Times New Roman"/>
          <w:b/>
          <w:bCs/>
          <w:noProof/>
          <w:kern w:val="0"/>
          <w:sz w:val="24"/>
          <w:szCs w:val="24"/>
          <w:lang w:eastAsia="en-IE"/>
          <w14:ligatures w14:val="none"/>
        </w:rPr>
      </w:pPr>
    </w:p>
    <w:p w14:paraId="5BBF39DE" w14:textId="704EDEBF" w:rsidR="00C56887" w:rsidRPr="00662705" w:rsidRDefault="00014247" w:rsidP="341E90BB">
      <w:pPr>
        <w:shd w:val="clear" w:color="auto" w:fill="FFFFFF" w:themeFill="background1"/>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Összességében nőtt az emberkereskedelem miatt büntetőeljárás alá vont és elítélt személyek száma. A 2021–2022-es időszakban összesen 8 804 személy ellen indult büntetőeljárás, és 4 728 személyt ítéltek el emberkereskedelem miatt. A büntetőeljárások száma 35 %-kal</w:t>
      </w:r>
      <w:r>
        <w:rPr>
          <w:rFonts w:ascii="Times New Roman" w:eastAsia="Times New Roman" w:hAnsi="Times New Roman" w:cs="Times New Roman"/>
          <w:noProof/>
          <w:kern w:val="0"/>
          <w:sz w:val="24"/>
          <w:szCs w:val="24"/>
          <w:vertAlign w:val="superscript"/>
          <w:lang w:val="en-IE" w:eastAsia="en-IE"/>
        </w:rPr>
        <w:footnoteReference w:id="113"/>
      </w:r>
      <w:r>
        <w:rPr>
          <w:rFonts w:ascii="Times New Roman" w:hAnsi="Times New Roman"/>
          <w:noProof/>
          <w:sz w:val="24"/>
        </w:rPr>
        <w:t>, a bűnösséget megállapító ítéletek száma pedig 57 %-kal</w:t>
      </w:r>
      <w:r>
        <w:rPr>
          <w:rFonts w:ascii="Times New Roman" w:eastAsia="Times New Roman" w:hAnsi="Times New Roman" w:cs="Times New Roman"/>
          <w:noProof/>
          <w:kern w:val="0"/>
          <w:sz w:val="24"/>
          <w:szCs w:val="24"/>
          <w:vertAlign w:val="superscript"/>
          <w:lang w:val="en-IE" w:eastAsia="en-IE"/>
        </w:rPr>
        <w:footnoteReference w:id="114"/>
      </w:r>
      <w:r>
        <w:rPr>
          <w:rFonts w:ascii="Times New Roman" w:hAnsi="Times New Roman"/>
          <w:noProof/>
          <w:sz w:val="24"/>
        </w:rPr>
        <w:t xml:space="preserve"> nőtt az előző, 2019–2020-as jelentési időszakhoz képest. A 2022-ben az uniós polgárok az összes büntetőeljárás alá vont személy 81 %-át és az összes elítélt személy 74 %-át tették ki. Mindazonáltal </w:t>
      </w:r>
      <w:r>
        <w:rPr>
          <w:rFonts w:ascii="Times New Roman" w:hAnsi="Times New Roman"/>
          <w:b/>
          <w:noProof/>
          <w:sz w:val="24"/>
        </w:rPr>
        <w:t>az általános növekedés ellenére a büntetőeljárások és a bűnösséget megállapító ítéletek abszolút száma továbbra is alacsony</w:t>
      </w:r>
      <w:r>
        <w:rPr>
          <w:rFonts w:ascii="Times New Roman" w:hAnsi="Times New Roman"/>
          <w:noProof/>
          <w:sz w:val="24"/>
        </w:rPr>
        <w:t>, különösen a regisztrált áldozatok és a gyanúsítottak számához képest.</w:t>
      </w:r>
    </w:p>
    <w:p w14:paraId="2C09535C" w14:textId="77777777" w:rsidR="00F62926" w:rsidRPr="002E0B7E" w:rsidRDefault="00F62926" w:rsidP="00AE2102">
      <w:pPr>
        <w:shd w:val="clear" w:color="auto" w:fill="FFFFFF" w:themeFill="background1"/>
        <w:spacing w:after="0" w:line="240" w:lineRule="auto"/>
        <w:jc w:val="both"/>
        <w:rPr>
          <w:rFonts w:ascii="Times New Roman" w:eastAsia="Times New Roman" w:hAnsi="Times New Roman" w:cs="Times New Roman"/>
          <w:noProof/>
          <w:sz w:val="24"/>
          <w:szCs w:val="24"/>
        </w:rPr>
      </w:pPr>
    </w:p>
    <w:p w14:paraId="18AFA4FE" w14:textId="3DA51A68" w:rsidR="00662705" w:rsidRPr="00662705" w:rsidRDefault="00662705" w:rsidP="00AE2102">
      <w:pPr>
        <w:shd w:val="clear" w:color="auto" w:fill="FFFFFF" w:themeFill="background1"/>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Az Eurojust által koordinált nyomozások és büntetőeljárások száma 2019 óta csökkenő tendenciát mutat</w:t>
      </w:r>
      <w:r>
        <w:rPr>
          <w:rFonts w:ascii="Times New Roman" w:eastAsia="Times New Roman" w:hAnsi="Times New Roman" w:cs="Times New Roman"/>
          <w:noProof/>
          <w:sz w:val="24"/>
          <w:szCs w:val="24"/>
          <w:vertAlign w:val="superscript"/>
        </w:rPr>
        <w:footnoteReference w:id="115"/>
      </w:r>
      <w:r>
        <w:rPr>
          <w:rFonts w:ascii="Times New Roman" w:hAnsi="Times New Roman"/>
          <w:noProof/>
          <w:sz w:val="24"/>
        </w:rPr>
        <w:t>, ami arra világíthat rá, hogy a tagállamok nehézségekbe ütköznek az ügyek uniós ügynökséghez történő továbbításával kapcsolatban vagy nem rendelkeznek ezzel kapcsolatos ismeretekkel. Ez annak is betudható, hogy a bűncselekmény emberkereskedelemként való azonosításához szükséges bizonyítékok összegyűjtése idő- és erőforrás-igényes, ami ahhoz vezethet, hogy a tagállamok az elkövetőkkel szemben inkább más bűncselekmények miatt indítanak nyomozását és büntetőeljárást.</w:t>
      </w:r>
    </w:p>
    <w:p w14:paraId="489AF037" w14:textId="18D8D30C" w:rsidR="00662705" w:rsidRPr="00662705" w:rsidRDefault="001310BE" w:rsidP="008964CA">
      <w:pPr>
        <w:spacing w:before="240" w:after="240" w:line="240" w:lineRule="auto"/>
        <w:jc w:val="both"/>
        <w:rPr>
          <w:rFonts w:ascii="Times New Roman" w:hAnsi="Times New Roman" w:cs="Times New Roman"/>
          <w:noProof/>
          <w:sz w:val="24"/>
          <w:szCs w:val="24"/>
        </w:rPr>
      </w:pPr>
      <w:r>
        <w:rPr>
          <w:rFonts w:ascii="Times New Roman" w:hAnsi="Times New Roman"/>
          <w:noProof/>
          <w:sz w:val="24"/>
        </w:rPr>
        <w:t>Egyes tagállamok a büntetőeljárás hatékonyságának növelése érdekében képzések, iránymutatások és egységes gyakorlatok formájában intézkedéseket hajtottak végre</w:t>
      </w:r>
      <w:r>
        <w:rPr>
          <w:rFonts w:ascii="Times New Roman" w:eastAsia="Times New Roman" w:hAnsi="Times New Roman" w:cs="Times New Roman"/>
          <w:noProof/>
          <w:sz w:val="24"/>
          <w:szCs w:val="24"/>
          <w:vertAlign w:val="superscript"/>
        </w:rPr>
        <w:footnoteReference w:id="116"/>
      </w:r>
      <w:r>
        <w:rPr>
          <w:rFonts w:ascii="Times New Roman" w:hAnsi="Times New Roman"/>
          <w:noProof/>
          <w:sz w:val="24"/>
        </w:rPr>
        <w:t xml:space="preserve">. Uniós szinten a jelentési időszakban a </w:t>
      </w:r>
      <w:r>
        <w:rPr>
          <w:rFonts w:ascii="Times New Roman" w:hAnsi="Times New Roman"/>
          <w:b/>
          <w:noProof/>
          <w:sz w:val="24"/>
        </w:rPr>
        <w:t>szakosodott ügyészekből álló fókuszcsoport</w:t>
      </w:r>
      <w:r>
        <w:rPr>
          <w:rFonts w:ascii="Times New Roman" w:hAnsi="Times New Roman"/>
          <w:noProof/>
          <w:sz w:val="24"/>
        </w:rPr>
        <w:t xml:space="preserve"> a létrehozása óta háromszor ülésezett (évente egyszer)</w:t>
      </w:r>
      <w:r>
        <w:rPr>
          <w:rFonts w:ascii="Times New Roman" w:hAnsi="Times New Roman" w:cs="Times New Roman"/>
          <w:noProof/>
          <w:sz w:val="24"/>
          <w:szCs w:val="24"/>
          <w:vertAlign w:val="superscript"/>
        </w:rPr>
        <w:footnoteReference w:id="117"/>
      </w:r>
      <w:r>
        <w:rPr>
          <w:rFonts w:ascii="Times New Roman" w:hAnsi="Times New Roman"/>
          <w:noProof/>
          <w:sz w:val="24"/>
        </w:rPr>
        <w:t xml:space="preserve"> az Eurojustnak és az emberkereskedelem elleni küzdelem európai uniós koordinátorának társelnöksége alatt. Az üléseken tagállami és harmadik országbeli ügyészek vettek részt a szakértelem megteremtése és az emberkereskedelem elleni igazságügyi együttműködés fokozása érdekében, különösen a digitális és pénzügyi nyomozás, a munkaerő- és szexuális kizsákmányolás, valamint a béranyaság kizsákmányolása terén. Az ügyészek és bírák képzéséről a CEPOL és az Európai Igazságügyi Képzési Hálózat jelenlétében is tárgyaltak. </w:t>
      </w:r>
    </w:p>
    <w:p w14:paraId="7AFE4605" w14:textId="77777777" w:rsidR="00662705" w:rsidRPr="00662705" w:rsidRDefault="00662705" w:rsidP="00B957A6">
      <w:pPr>
        <w:spacing w:after="0" w:line="240" w:lineRule="auto"/>
        <w:ind w:firstLine="454"/>
        <w:jc w:val="both"/>
        <w:rPr>
          <w:rFonts w:ascii="Times New Roman" w:eastAsia="Times New Roman" w:hAnsi="Times New Roman" w:cs="Times New Roman"/>
          <w:b/>
          <w:noProof/>
          <w:sz w:val="24"/>
          <w:szCs w:val="20"/>
        </w:rPr>
      </w:pPr>
      <w:r>
        <w:rPr>
          <w:rFonts w:ascii="Times New Roman" w:hAnsi="Times New Roman"/>
          <w:b/>
          <w:noProof/>
          <w:sz w:val="24"/>
        </w:rPr>
        <w:t xml:space="preserve">3.4. Az áldozatok korai azonosítása, segítése és védelme </w:t>
      </w:r>
    </w:p>
    <w:p w14:paraId="02587E7A" w14:textId="1CC43927" w:rsidR="00CF7D2D" w:rsidRPr="00662705" w:rsidRDefault="00662705" w:rsidP="00662705">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emberkereskedelem elleni irányelv</w:t>
      </w:r>
      <w:r>
        <w:rPr>
          <w:rFonts w:ascii="Times New Roman" w:hAnsi="Times New Roman"/>
          <w:noProof/>
          <w:sz w:val="24"/>
        </w:rPr>
        <w:t xml:space="preserve"> áldozatközpontú, a nemek közötti egyenlőség és a gyermekek szempontját figyelembe vevő megközelítést ír elő, amely a legkiszolgáltatottabbak, köztük a fogyatékossággal élő személyek és a migránsok javát szolgálja. A </w:t>
      </w:r>
      <w:r>
        <w:rPr>
          <w:rFonts w:ascii="Times New Roman" w:hAnsi="Times New Roman"/>
          <w:b/>
          <w:noProof/>
          <w:sz w:val="24"/>
        </w:rPr>
        <w:t>módosított irányelv</w:t>
      </w:r>
      <w:r>
        <w:rPr>
          <w:rFonts w:ascii="Times New Roman" w:hAnsi="Times New Roman"/>
          <w:noProof/>
          <w:sz w:val="24"/>
        </w:rPr>
        <w:t xml:space="preserve"> számos olyan újdonságot vezet be, amely jelentősen </w:t>
      </w:r>
      <w:r>
        <w:rPr>
          <w:rFonts w:ascii="Times New Roman" w:hAnsi="Times New Roman"/>
          <w:b/>
          <w:noProof/>
          <w:sz w:val="24"/>
        </w:rPr>
        <w:t>előmozdítja az áldozatok jogait</w:t>
      </w:r>
      <w:r>
        <w:rPr>
          <w:rFonts w:ascii="Times New Roman" w:hAnsi="Times New Roman"/>
          <w:noProof/>
          <w:sz w:val="24"/>
        </w:rPr>
        <w:t>. Többek között előírja a tagállamok számára, hogy hozzanak létre nemzeti áldozatkezelési mechanizmusokat, amelyeknek olyan átlátható, hozzáférhető és harmonizált keretet kell alkotniuk, amely megkönnyíti és javítja az áldozatok illetékes nemzeti szervezetekhez és szervekhez való átirányítását. Az áldozatkezelési mechanizmust valamennyi áldozatra és az emberkereskedelem bűncselekményének valamennyi formájára alkalmazni kell, figyelembe véve az áldozatok egyéni konkrét kiszolgáltatottságát. Ezen túlmenően a tagállamoknak az áldozatok határokon átnyúló átirányításával foglalkozó kapcsolattartó pontot kell kijelölniük. A módosított irányelv értelmében a tagállamoknak biztosítaniuk kell, hogy az emberkereskedelem áldozatai gyakorolhassák azon jogukat, hogy nemzetközi védelemért vagy azzal egyenértékű nemzeti jogállásért folyamodjanak. A tagállamoknak ezért biztosítaniuk kell, hogy az emberkereskedelem áldozatait segítő rendszer és a menekültügyi eljárások kiegészítsék, ne pedig kizárják egymást. Az áldozatkezelési mechanizmusoknak együtt kell működniük a menekültügyi hatóságokkal annak biztosítása érdekében, hogy az emberkereskedelem áldozatai – akik egyúttal nemzetközi védelemre is szorulnak – segítséget, támogatást és védelmet kapjanak.</w:t>
      </w:r>
    </w:p>
    <w:p w14:paraId="7B950D87" w14:textId="33903A98" w:rsidR="00662705" w:rsidRPr="00662705" w:rsidRDefault="00662705" w:rsidP="00662705">
      <w:pPr>
        <w:widowControl w:val="0"/>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Míg az emberkereskedelem elleni irányelv az emberkereskedelem áldozatainak sajátos szükségleteivel foglalkozik, </w:t>
      </w:r>
      <w:r>
        <w:rPr>
          <w:rFonts w:ascii="Times New Roman" w:hAnsi="Times New Roman"/>
          <w:b/>
          <w:noProof/>
          <w:color w:val="000000" w:themeColor="text1"/>
          <w:sz w:val="24"/>
        </w:rPr>
        <w:t>az áldozatok jogairól szóló irányelv</w:t>
      </w:r>
      <w:r>
        <w:rPr>
          <w:rStyle w:val="FootnoteReference"/>
          <w:rFonts w:ascii="Times New Roman" w:hAnsi="Times New Roman" w:cs="Times New Roman"/>
          <w:noProof/>
          <w:color w:val="000000" w:themeColor="text1"/>
          <w:sz w:val="24"/>
          <w:szCs w:val="24"/>
          <w:lang w:val="en-US"/>
        </w:rPr>
        <w:footnoteReference w:id="118"/>
      </w:r>
      <w:r>
        <w:rPr>
          <w:rFonts w:ascii="Times New Roman" w:hAnsi="Times New Roman"/>
          <w:noProof/>
          <w:color w:val="000000" w:themeColor="text1"/>
          <w:sz w:val="24"/>
        </w:rPr>
        <w:t xml:space="preserve"> az áldozatok jogaival kapcsolatos fő horizontális eszköz, amely minden bűncselekmény valamennyi áldozatára alkalmazandó. Az áldozatok jogaira vonatkozó uniós szabályok és azok végrehajtásának alapos értékelése alapján a Bizottság 2023. július 12-én javaslatot tett az áldozatok jogairól szóló irányelv felülvizsgálatára</w:t>
      </w:r>
      <w:r>
        <w:rPr>
          <w:rFonts w:ascii="Times New Roman" w:hAnsi="Times New Roman" w:cs="Times New Roman"/>
          <w:noProof/>
          <w:sz w:val="24"/>
          <w:szCs w:val="24"/>
          <w:vertAlign w:val="superscript"/>
        </w:rPr>
        <w:footnoteReference w:id="119"/>
      </w:r>
      <w:r>
        <w:rPr>
          <w:rFonts w:ascii="Times New Roman" w:hAnsi="Times New Roman"/>
          <w:noProof/>
          <w:color w:val="000000" w:themeColor="text1"/>
          <w:sz w:val="24"/>
        </w:rPr>
        <w:t>. A javaslat célja, hogy az Unióban tovább erősítse az áldozatok jogait, ideértve a legkiszolgáltatottabb áldozatok, például az emberkereskedelem áldozatainak jogait is. A társjogalkotók jelenleg is tárgyalásokat folytatnak.</w:t>
      </w:r>
      <w:r>
        <w:rPr>
          <w:noProof/>
        </w:rPr>
        <w:t xml:space="preserve"> </w:t>
      </w:r>
      <w:r>
        <w:rPr>
          <w:rFonts w:ascii="Times New Roman" w:hAnsi="Times New Roman"/>
          <w:noProof/>
          <w:color w:val="000000" w:themeColor="text1"/>
          <w:sz w:val="24"/>
        </w:rPr>
        <w:t xml:space="preserve">Emellett a Bizottság továbbra is dolgozik </w:t>
      </w:r>
      <w:r>
        <w:rPr>
          <w:rFonts w:ascii="Times New Roman" w:hAnsi="Times New Roman"/>
          <w:b/>
          <w:noProof/>
          <w:color w:val="000000" w:themeColor="text1"/>
          <w:sz w:val="24"/>
        </w:rPr>
        <w:t>az áldozatok jogairól szóló uniós stratégia (2020–2025)</w:t>
      </w:r>
      <w:r>
        <w:rPr>
          <w:rStyle w:val="FootnoteReference"/>
          <w:rFonts w:ascii="Times New Roman" w:hAnsi="Times New Roman" w:cs="Times New Roman"/>
          <w:b/>
          <w:bCs/>
          <w:noProof/>
          <w:color w:val="000000" w:themeColor="text1"/>
          <w:sz w:val="24"/>
          <w:szCs w:val="24"/>
          <w:lang w:val="en-US"/>
        </w:rPr>
        <w:footnoteReference w:id="120"/>
      </w:r>
      <w:r>
        <w:rPr>
          <w:rFonts w:ascii="Times New Roman" w:hAnsi="Times New Roman"/>
          <w:noProof/>
          <w:color w:val="000000" w:themeColor="text1"/>
          <w:sz w:val="24"/>
        </w:rPr>
        <w:t xml:space="preserve"> végrehajtásán, bár a stratégia horizontális intézkedéseinek többségét már végrehajtotta.</w:t>
      </w:r>
    </w:p>
    <w:p w14:paraId="2034ED94" w14:textId="017E48B6" w:rsidR="00662705" w:rsidRDefault="00DC650B" w:rsidP="00662705">
      <w:pPr>
        <w:tabs>
          <w:tab w:val="left" w:pos="2160"/>
        </w:tabs>
        <w:spacing w:before="120" w:after="0" w:line="240" w:lineRule="auto"/>
        <w:jc w:val="both"/>
        <w:rPr>
          <w:rFonts w:ascii="Times New Roman" w:eastAsiaTheme="minorEastAsia" w:hAnsi="Times New Roman" w:cs="Times New Roman"/>
          <w:noProof/>
          <w:color w:val="000000" w:themeColor="text1"/>
          <w:kern w:val="0"/>
          <w:sz w:val="24"/>
          <w:szCs w:val="24"/>
          <w14:ligatures w14:val="none"/>
        </w:rPr>
      </w:pPr>
      <w:r>
        <w:rPr>
          <w:rFonts w:ascii="Times New Roman" w:hAnsi="Times New Roman"/>
          <w:noProof/>
          <w:color w:val="000000" w:themeColor="text1"/>
          <w:sz w:val="24"/>
        </w:rPr>
        <w:t xml:space="preserve">Emellett </w:t>
      </w:r>
      <w:r>
        <w:rPr>
          <w:rFonts w:ascii="Times New Roman" w:hAnsi="Times New Roman"/>
          <w:b/>
          <w:noProof/>
          <w:color w:val="000000" w:themeColor="text1"/>
          <w:sz w:val="24"/>
        </w:rPr>
        <w:t>a nőkkel szembeni erőszak és a kapcsolati erőszak elleni küzdelemről szóló (EU) 2024/1385 irányelv</w:t>
      </w:r>
      <w:r>
        <w:rPr>
          <w:rFonts w:ascii="Times New Roman" w:eastAsiaTheme="minorEastAsia" w:hAnsi="Times New Roman" w:cs="Times New Roman"/>
          <w:noProof/>
          <w:kern w:val="0"/>
          <w:sz w:val="24"/>
          <w:szCs w:val="24"/>
          <w:vertAlign w:val="superscript"/>
          <w:lang w:val="en-GB"/>
        </w:rPr>
        <w:footnoteReference w:id="121"/>
      </w:r>
      <w:r>
        <w:rPr>
          <w:rFonts w:ascii="Times New Roman" w:hAnsi="Times New Roman"/>
          <w:noProof/>
          <w:color w:val="000000" w:themeColor="text1"/>
          <w:sz w:val="24"/>
        </w:rPr>
        <w:t xml:space="preserve"> elismeri, hogy a szexuális kizsákmányolás céljából folytatott emberkereskedelem bűncselekménye a nők elleni erőszak egyik formája. A nőkkel szembeni erőszak és a kapcsolati erőszak elleni küzdelemről szóló irányelvben előirányzott konkrét megelőzési, védelmi és támogatási intézkedések kiegészítik a 2011/36/EU irányelvben meghatározott intézkedéseket.</w:t>
      </w:r>
    </w:p>
    <w:p w14:paraId="772CBB42" w14:textId="7BEC4A31" w:rsidR="00086927" w:rsidRPr="00490060" w:rsidRDefault="00086927" w:rsidP="00086927">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rPr>
        <w:t xml:space="preserve">A Bizottság 2024. április 23-án </w:t>
      </w:r>
      <w:r>
        <w:rPr>
          <w:rFonts w:ascii="Times New Roman" w:hAnsi="Times New Roman"/>
          <w:b/>
          <w:noProof/>
          <w:color w:val="000000"/>
          <w:sz w:val="24"/>
        </w:rPr>
        <w:t>ajánlást</w:t>
      </w:r>
      <w:r>
        <w:rPr>
          <w:rFonts w:ascii="Times New Roman" w:hAnsi="Times New Roman"/>
          <w:noProof/>
          <w:color w:val="000000"/>
          <w:sz w:val="24"/>
        </w:rPr>
        <w:t xml:space="preserve"> fogadott el </w:t>
      </w:r>
      <w:r>
        <w:rPr>
          <w:rFonts w:ascii="Times New Roman" w:hAnsi="Times New Roman"/>
          <w:b/>
          <w:noProof/>
          <w:color w:val="000000"/>
          <w:sz w:val="24"/>
        </w:rPr>
        <w:t>az integrált gyermekvédelmi rendszerekről</w:t>
      </w:r>
      <w:r>
        <w:rPr>
          <w:rStyle w:val="FootnoteReference"/>
          <w:rFonts w:ascii="Times New Roman" w:hAnsi="Times New Roman" w:cs="Times New Roman"/>
          <w:noProof/>
          <w:color w:val="000000"/>
          <w:kern w:val="0"/>
          <w:sz w:val="24"/>
          <w:szCs w:val="24"/>
          <w:lang w:val="en-IE"/>
        </w:rPr>
        <w:footnoteReference w:id="122"/>
      </w:r>
      <w:r>
        <w:rPr>
          <w:rFonts w:ascii="Times New Roman" w:hAnsi="Times New Roman"/>
          <w:noProof/>
          <w:color w:val="000000"/>
          <w:sz w:val="24"/>
        </w:rPr>
        <w:t>. Az ajánlás abban kívánja támogatni a tagállamokat, hogy a gyermekek szükségleteinek és mindenek felett álló érdekének megfelelően fejlesszék és megerősítsék gyermekvédelmi rendszereiket. Kiváltképp a különböző szintű hatóságok, a különböző területeken tevékenykedő szakemberek, valamint a nemzetközi és civil társadalmi szervezetek közötti koordinációt ösztönzi. Az összes ilyen gyermekvédelmi szereplőnek együtt kell működnie annak érdekében, hogy – többek között a digitális világban is – következetesen és módszeresen védjék a gyermekeket az erőszak minden (fizikai, mentális) formájától, beleértve az emberkereskedelmet is.</w:t>
      </w:r>
    </w:p>
    <w:p w14:paraId="5746C4CF" w14:textId="3F24A4F9" w:rsidR="00662705" w:rsidRPr="00662705" w:rsidRDefault="001B0C02" w:rsidP="00662705">
      <w:pPr>
        <w:autoSpaceDE w:val="0"/>
        <w:autoSpaceDN w:val="0"/>
        <w:adjustRightInd w:val="0"/>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jogszabályi kereten túl az uniós ügynökségek beszámoltak az áldozatok korai azonosításával és védelmével kapcsolatos intézkedéseikről. Az Európai Unió Menekültügyi Ügynöksége (EUAA) továbbra is nyújtott képzést a tagállamok menekültügyi és befogadási hatóságainak, valamint a nevükben tevékenykedő egyéb érdekelt feleknek. E képzés többek között az emberkereskedelem megelőzésére összpontosított, hogy felkészítse a tisztviselőket és más érintett szereplőket arra, hogy miként azonosítsák az emberkereskedelem kockázatait, illetve annak kényszerítő és ösztönző tényezőit, valamint hogyan kommunikáljanak a potenciális áldozatokkal, többek között digitális csatornákon keresztül</w:t>
      </w:r>
      <w:r>
        <w:rPr>
          <w:rFonts w:ascii="Times New Roman" w:hAnsi="Times New Roman" w:cs="Times New Roman"/>
          <w:noProof/>
          <w:sz w:val="24"/>
          <w:szCs w:val="24"/>
          <w:vertAlign w:val="superscript"/>
        </w:rPr>
        <w:footnoteReference w:id="123"/>
      </w:r>
      <w:r>
        <w:rPr>
          <w:rFonts w:ascii="Times New Roman" w:hAnsi="Times New Roman"/>
          <w:noProof/>
          <w:sz w:val="24"/>
        </w:rPr>
        <w:t>. Az Európai Határ- és Partvédelmi Ügynökség (Frontex) több képzést is biztosított a határőrök számára, valamint együttműködést alakított ki a közlekedési vállalatokkal és a rövid távú bérbeadással foglalkozó vállalkozásokkal</w:t>
      </w:r>
      <w:r>
        <w:rPr>
          <w:rStyle w:val="FootnoteReference"/>
          <w:rFonts w:ascii="Times New Roman" w:eastAsia="Times New Roman" w:hAnsi="Times New Roman" w:cs="Times New Roman"/>
          <w:noProof/>
          <w:sz w:val="24"/>
          <w:szCs w:val="24"/>
          <w:lang w:val="en-GB"/>
        </w:rPr>
        <w:footnoteReference w:id="124"/>
      </w:r>
      <w:r>
        <w:rPr>
          <w:rFonts w:ascii="Times New Roman" w:hAnsi="Times New Roman"/>
          <w:noProof/>
          <w:sz w:val="24"/>
        </w:rPr>
        <w:t>. Ezen együttműködés keretében a vállalkozásokat felkérték, hogy kapcsolódjanak be a Frontex képzéseibe, és vegyenek részt az arról szóló tájékoztató előadásokon, hogy miként támogathatja a magánszektor a bűnüldözési közösséget.</w:t>
      </w:r>
    </w:p>
    <w:p w14:paraId="040CF99B" w14:textId="7BD9B06E" w:rsidR="000B402D" w:rsidRDefault="009F04D3" w:rsidP="00662705">
      <w:pPr>
        <w:autoSpaceDE w:val="0"/>
        <w:autoSpaceDN w:val="0"/>
        <w:adjustRightInd w:val="0"/>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Nemzeti szinten minden tagállam számolt be annak biztosítását célzó intézkedésekről, hogy minden azonosított áldozat – a sajátos nemi szükségleteket és a gyermekek sajátos igényeit figyelembe véve – segítséget, támogatást és védelmet kapjon. Ezek az intézkedések magukban foglalták a légitársaságokkal és a repülőterekkel való strukturált együttműködést, beleértve a légitársaságok személyzetének képzését is</w:t>
      </w:r>
      <w:r>
        <w:rPr>
          <w:rFonts w:ascii="Times New Roman" w:eastAsia="Times New Roman" w:hAnsi="Times New Roman" w:cs="Times New Roman"/>
          <w:noProof/>
          <w:sz w:val="24"/>
          <w:szCs w:val="24"/>
          <w:vertAlign w:val="superscript"/>
        </w:rPr>
        <w:footnoteReference w:id="125"/>
      </w:r>
      <w:r>
        <w:rPr>
          <w:rFonts w:ascii="Times New Roman" w:hAnsi="Times New Roman"/>
          <w:noProof/>
          <w:sz w:val="24"/>
        </w:rPr>
        <w:t>. Emellett kétoldalú együttműködést alakítottak ki konkrét területeken: ilyen például a munkaerő-kizsákmányolás áldozatainak átirányítása terén folytatott német-bolgár együttműködés. Ezenkívül a tagállamok biztosították, hogy további finanszírozás álljon rendelkezésre a nem hivatalos vagy hivatalos nemzeti áldozatkezelési mechanizmusok fejlesztésére</w:t>
      </w:r>
      <w:r>
        <w:rPr>
          <w:rFonts w:ascii="Times New Roman" w:eastAsia="Times New Roman" w:hAnsi="Times New Roman" w:cs="Times New Roman"/>
          <w:noProof/>
          <w:sz w:val="24"/>
          <w:szCs w:val="24"/>
          <w:vertAlign w:val="superscript"/>
        </w:rPr>
        <w:footnoteReference w:id="126"/>
      </w:r>
      <w:r>
        <w:rPr>
          <w:rFonts w:ascii="Times New Roman" w:hAnsi="Times New Roman"/>
          <w:noProof/>
          <w:sz w:val="24"/>
        </w:rPr>
        <w:t>, vagy az emberkereskedelem áldozatai számára kialakított speciális menedékhelyek létrehozására, ideértve a férfiak számára kialakított speciális menedékhelyeket is</w:t>
      </w:r>
      <w:r>
        <w:rPr>
          <w:rFonts w:ascii="Times New Roman" w:eastAsia="Times New Roman" w:hAnsi="Times New Roman" w:cs="Times New Roman"/>
          <w:noProof/>
          <w:sz w:val="24"/>
          <w:szCs w:val="24"/>
          <w:vertAlign w:val="superscript"/>
        </w:rPr>
        <w:footnoteReference w:id="127"/>
      </w:r>
      <w:r>
        <w:rPr>
          <w:rFonts w:ascii="Times New Roman" w:hAnsi="Times New Roman"/>
          <w:noProof/>
          <w:sz w:val="24"/>
        </w:rPr>
        <w:t>. Végezetül több tagállam is megerősítette az áldozatoknak biztosított jogi segítségnyújtást, hogy kártérítésben részesülhessenek, valamint brosúrákat és iránymutatásokat dolgozott ki</w:t>
      </w:r>
      <w:r>
        <w:rPr>
          <w:rFonts w:ascii="Times New Roman" w:eastAsia="Times New Roman" w:hAnsi="Times New Roman" w:cs="Times New Roman"/>
          <w:noProof/>
          <w:sz w:val="24"/>
          <w:szCs w:val="24"/>
          <w:vertAlign w:val="superscript"/>
        </w:rPr>
        <w:footnoteReference w:id="128"/>
      </w:r>
      <w:r>
        <w:rPr>
          <w:rFonts w:ascii="Times New Roman" w:hAnsi="Times New Roman"/>
          <w:noProof/>
          <w:sz w:val="24"/>
        </w:rPr>
        <w:t>. Több tagállam</w:t>
      </w:r>
      <w:r>
        <w:rPr>
          <w:rStyle w:val="FootnoteReference"/>
          <w:rFonts w:ascii="Times New Roman" w:eastAsia="Times New Roman" w:hAnsi="Times New Roman" w:cs="Times New Roman"/>
          <w:noProof/>
          <w:sz w:val="24"/>
          <w:szCs w:val="24"/>
          <w:lang w:val="en-GB"/>
        </w:rPr>
        <w:footnoteReference w:id="129"/>
      </w:r>
      <w:r>
        <w:rPr>
          <w:rFonts w:ascii="Times New Roman" w:hAnsi="Times New Roman"/>
          <w:noProof/>
          <w:sz w:val="24"/>
        </w:rPr>
        <w:t xml:space="preserve"> 250 EUR-tól 65 000 EUR-ig terjedő összegben ítélt meg kártérítést az emberkereskedelem áldozatainak az elszenvedett fizikai sérülésekért, anyagi károkért – beleértve a ki nem fizetett béreket is – és erkölcsi károkért. </w:t>
      </w:r>
    </w:p>
    <w:p w14:paraId="4AA63CFA" w14:textId="3BCBC6AE" w:rsidR="00F62926" w:rsidRPr="00662705" w:rsidRDefault="00662705" w:rsidP="00662705">
      <w:pPr>
        <w:autoSpaceDE w:val="0"/>
        <w:autoSpaceDN w:val="0"/>
        <w:adjustRightInd w:val="0"/>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civil társadalmi szervezetek emellett különféle jogi tanácsadási szolgáltatást kínáltak az emberkereskedelem esetleges áldozatai számára, továbbá védelmet, menedéket, orvosi, pszichológiai és pszichiátriai támogatást, valamint oktatást biztosítottak.</w:t>
      </w:r>
    </w:p>
    <w:p w14:paraId="099D560E" w14:textId="77777777" w:rsidR="00662705" w:rsidRPr="00662705" w:rsidRDefault="00662705" w:rsidP="00662705">
      <w:pPr>
        <w:spacing w:before="160" w:line="240" w:lineRule="auto"/>
        <w:ind w:left="360"/>
        <w:jc w:val="both"/>
        <w:rPr>
          <w:rFonts w:ascii="Times New Roman" w:eastAsia="Times New Roman" w:hAnsi="Times New Roman" w:cs="Times New Roman"/>
          <w:b/>
          <w:bCs/>
          <w:noProof/>
          <w:sz w:val="24"/>
          <w:szCs w:val="24"/>
        </w:rPr>
      </w:pPr>
      <w:r>
        <w:rPr>
          <w:rFonts w:ascii="Times New Roman" w:hAnsi="Times New Roman"/>
          <w:b/>
          <w:noProof/>
          <w:sz w:val="24"/>
        </w:rPr>
        <w:t>3.5. Nemzetközi dimenzió</w:t>
      </w:r>
    </w:p>
    <w:p w14:paraId="73FB1B0B" w14:textId="649A3D71" w:rsidR="00662705" w:rsidRPr="00662705" w:rsidRDefault="00262993"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harmadik országokkal és nemzetközi szervezetekkel kialakított partnerségek nélkülözhetetlenek az emberkereskedelemmel foglalkozó transznacionális bűnözői hálózatok elleni küzdelemhez. Lehetővé teszik a szorosabb együttműködést és az együttes fellépést igénylő közös kihívások és megoldások azonosítását. Az Unióban az áldozatok 54 %-a nem uniós állampolgár, ami a korábbi évekhez képest változó tendenciát mutat. 2022-ben a nem uniós áldozatok aránya 63 % volt. Ez a növekedés valószínűleg a migránsokat érintő emberkereskedelemmel kapcsolatos ügyek számának növekedésével, a migrációs áramlásokkal és/vagy a migráns áldozatok felderítésének annak betudható javulásával függ össze, hogy nőtt az emberkereskedelemmel kapcsolatos tudatosság és több nyomozást folytatnak.</w:t>
      </w:r>
    </w:p>
    <w:p w14:paraId="03496B89" w14:textId="039DCC78" w:rsidR="00662705" w:rsidRPr="00662705" w:rsidRDefault="00662705"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jelentési időszakban tovább erősödött a külső dimenzió: az emberkereskedelem elleni politikákat beépítették a migránscsempészés elleni küzdelemre irányuló tevékenységekbe, a tagjelölt és bővítési országokkal folytatott bővítési folyamatba, a harmadik országokkal folytatott emberi jogi, biztonsági és migrációs párbeszédekbe, valamint számos külpolitikai eszközbe és a partnerországokkal folytatott operatív együttműködésbe. </w:t>
      </w:r>
    </w:p>
    <w:p w14:paraId="57E77BCF" w14:textId="2ED15912" w:rsidR="00FF11A0" w:rsidRPr="009B6440" w:rsidRDefault="00662705" w:rsidP="00662705">
      <w:pPr>
        <w:spacing w:before="160" w:line="240" w:lineRule="auto"/>
        <w:jc w:val="both"/>
        <w:rPr>
          <w:rFonts w:ascii="Times New Roman" w:hAnsi="Times New Roman" w:cs="Times New Roman"/>
          <w:noProof/>
          <w:sz w:val="24"/>
          <w:szCs w:val="24"/>
        </w:rPr>
      </w:pPr>
      <w:r>
        <w:rPr>
          <w:rFonts w:ascii="Times New Roman" w:hAnsi="Times New Roman"/>
          <w:noProof/>
          <w:sz w:val="24"/>
        </w:rPr>
        <w:t>A nemzeti koordinátorok és előadók uniós hálózatának 2023. április 25–26-i</w:t>
      </w:r>
      <w:r>
        <w:rPr>
          <w:rStyle w:val="FootnoteReference"/>
          <w:rFonts w:ascii="Times New Roman" w:eastAsia="Times New Roman" w:hAnsi="Times New Roman" w:cs="Times New Roman"/>
          <w:noProof/>
          <w:sz w:val="24"/>
          <w:szCs w:val="24"/>
          <w:lang w:val="en-GB"/>
        </w:rPr>
        <w:footnoteReference w:id="130"/>
      </w:r>
      <w:r>
        <w:rPr>
          <w:rFonts w:ascii="Times New Roman" w:hAnsi="Times New Roman"/>
          <w:noProof/>
          <w:sz w:val="24"/>
        </w:rPr>
        <w:t xml:space="preserve"> és 2024. december 2–3-i</w:t>
      </w:r>
      <w:r>
        <w:rPr>
          <w:rStyle w:val="FootnoteReference"/>
          <w:rFonts w:ascii="Times New Roman" w:eastAsia="Times New Roman" w:hAnsi="Times New Roman" w:cs="Times New Roman"/>
          <w:noProof/>
          <w:sz w:val="24"/>
          <w:szCs w:val="24"/>
          <w:lang w:val="en-GB"/>
        </w:rPr>
        <w:footnoteReference w:id="131"/>
      </w:r>
      <w:r>
        <w:rPr>
          <w:rFonts w:ascii="Times New Roman" w:hAnsi="Times New Roman"/>
          <w:noProof/>
          <w:sz w:val="24"/>
        </w:rPr>
        <w:t xml:space="preserve"> féléves ülésein is a nemzetközi dimenzió állt a középpontban. A 2023. április 25–26-i megbeszéléseket követően az Európai Migrációs Hálózat tanulmányt készít azzal a céllal, hogy megvizsgálja a harmadik országokkal közösen végrehajtott emberkereskedelem elleni politikákat. A 2024. december 2–3-i megbeszélésnek, beleértve az emberkereskedelem elleni uniós civil társadalmi platformmal együttes ülést is, az emberkereskedelem és a migráció, így a migránscsempészés közötti kapcsolat volt a kiemelt témája. Az egyik ülésszak kifejezetten az Ukrajna elleni katonai agresszió elől menekülők védelmével és oltalmazásával foglalkozott. </w:t>
      </w:r>
    </w:p>
    <w:p w14:paraId="674A1DCD" w14:textId="378FCEA8" w:rsidR="00A338CF" w:rsidRDefault="2FE42E08" w:rsidP="3BF36259">
      <w:pPr>
        <w:spacing w:line="240" w:lineRule="auto"/>
        <w:ind w:right="-29"/>
        <w:jc w:val="both"/>
        <w:rPr>
          <w:rFonts w:ascii="Times New Roman" w:eastAsia="Times New Roman" w:hAnsi="Times New Roman" w:cs="Times New Roman"/>
          <w:noProof/>
          <w:sz w:val="24"/>
          <w:szCs w:val="24"/>
        </w:rPr>
      </w:pPr>
      <w:r>
        <w:rPr>
          <w:rFonts w:ascii="Times New Roman" w:hAnsi="Times New Roman"/>
          <w:noProof/>
          <w:sz w:val="24"/>
        </w:rPr>
        <w:t xml:space="preserve">Az emberkereskedelem szorosan kapcsolódik a </w:t>
      </w:r>
      <w:r>
        <w:rPr>
          <w:rFonts w:ascii="Times New Roman" w:hAnsi="Times New Roman"/>
          <w:b/>
          <w:noProof/>
          <w:sz w:val="24"/>
        </w:rPr>
        <w:t>migránscsempészéshez</w:t>
      </w:r>
      <w:r>
        <w:rPr>
          <w:rFonts w:ascii="Times New Roman" w:hAnsi="Times New Roman"/>
          <w:noProof/>
          <w:sz w:val="24"/>
        </w:rPr>
        <w:t>, mivel a migránsok vagy családjaik gyakran adósrabszolgaságban találják magukat, hogy kifizessék az embercsempészeket, ami kizsákmányoláshoz vezet. Migránsokat kizsákmányolás céljából is csempészhetnek. Ezért a migránscsempészés elleni küzdelemmel kapcsolatos jogalkotási, operatív és finanszírozási intézkedéseket az irreguláris migrációval összefüggő emberkereskedelem elleni küzdelemmel együtt kell kezelni</w:t>
      </w:r>
      <w:r>
        <w:rPr>
          <w:rStyle w:val="FootnoteReference"/>
          <w:rFonts w:ascii="Times New Roman" w:eastAsia="Times New Roman" w:hAnsi="Times New Roman" w:cs="Times New Roman"/>
          <w:noProof/>
          <w:sz w:val="24"/>
          <w:szCs w:val="24"/>
          <w:lang w:val="en-GB"/>
        </w:rPr>
        <w:footnoteReference w:id="132"/>
      </w:r>
      <w:r>
        <w:rPr>
          <w:rFonts w:ascii="Times New Roman" w:hAnsi="Times New Roman"/>
          <w:noProof/>
          <w:sz w:val="24"/>
        </w:rPr>
        <w:t>. Az EMPACT migránscsempészéssel és emberkereskedelemmel kapcsolatos operatív intézkedései több harmadik ország</w:t>
      </w:r>
      <w:r>
        <w:rPr>
          <w:rStyle w:val="FootnoteReference"/>
          <w:rFonts w:ascii="Times New Roman" w:eastAsia="Times New Roman" w:hAnsi="Times New Roman" w:cs="Times New Roman"/>
          <w:noProof/>
          <w:sz w:val="24"/>
          <w:szCs w:val="24"/>
          <w:lang w:val="en-GB"/>
        </w:rPr>
        <w:footnoteReference w:id="133"/>
      </w:r>
      <w:r>
        <w:rPr>
          <w:rFonts w:ascii="Times New Roman" w:hAnsi="Times New Roman"/>
          <w:noProof/>
          <w:sz w:val="24"/>
        </w:rPr>
        <w:t xml:space="preserve"> részvételét irányozzák elő, és olyan intézkedéseket foglalnak magukban, amelyek az Unióban azonosított áldozatok és emberkereskedők főbb, Unión kívüli származási területeire vagy országaira összpontosítanak. </w:t>
      </w:r>
    </w:p>
    <w:p w14:paraId="049F9CC5" w14:textId="23EA48C2" w:rsidR="00662705" w:rsidRPr="00000BF6" w:rsidRDefault="2FE42E08" w:rsidP="00000BF6">
      <w:pPr>
        <w:pStyle w:val="pf0"/>
        <w:jc w:val="both"/>
        <w:rPr>
          <w:rFonts w:ascii="Arial" w:hAnsi="Arial" w:cs="Arial"/>
          <w:noProof/>
          <w:sz w:val="20"/>
          <w:szCs w:val="20"/>
        </w:rPr>
      </w:pPr>
      <w:r>
        <w:rPr>
          <w:noProof/>
        </w:rPr>
        <w:t xml:space="preserve">Emellett a Bizottság 2023. november 28-án </w:t>
      </w:r>
      <w:hyperlink r:id="rId16" w:history="1">
        <w:r>
          <w:rPr>
            <w:noProof/>
          </w:rPr>
          <w:t>migránscsempészés elleni küzdelemre irányuló csomagot terjesztett elő</w:t>
        </w:r>
      </w:hyperlink>
      <w:r>
        <w:rPr>
          <w:noProof/>
        </w:rPr>
        <w:t>, amely az Unióba való jogellenes beutazáshoz, valamint az Unión belüli jogellenes átutazáshoz és tartózkodáshoz történő segítségnyújtás megelőzésére és az ellene folytatott küzdelemre vonatkozó minimumszabályok megállapításáról szóló új irányelvre irányuló javaslatból</w:t>
      </w:r>
      <w:r>
        <w:rPr>
          <w:rStyle w:val="FootnoteReference"/>
          <w:noProof/>
          <w:lang w:val="en-GB"/>
        </w:rPr>
        <w:footnoteReference w:id="134"/>
      </w:r>
      <w:r>
        <w:rPr>
          <w:noProof/>
        </w:rPr>
        <w:t>, a rendőrségi együttműködésnek és az Europol migránscsempészés és emberkereskedelem elleni küzdelemben betöltött szerepének megerősítéséről szóló rendeletre irányuló javaslatból</w:t>
      </w:r>
      <w:r>
        <w:rPr>
          <w:rStyle w:val="FootnoteReference"/>
          <w:noProof/>
          <w:color w:val="000000" w:themeColor="text1"/>
          <w:lang w:val="en-US"/>
        </w:rPr>
        <w:footnoteReference w:id="135"/>
      </w:r>
      <w:r>
        <w:rPr>
          <w:noProof/>
        </w:rPr>
        <w:t xml:space="preserve">, valamint a migránscsempészés elleni globális szövetségre irányuló </w:t>
      </w:r>
      <w:hyperlink r:id="rId17" w:history="1">
        <w:r>
          <w:rPr>
            <w:noProof/>
          </w:rPr>
          <w:t>cselekvési felhívásból</w:t>
        </w:r>
      </w:hyperlink>
      <w:r>
        <w:rPr>
          <w:noProof/>
        </w:rPr>
        <w:t xml:space="preserve"> állt. Az irányelvjavaslat súlyosító körülményt határoz meg a kizsákmányolással járó vagy azt eredményező, migránscsempészéssel kapcsolatos bűncselekmények tekintetében. </w:t>
      </w:r>
      <w:r>
        <w:rPr>
          <w:noProof/>
          <w:color w:val="000000" w:themeColor="text1"/>
        </w:rPr>
        <w:t>A rendeletjavaslat megerősíti az Europolon belül működő Migránscsempészés Elleni Küzdelem Európai Központját annak érdekében, hogy további kapacitásokat építsen ki mind a migránscsempészés, mind az emberkereskedelem terén folytatott, határokon átnyúló nyomozásokhoz. A megerősítés célja az ügynökségek közötti együttműködés javítása, az uniós szintű koordináció konkrét stratégiai feladatok meghatározása révén történő megerősítése, az információk ügynökséggel való megosztásának javítása, az e bűncselekmények megelőzésére és az ellenük való küzdelemre szolgáló tagállami erőforrások megerősítése, valamint az Europol által az operatív munkacsoportokon és operatív támogatást célzó kihelyezéseken keresztül nyújtott támogatás megerősítése. A javaslatokról a társjogalkotók jelenleg is tárgyalnak.</w:t>
      </w:r>
    </w:p>
    <w:p w14:paraId="6D731135" w14:textId="616BA840" w:rsidR="00BD2835" w:rsidRPr="00B011CB" w:rsidRDefault="00662705" w:rsidP="00662705">
      <w:pPr>
        <w:spacing w:line="240" w:lineRule="auto"/>
        <w:jc w:val="both"/>
        <w:rPr>
          <w:rFonts w:ascii="Times New Roman" w:hAnsi="Times New Roman" w:cs="Times New Roman"/>
          <w:noProof/>
          <w:sz w:val="24"/>
          <w:szCs w:val="24"/>
        </w:rPr>
      </w:pPr>
      <w:r>
        <w:rPr>
          <w:rFonts w:ascii="Times New Roman" w:hAnsi="Times New Roman"/>
          <w:noProof/>
          <w:sz w:val="24"/>
        </w:rPr>
        <w:t xml:space="preserve">Tekintve, hogy Oroszország </w:t>
      </w:r>
      <w:r>
        <w:rPr>
          <w:rFonts w:ascii="Times New Roman" w:hAnsi="Times New Roman"/>
          <w:b/>
          <w:noProof/>
          <w:sz w:val="24"/>
        </w:rPr>
        <w:t>Ukrajna</w:t>
      </w:r>
      <w:r>
        <w:rPr>
          <w:rFonts w:ascii="Times New Roman" w:hAnsi="Times New Roman"/>
          <w:noProof/>
          <w:sz w:val="24"/>
        </w:rPr>
        <w:t xml:space="preserve"> elleni teljes körű agressziós háborújának 2022. február 24-i kezdetét követően példátlan mértékben nőtt az emberkereskedelem kockázata, az emberkereskedelem elleni küzdelem európai uniós koordinátora </w:t>
      </w:r>
      <w:r>
        <w:rPr>
          <w:rFonts w:ascii="Times New Roman" w:hAnsi="Times New Roman"/>
          <w:b/>
          <w:noProof/>
          <w:sz w:val="24"/>
        </w:rPr>
        <w:t>közös emberkereskedelem elleni tervet</w:t>
      </w:r>
      <w:r>
        <w:rPr>
          <w:rFonts w:ascii="Times New Roman" w:hAnsi="Times New Roman" w:cs="Times New Roman"/>
          <w:noProof/>
          <w:vertAlign w:val="superscript"/>
        </w:rPr>
        <w:footnoteReference w:id="136"/>
      </w:r>
      <w:r>
        <w:rPr>
          <w:rFonts w:ascii="Times New Roman" w:hAnsi="Times New Roman"/>
          <w:noProof/>
          <w:sz w:val="24"/>
        </w:rPr>
        <w:t xml:space="preserve"> dolgozott ki. A terv végrehajtása hozzájárult e bűncselekmény megelőzéséhez és a megerősítést nyert emberkereskedelemmel kapcsolatos nyomozások számának alacsonyan tartásához. A gyors és hatékony szükséghelyzeti reagálás nyomán módosították a módosított irányelv 19. cikkét, amely szükséghelyzeti reagálási terveket irányoz elő annak érdekében, hogy jelentős szükséghelyzetek esetén megelőzzék az emberkereskedelem veszélyét. Az agressziós háború elől menekülők kiszolgáltatottságát </w:t>
      </w:r>
      <w:r>
        <w:rPr>
          <w:rFonts w:ascii="Times New Roman" w:hAnsi="Times New Roman"/>
          <w:b/>
          <w:noProof/>
          <w:sz w:val="24"/>
        </w:rPr>
        <w:t>az átmeneti védelemről szóló irányelv</w:t>
      </w:r>
      <w:r>
        <w:rPr>
          <w:rFonts w:ascii="Times New Roman" w:hAnsi="Times New Roman"/>
          <w:noProof/>
          <w:sz w:val="24"/>
        </w:rPr>
        <w:t xml:space="preserve"> aktiválása is jelentősen csökkentette, amely azonnali védelmet és a jogokhoz való hozzáférést biztosított az Unióban</w:t>
      </w:r>
      <w:r>
        <w:rPr>
          <w:rStyle w:val="FootnoteReference"/>
          <w:rFonts w:ascii="Times New Roman" w:hAnsi="Times New Roman" w:cs="Times New Roman"/>
          <w:noProof/>
          <w:sz w:val="24"/>
          <w:szCs w:val="24"/>
          <w:lang w:val="en-US"/>
        </w:rPr>
        <w:footnoteReference w:id="137"/>
      </w:r>
      <w:r>
        <w:rPr>
          <w:rFonts w:ascii="Times New Roman" w:hAnsi="Times New Roman"/>
          <w:noProof/>
          <w:sz w:val="24"/>
        </w:rPr>
        <w:t>. A Bizottság javaslata alapján a Tanács úgy határozott, hogy 2026 márciusáig meghosszabbítja az átmeneti védelmet</w:t>
      </w:r>
      <w:r>
        <w:rPr>
          <w:rFonts w:ascii="Times New Roman" w:hAnsi="Times New Roman" w:cs="Times New Roman"/>
          <w:noProof/>
          <w:sz w:val="24"/>
          <w:szCs w:val="24"/>
          <w:vertAlign w:val="superscript"/>
        </w:rPr>
        <w:footnoteReference w:id="138"/>
      </w:r>
      <w:r>
        <w:rPr>
          <w:rFonts w:ascii="Times New Roman" w:hAnsi="Times New Roman"/>
          <w:noProof/>
          <w:sz w:val="24"/>
        </w:rPr>
        <w:t>.</w:t>
      </w:r>
    </w:p>
    <w:p w14:paraId="170640A0" w14:textId="77F6AA1E" w:rsidR="00BD2835" w:rsidRPr="00BD2835" w:rsidRDefault="00E26722" w:rsidP="00662705">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2022-ben az emberkereskedelem Unióban regisztrált nem uniós áldozatainak állampolgárságát tekintve az ukrán állampolgárok a második helyen álltak (421 áldozat). 85 %-uk munkaerő-kizsákmányolás, 13 %-uk pedig szexuális kizsákmányolás áldozata volt. A tagállamok és az Europol megerősítették, hogy az Unióban már a teljes körű agressziós háború kezdete előtt indultak nyomozások az említett ukrán áldozatokkal kapcsolatban, és/vagy az ilyen nyomozások olyan áldozatokhoz kapcsolódnak, akik már az Unióban tartózkodnak. Ez azonban megerősíti, hogy az ukrán állampolgárokat – köztük a teljes körű agressziós háború elől menekülőket – érintő emberkereskedelem kockázata továbbra is magas, azt az Europolnak Ukrajna támogatásával szorosan nyomon kell követnie, és az a közös emberkereskedelem elleni terv folyamatos végrehajtását teszi szükségessé.</w:t>
      </w:r>
    </w:p>
    <w:p w14:paraId="5CAC9177" w14:textId="75A96CC1" w:rsidR="005203FF" w:rsidRPr="00B011CB" w:rsidRDefault="00662705" w:rsidP="00662705">
      <w:pPr>
        <w:spacing w:line="240" w:lineRule="auto"/>
        <w:jc w:val="both"/>
        <w:rPr>
          <w:rFonts w:ascii="Times New Roman" w:hAnsi="Times New Roman" w:cs="Times New Roman"/>
          <w:noProof/>
          <w:sz w:val="24"/>
          <w:szCs w:val="24"/>
        </w:rPr>
      </w:pPr>
      <w:r>
        <w:rPr>
          <w:rFonts w:ascii="Times New Roman" w:hAnsi="Times New Roman"/>
          <w:noProof/>
          <w:sz w:val="24"/>
        </w:rPr>
        <w:t>Az Ukrajnával folytatott, határokon átnyúló operatív együttműködést az uniós ügynökségek támogatásával már megerősítették. 2024-ben Ukrajna 19 EMPACT-műveletben vesz részt. 2023-ban az Europol koordinálta az ukrán áldozatokat érintő online bűncselekményekkel foglalkozó háromnapos hackathont, 2024 márciusában pedig 11 ország indított az Europol koordinálásával operatív munkacsoportot az ukrán nők és lányok Unión belüli szexuális kizsákmányolása elleni küzdelem céljából. 2024 májusában az Europol egy olyan bűnszervezet felszámolásában támogatta a spanyol nemzeti rendőrséget, amely a szexuális kizsákmányolás céljából folytatott emberkereskedelemben vett részt. A gyanúsítottak azzal az ígérettel kecsegtették az ukrán áldozatokat, hogy védelmet, pénzügyi támogatást és munkát biztosítanak számukra.</w:t>
      </w:r>
    </w:p>
    <w:p w14:paraId="0B199BE9" w14:textId="37740E60" w:rsidR="00662705" w:rsidRPr="00AE2102" w:rsidRDefault="00662705"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A jelentési időszakban a Bizottság az Európai Külügyi Szolgálattal karöltve továbbra is</w:t>
      </w:r>
      <w:r>
        <w:rPr>
          <w:rFonts w:ascii="Times New Roman" w:hAnsi="Times New Roman"/>
          <w:b/>
          <w:noProof/>
          <w:sz w:val="24"/>
        </w:rPr>
        <w:t xml:space="preserve"> együttműködött az áldozatok és az emberkereskedők más fő származási és tranzitországaival</w:t>
      </w:r>
      <w:r>
        <w:rPr>
          <w:rStyle w:val="FootnoteReference"/>
          <w:rFonts w:ascii="Times New Roman" w:eastAsia="Times New Roman" w:hAnsi="Times New Roman" w:cs="Times New Roman"/>
          <w:noProof/>
          <w:sz w:val="24"/>
          <w:szCs w:val="24"/>
          <w:lang w:val="en-GB"/>
        </w:rPr>
        <w:footnoteReference w:id="139"/>
      </w:r>
      <w:r>
        <w:rPr>
          <w:rFonts w:ascii="Times New Roman" w:hAnsi="Times New Roman"/>
          <w:noProof/>
          <w:sz w:val="24"/>
        </w:rPr>
        <w:t xml:space="preserve">, bevonva őket az operatív intézkedésekbe, a szakpolitikai párbeszédekbe és a célzott finanszírozásba. Az uniós ügynökségek kapacitásépítési tevékenységet és operatív együttműködést folytattak, valamint technikai segítségnyújtást biztosítottak a partnerországokban. </w:t>
      </w:r>
    </w:p>
    <w:p w14:paraId="1527BD3D" w14:textId="4D9EA573" w:rsidR="00716D88" w:rsidRDefault="69A5D65E" w:rsidP="367641A7">
      <w:pPr>
        <w:jc w:val="both"/>
        <w:rPr>
          <w:rFonts w:ascii="Times New Roman" w:eastAsia="Times New Roman" w:hAnsi="Times New Roman" w:cs="Times New Roman"/>
          <w:noProof/>
          <w:sz w:val="24"/>
          <w:szCs w:val="24"/>
        </w:rPr>
      </w:pPr>
      <w:r>
        <w:rPr>
          <w:rFonts w:ascii="Times New Roman" w:hAnsi="Times New Roman"/>
          <w:noProof/>
          <w:sz w:val="24"/>
        </w:rPr>
        <w:t xml:space="preserve"> Az EU az IPA III keretében 36 millió EUR értékben finanszírozott egy, az emberkereskedelem és a migránscsempészés elleni küzdelemre irányuló regionális programot a Nyugat-Balkánon. Az EU a 2021–2022-es időszakra további mintegy 84 millió EUR értékben kötött szerződést a Szomszédsági, Fejlesztési és Nemzetközi Együttműködési Eszköz (NDICI) keretében annak érdekében, hogy kezelje a bűnszervezetek irreguláris migrációban való növekvő részvételét, ami fokozza az emberkereskedelem veszélyét a migrációs útvonalak mentén, különösen az EU szomszédságában. </w:t>
      </w:r>
    </w:p>
    <w:p w14:paraId="13707FE0" w14:textId="0589B825" w:rsidR="00D261C3" w:rsidRPr="00000BF6" w:rsidRDefault="00D261C3" w:rsidP="367641A7">
      <w:pPr>
        <w:jc w:val="both"/>
        <w:rPr>
          <w:rFonts w:ascii="Times New Roman" w:eastAsia="Times New Roman" w:hAnsi="Times New Roman" w:cs="Times New Roman"/>
          <w:noProof/>
          <w:sz w:val="24"/>
          <w:szCs w:val="24"/>
        </w:rPr>
      </w:pPr>
      <w:r>
        <w:rPr>
          <w:rFonts w:ascii="Times New Roman" w:hAnsi="Times New Roman"/>
          <w:noProof/>
          <w:sz w:val="24"/>
        </w:rPr>
        <w:t>Az Uniós Szükséghelyzeti Alap Afrikáért keretében az EU 2019 és 2024 júliusa között 15 millió EUR értékű regionális programot finanszírozott annak érdekében, hogy támogassa az észak-afrikai országokat a migránscsempészésben és az emberkereskedelemben részt vevő szervezett bűnözői hálózatok felszámolásában.</w:t>
      </w:r>
    </w:p>
    <w:p w14:paraId="0100AACC" w14:textId="1C1184B9" w:rsidR="00B07EE8" w:rsidRPr="00000BF6" w:rsidRDefault="003F4964" w:rsidP="00463DB6">
      <w:pPr>
        <w:jc w:val="both"/>
        <w:rPr>
          <w:noProof/>
        </w:rPr>
      </w:pPr>
      <w:r>
        <w:rPr>
          <w:rFonts w:ascii="Times New Roman" w:hAnsi="Times New Roman"/>
          <w:noProof/>
          <w:sz w:val="24"/>
        </w:rPr>
        <w:t>Afrika szarván az NDICI jelenleg két jelentős, emberkereskedelem és migránscsempészés elleni küzdelemmel foglalkozó regionális projektet támogat, továbbá támogatja a migrációkezelés javítását célzó programot (BMM), amelynek célja a bűnüldöző hatóságok, a határőrök/bevándorlási tisztviselők és a védelmi szolgáltatók közötti együttműködés megerősítése. Az NDICI által finanszírozott másik program (5 millió EUR), a kartúmi regionális operatív központ (ROCK) 2022-ben lépett a második szakaszba. Célja, hogy Kelet-Afrikában csökkentse az emberkereskedelem és a migránscsempészés eseteinek számát, valamint fokozza az áldozatok védelmét. 2024. május 7-én a Bizottság új pályázati felhívást tett közzé, amely az emberkereskedelem elleni küzdelmet is az egyik célkitűzéseként határozza meg, és 15 millió EUR-t különített el a harmadik országokban zajló migránscsempészés elleni közös operatív partnerségi projektek létrehozására</w:t>
      </w:r>
      <w:r>
        <w:rPr>
          <w:rStyle w:val="FootnoteReference"/>
          <w:rFonts w:ascii="Times New Roman" w:hAnsi="Times New Roman" w:cs="Times New Roman"/>
          <w:noProof/>
          <w:sz w:val="24"/>
          <w:szCs w:val="24"/>
          <w:lang w:val="en-US"/>
        </w:rPr>
        <w:footnoteReference w:id="140"/>
      </w:r>
      <w:r>
        <w:rPr>
          <w:rFonts w:ascii="Times New Roman" w:hAnsi="Times New Roman"/>
          <w:noProof/>
          <w:sz w:val="24"/>
        </w:rPr>
        <w:t>.</w:t>
      </w:r>
      <w:r>
        <w:rPr>
          <w:noProof/>
        </w:rPr>
        <w:t xml:space="preserve"> </w:t>
      </w:r>
    </w:p>
    <w:p w14:paraId="76AED56D" w14:textId="300007D4" w:rsidR="00A164E7" w:rsidRDefault="00CA43A0" w:rsidP="00000BF6">
      <w:pPr>
        <w:jc w:val="both"/>
        <w:rPr>
          <w:rFonts w:ascii="Times New Roman" w:hAnsi="Times New Roman" w:cs="Times New Roman"/>
          <w:noProof/>
          <w:sz w:val="24"/>
          <w:szCs w:val="24"/>
        </w:rPr>
      </w:pPr>
      <w:r>
        <w:rPr>
          <w:rFonts w:ascii="Times New Roman" w:hAnsi="Times New Roman"/>
          <w:noProof/>
          <w:sz w:val="24"/>
        </w:rPr>
        <w:t>Nyugat-Afrika továbbra is döntő fontosságú származási és tranzitrégió azon migránsok számára, akik a közép-mediterrán útvonalon és az atlanti/nyugat-mediterrán útvonalon keresztül szabálytalanul utaznak az Unióba. Az EU közös operatív partnerségeket támogat annak érdekében, hogy fokozza partnereink Elefántcsontparton, Guineában, Mauritániában és Gambiában tett (különösen a Belső Biztonsági Alap keretében finanszírozott) erőfeszítései iránti elkötelezettséget, illetve ezen erőfeszítések hatását és hosszú távú fenntarthatóságát.</w:t>
      </w:r>
      <w:r>
        <w:rPr>
          <w:noProof/>
        </w:rPr>
        <w:t xml:space="preserve"> </w:t>
      </w:r>
      <w:r>
        <w:rPr>
          <w:rFonts w:ascii="Times New Roman" w:hAnsi="Times New Roman"/>
          <w:noProof/>
          <w:sz w:val="24"/>
        </w:rPr>
        <w:t xml:space="preserve">Az EU 2024. március 7-én az emberkereskedelemre és a migránscsempészésére is kiterjedően migrációs partnerséget és párbeszédet indított Mauritániával. Emellett a fejlődésre és a biztonságra hatást gyakorló bűncselekmények komoly kockázatot jelentenek – különösen a leginkább érintett országokban –, és további fenyegetést jelentenek a kormányzásra és a stabilitásra nézve az egész régióban és azon kívül is. Ebben az összefüggésben az emberkereskedelem és a migránscsempészés a szenegáli, gambiai és mauritániai biztonsági programok kulcsfontosságú komponense. </w:t>
      </w:r>
    </w:p>
    <w:p w14:paraId="0D5CED78" w14:textId="6FCA8BF2" w:rsidR="0073713E" w:rsidRDefault="00115475" w:rsidP="00000BF6">
      <w:pPr>
        <w:jc w:val="both"/>
        <w:rPr>
          <w:rFonts w:ascii="Times New Roman" w:hAnsi="Times New Roman" w:cs="Times New Roman"/>
          <w:noProof/>
          <w:sz w:val="24"/>
          <w:szCs w:val="24"/>
        </w:rPr>
      </w:pPr>
      <w:r>
        <w:rPr>
          <w:rFonts w:ascii="Times New Roman" w:hAnsi="Times New Roman"/>
          <w:noProof/>
          <w:sz w:val="24"/>
        </w:rPr>
        <w:t xml:space="preserve">Ázsiában 2024 márciusában zárult le „Az emberkereskedelem és a migránscsempészés elleni globális fellépés – Ázsia és a Közel-Kelet – GLO.ACT” elnevezésű sikeres projekt. Az UNODC által végrehajtott „A migráció kezelésének és a migránsok védelmének javítása a kiválasztott Selyemút-országokban” elnevezésű projekthez kapcsolódó program egyik komponense a GLO.ACT sikerére és tanulságaira épül, és az afganisztáni, pakisztáni és iraki emberkereskedelem és migránscsempészés elleni küzdelemre összpontosít. </w:t>
      </w:r>
    </w:p>
    <w:p w14:paraId="1AE9F642" w14:textId="4867C2D1" w:rsidR="0073713E" w:rsidRDefault="0073713E" w:rsidP="0AB64040">
      <w:pPr>
        <w:jc w:val="both"/>
        <w:rPr>
          <w:rFonts w:ascii="Times New Roman" w:hAnsi="Times New Roman" w:cs="Times New Roman"/>
          <w:noProof/>
          <w:sz w:val="24"/>
          <w:szCs w:val="24"/>
        </w:rPr>
      </w:pPr>
      <w:r>
        <w:rPr>
          <w:rFonts w:ascii="Times New Roman" w:hAnsi="Times New Roman"/>
          <w:noProof/>
          <w:sz w:val="24"/>
        </w:rPr>
        <w:t xml:space="preserve">Latin-Amerikában és a Karib-térségben az EU 2020 óta támogatja az EUROFRONT programot. Az emberkereskedelemre és a migránscsempészésre vonatkozó komponens hét dél-amerikai országot érintve négy határátkelőhelyet fed le. A közeljövőben a cél a meglévő kétnemzetiségű és regionális mechanizmusok eredményeként – például Paraguayban, Brazíliában vagy Ecuadorban – létrejött nemzeti cselekvési tervek végrehajtása. Az EU emellett a transznacionális szervezett bűnözés elleni EL PAcCTO programot, valamint annak emberkereskedelem és migránscsempészés elleni küzdelemre szakosodott rendőrségi együttműködési hálózatait is támogatja. </w:t>
      </w:r>
    </w:p>
    <w:p w14:paraId="3FB94961" w14:textId="07C4E294" w:rsidR="00B921D2" w:rsidRPr="00662705" w:rsidRDefault="00787196" w:rsidP="00463DB6">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Globális szinten az NDICI (5 millió EUR-val) most indítja el „Az emberkereskedelem és a migránscsempészés elleni globális szintű fellépés és együttműködés előmozdítása az országok körében (PACTS)” elnevezésű projektet. A PACTS támogatni fogja a Dél-Dél együttműködést, emellett pedig egy erős, túlélők szerepvállalásán alapuló komponenssel is rendelkezik.</w:t>
      </w:r>
    </w:p>
    <w:p w14:paraId="5A2B290B" w14:textId="7854B9F9" w:rsidR="00662705" w:rsidRPr="00662705" w:rsidRDefault="004B3887" w:rsidP="00662705">
      <w:pPr>
        <w:spacing w:before="16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Ezenkívül az EU – többek között az emberkereskedelem elleni ügynökségközi koordinációs csoport (ICAT) keretében – továbbra is szorosan együttműködött a területen tevékenykedő </w:t>
      </w:r>
      <w:r>
        <w:rPr>
          <w:rFonts w:ascii="Times New Roman" w:hAnsi="Times New Roman"/>
          <w:b/>
          <w:noProof/>
          <w:sz w:val="24"/>
        </w:rPr>
        <w:t>nemzetközi és regionális szervezetekkel</w:t>
      </w:r>
      <w:r>
        <w:rPr>
          <w:rFonts w:ascii="Times New Roman" w:eastAsia="Times New Roman" w:hAnsi="Times New Roman" w:cs="Times New Roman"/>
          <w:noProof/>
          <w:sz w:val="24"/>
          <w:szCs w:val="24"/>
          <w:vertAlign w:val="superscript"/>
        </w:rPr>
        <w:footnoteReference w:id="141"/>
      </w:r>
      <w:r>
        <w:rPr>
          <w:rFonts w:ascii="Times New Roman" w:hAnsi="Times New Roman"/>
          <w:noProof/>
          <w:sz w:val="24"/>
        </w:rPr>
        <w:t xml:space="preserve">. Továbbá az Európa Tanáccsal és annak az Emberkereskedelem Elleni Küzdelem Szakértői Csoportjával (GRETA) is folytatta együttműködését. </w:t>
      </w:r>
    </w:p>
    <w:p w14:paraId="5830C35E" w14:textId="50811632" w:rsidR="00662705" w:rsidRPr="00662705" w:rsidRDefault="00AD1393" w:rsidP="008964CA">
      <w:pPr>
        <w:spacing w:before="240"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Nemzeti szinten a tagállamok többek között figyelemfelhívó kampányok, képzések (többek között a konzulátusok személyzetének képzése), operatív bűnüldözési és igazságügyi együttműködés, információcsere és a bevált gyakorlatok megosztása, technikai segítségnyújtás és célzott finanszírozás révén járultak hozzá a harmadik országokkal és a nemzetközi szervezetekkel fenntartott kapcsolatok megerősítéséhez</w:t>
      </w:r>
      <w:r>
        <w:rPr>
          <w:rFonts w:ascii="Times New Roman" w:eastAsia="Times New Roman" w:hAnsi="Times New Roman" w:cs="Times New Roman"/>
          <w:noProof/>
          <w:sz w:val="24"/>
          <w:szCs w:val="24"/>
          <w:vertAlign w:val="superscript"/>
          <w:lang w:val="en-GB"/>
        </w:rPr>
        <w:footnoteReference w:id="142"/>
      </w:r>
      <w:r>
        <w:rPr>
          <w:rFonts w:ascii="Times New Roman" w:hAnsi="Times New Roman"/>
          <w:noProof/>
          <w:sz w:val="24"/>
        </w:rPr>
        <w:t xml:space="preserve">. </w:t>
      </w:r>
      <w:r>
        <w:rPr>
          <w:rFonts w:ascii="Times New Roman" w:hAnsi="Times New Roman"/>
          <w:noProof/>
          <w:color w:val="000000" w:themeColor="text1"/>
          <w:sz w:val="24"/>
        </w:rPr>
        <w:t>Olaszország például kétoldalú megállapodásokat kötött vagy jegyzőkönyveket írt alá az emberkereskedelem áldozatainak származási vagy tranzitországaival, különösen Nigériával, Líbiával és Egyiptommal, megkönnyítve a közvetlen információcserét. A portugáliai nemzeti előadói hivatal a 2021–2023-as időszakban képzéseket dolgozott ki a tunéziai hatóságokkal karöltve</w:t>
      </w:r>
      <w:r>
        <w:rPr>
          <w:rFonts w:ascii="Times New Roman" w:hAnsi="Times New Roman"/>
          <w:b/>
          <w:noProof/>
          <w:color w:val="000000" w:themeColor="text1"/>
          <w:sz w:val="24"/>
        </w:rPr>
        <w:t>.</w:t>
      </w:r>
      <w:r>
        <w:rPr>
          <w:rFonts w:ascii="Times New Roman" w:hAnsi="Times New Roman"/>
          <w:b/>
          <w:noProof/>
          <w:color w:val="000000" w:themeColor="text1"/>
        </w:rPr>
        <w:t xml:space="preserve"> </w:t>
      </w:r>
    </w:p>
    <w:p w14:paraId="61C3D3F3" w14:textId="77777777" w:rsidR="00662705" w:rsidRPr="00662705" w:rsidRDefault="00662705" w:rsidP="00662705">
      <w:pPr>
        <w:numPr>
          <w:ilvl w:val="0"/>
          <w:numId w:val="2"/>
        </w:numPr>
        <w:spacing w:before="160" w:line="240" w:lineRule="auto"/>
        <w:jc w:val="both"/>
        <w:rPr>
          <w:rFonts w:ascii="Times New Roman" w:eastAsia="Times New Roman" w:hAnsi="Times New Roman" w:cs="Times New Roman"/>
          <w:b/>
          <w:noProof/>
          <w:sz w:val="24"/>
          <w:szCs w:val="20"/>
        </w:rPr>
      </w:pPr>
      <w:r>
        <w:rPr>
          <w:rFonts w:ascii="Times New Roman" w:hAnsi="Times New Roman"/>
          <w:b/>
          <w:noProof/>
          <w:sz w:val="24"/>
        </w:rPr>
        <w:t>KÖVETKEZTETÉSEK</w:t>
      </w:r>
    </w:p>
    <w:p w14:paraId="6992C7B6" w14:textId="0BE205BB" w:rsidR="00844C54" w:rsidRDefault="00CD1AA3" w:rsidP="00B65912">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Az emberkereskedelem összetett jellege továbbra is a nemzeti, európai és nemzetközi szintű szereplők széles körét felölelő, </w:t>
      </w:r>
      <w:r>
        <w:rPr>
          <w:rFonts w:ascii="Times New Roman" w:hAnsi="Times New Roman"/>
          <w:b/>
          <w:noProof/>
          <w:sz w:val="24"/>
        </w:rPr>
        <w:t>átfogó választ</w:t>
      </w:r>
      <w:r>
        <w:rPr>
          <w:rFonts w:ascii="Times New Roman" w:hAnsi="Times New Roman"/>
          <w:noProof/>
          <w:sz w:val="24"/>
        </w:rPr>
        <w:t xml:space="preserve"> tesz szükségessé, ezenkívül megfelelő kapacitást és erőforrásokat, valamint jól működő koordinációs mechanizmust igényel. </w:t>
      </w:r>
    </w:p>
    <w:p w14:paraId="1EEC28A6" w14:textId="7B7F7D53" w:rsidR="00BC2519" w:rsidRDefault="00BC2519" w:rsidP="00BC2519">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A megfelelő jogi, operatív és szakpolitikai válaszok biztosítása érdekében </w:t>
      </w:r>
      <w:r>
        <w:rPr>
          <w:rFonts w:ascii="Times New Roman" w:hAnsi="Times New Roman"/>
          <w:b/>
          <w:noProof/>
          <w:sz w:val="24"/>
        </w:rPr>
        <w:t>az EU megerősítette az emberkereskedelem elleni küzdelemre irányuló szakpolitikáit</w:t>
      </w:r>
      <w:r>
        <w:rPr>
          <w:rFonts w:ascii="Times New Roman" w:hAnsi="Times New Roman"/>
          <w:noProof/>
          <w:sz w:val="24"/>
        </w:rPr>
        <w:t>. Az emberkereskedelem elleni küzdelemre irányuló uniós stratégia szilárd keretet biztosít, amely már végrehajtott vagy folyamatban lévő konkrét intézkedéseket tartalmaz. Az emberkereskedelem elleni módosított irányelv tovább erősíti a bűncselekményre adott jogi választ azáltal, hogy bevezeti a kizsákmányolás új formáit, valamint szigorúbb szankciókat, a – többek között online – emberkereskedelem elleni küzdelem céljából szigorúbb szabályokat, az áldozatok támogatására és védelmére vonatkozóan pedig megerősített rendelkezéseket vezet be. Ezenkívül a jelentési időszak alatt a jogi keretet számos más új uniós jogszabály és eszköz is jelentősen megerősítette.</w:t>
      </w:r>
    </w:p>
    <w:p w14:paraId="32026D4B" w14:textId="005C746E" w:rsidR="009B544F" w:rsidRDefault="009B544F" w:rsidP="00BC2519">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Nemzeti szinten a tagállamok intézkedéseket hoztak az emberkereskedelem elleni intézkedések koordinálása és fokozása céljából, többek között új nemzeti cselekvési tervek és stratégiák kidolgozása vagy a meglévők aktualizálása révén, amelyek hozzájárulnak e bűncselekmény elleni küzdelem átfogó megközelítéséhez. </w:t>
      </w:r>
    </w:p>
    <w:p w14:paraId="69D287D4" w14:textId="3052E174" w:rsidR="00C14023" w:rsidRPr="00307746" w:rsidRDefault="00C14023" w:rsidP="00307746">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A jogi, szakpolitikai és operatív kereten belül elért eredmények ellenére nőtt az emberkereskedelem regisztrált áldozatainak száma és az ismert kihívások némelyike továbbra is fennáll, miközben új kihívások is megjelennek, ideértve a </w:t>
      </w:r>
      <w:r>
        <w:rPr>
          <w:rFonts w:ascii="Times New Roman" w:hAnsi="Times New Roman"/>
          <w:b/>
          <w:noProof/>
          <w:sz w:val="24"/>
        </w:rPr>
        <w:t>kizsákmányolás új formáit</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Ezenfelül a </w:t>
      </w:r>
      <w:r>
        <w:rPr>
          <w:rFonts w:ascii="Times New Roman" w:hAnsi="Times New Roman"/>
          <w:b/>
          <w:noProof/>
          <w:sz w:val="24"/>
        </w:rPr>
        <w:t>tendenciákban</w:t>
      </w:r>
      <w:r>
        <w:rPr>
          <w:rFonts w:ascii="Times New Roman" w:hAnsi="Times New Roman"/>
          <w:noProof/>
          <w:sz w:val="24"/>
        </w:rPr>
        <w:t xml:space="preserve"> megfigyelt </w:t>
      </w:r>
      <w:r>
        <w:rPr>
          <w:rFonts w:ascii="Times New Roman" w:hAnsi="Times New Roman"/>
          <w:b/>
          <w:noProof/>
          <w:sz w:val="24"/>
        </w:rPr>
        <w:t>változás</w:t>
      </w:r>
      <w:r>
        <w:rPr>
          <w:rFonts w:ascii="Times New Roman" w:hAnsi="Times New Roman"/>
          <w:noProof/>
          <w:sz w:val="24"/>
        </w:rPr>
        <w:t>, például a munkaerő-kizsákmányolás és a bűnözésre kényszerítés terjedése világszinten is egyre inkább megerősítést nyer</w:t>
      </w:r>
      <w:r>
        <w:rPr>
          <w:rStyle w:val="FootnoteReference"/>
          <w:rFonts w:ascii="Times New Roman" w:hAnsi="Times New Roman" w:cs="Times New Roman"/>
          <w:noProof/>
          <w:sz w:val="24"/>
          <w:szCs w:val="24"/>
        </w:rPr>
        <w:footnoteReference w:id="143"/>
      </w:r>
      <w:r>
        <w:rPr>
          <w:rFonts w:ascii="Times New Roman" w:hAnsi="Times New Roman"/>
          <w:noProof/>
          <w:sz w:val="24"/>
        </w:rPr>
        <w:t xml:space="preserve">, valamint változik az emberkereskedelem többségében harmadik országbeli állampolgár áldozatainak állampolgársága. Az emberkereskedők üzletszerű tevékenységének ellehetetlenítése érdekében ezekre a kihívásokra azonnal választ kell adni. A </w:t>
      </w:r>
      <w:r>
        <w:rPr>
          <w:rFonts w:ascii="Times New Roman" w:hAnsi="Times New Roman"/>
          <w:b/>
          <w:noProof/>
          <w:sz w:val="24"/>
        </w:rPr>
        <w:t>legnagyobb fenyegetést jelentő bűnözői hálózatok</w:t>
      </w:r>
      <w:r>
        <w:rPr>
          <w:rFonts w:ascii="Times New Roman" w:hAnsi="Times New Roman"/>
          <w:noProof/>
          <w:sz w:val="24"/>
        </w:rPr>
        <w:t xml:space="preserve"> az emberkereskedelemben is részt vesznek, és az emberkereskedelem révén </w:t>
      </w:r>
      <w:r>
        <w:rPr>
          <w:rFonts w:ascii="Times New Roman" w:hAnsi="Times New Roman"/>
          <w:b/>
          <w:noProof/>
          <w:sz w:val="24"/>
        </w:rPr>
        <w:t>hatalmas nyereségre</w:t>
      </w:r>
      <w:r>
        <w:rPr>
          <w:rFonts w:ascii="Times New Roman" w:hAnsi="Times New Roman"/>
          <w:noProof/>
          <w:sz w:val="24"/>
        </w:rPr>
        <w:t xml:space="preserve"> tesznek szert, gyakran </w:t>
      </w:r>
      <w:r>
        <w:rPr>
          <w:rFonts w:ascii="Times New Roman" w:hAnsi="Times New Roman"/>
          <w:b/>
          <w:noProof/>
          <w:sz w:val="24"/>
        </w:rPr>
        <w:t>más büntetendő cselekményekhez</w:t>
      </w:r>
      <w:r>
        <w:rPr>
          <w:rFonts w:ascii="Times New Roman" w:hAnsi="Times New Roman"/>
          <w:noProof/>
          <w:sz w:val="24"/>
        </w:rPr>
        <w:t xml:space="preserve"> kapcsolódóan. </w:t>
      </w:r>
      <w:r>
        <w:rPr>
          <w:rFonts w:ascii="Times New Roman" w:hAnsi="Times New Roman"/>
          <w:b/>
          <w:noProof/>
          <w:sz w:val="24"/>
        </w:rPr>
        <w:t>A büntetőeljárások és a bűnösséget megállapító ítéletek száma továbbra is alacsony</w:t>
      </w:r>
      <w:r>
        <w:rPr>
          <w:rFonts w:ascii="Times New Roman" w:hAnsi="Times New Roman"/>
          <w:noProof/>
          <w:sz w:val="24"/>
        </w:rPr>
        <w:t xml:space="preserve"> a gyanúsítottak számához képest, és gyakran enyhébb </w:t>
      </w:r>
      <w:r>
        <w:rPr>
          <w:rFonts w:ascii="Times New Roman" w:hAnsi="Times New Roman"/>
          <w:b/>
          <w:noProof/>
          <w:sz w:val="24"/>
        </w:rPr>
        <w:t>büntetéseket</w:t>
      </w:r>
      <w:r>
        <w:rPr>
          <w:rFonts w:ascii="Times New Roman" w:hAnsi="Times New Roman"/>
          <w:noProof/>
          <w:sz w:val="24"/>
        </w:rPr>
        <w:t xml:space="preserve"> szabnak ki amiatt, hogy emberkereskedelemtől eltérő bűncselekmények miatt indítanak ellenük büntetőeljárást. A bizonyítékok gyűjtése idő- és erőforrás-igényes, és gyakran kizárólag az áldozatok vallomásain alapul. Fokozott elmozdulás tapasztalható az </w:t>
      </w:r>
      <w:r>
        <w:rPr>
          <w:rFonts w:ascii="Times New Roman" w:hAnsi="Times New Roman"/>
          <w:b/>
          <w:noProof/>
          <w:sz w:val="24"/>
        </w:rPr>
        <w:t>online dimenzió</w:t>
      </w:r>
      <w:r>
        <w:rPr>
          <w:rFonts w:ascii="Times New Roman" w:hAnsi="Times New Roman"/>
          <w:noProof/>
          <w:sz w:val="24"/>
        </w:rPr>
        <w:t xml:space="preserve"> irányába, ami továbbra is kihívást jelent, és amit a mesterséges intelligencia tovább súlyosbíthat a jövőben. </w:t>
      </w:r>
    </w:p>
    <w:p w14:paraId="6A31377B" w14:textId="769FF7C7" w:rsidR="002858B4" w:rsidRDefault="002858B4" w:rsidP="002858B4">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Az emberkereskedelem elleni küzdelemmel foglalkozó uniós központ támogatni fogja a stratégia és a jogi rendelkezések végrehajtását, a bevált gyakorlatok megosztását, az emberkereskedelem elleni küzdelemmel foglalkozó szakemberek közötti párbeszéd előmozdítását, valamint bizonyos fogalmak, fogalommeghatározások és követelmények jobb megértésének biztosítását. </w:t>
      </w:r>
    </w:p>
    <w:p w14:paraId="58CE038D" w14:textId="7975FC10" w:rsidR="0092051E" w:rsidRPr="00EE624C" w:rsidRDefault="00FC33AA" w:rsidP="00AE2102">
      <w:pPr>
        <w:spacing w:before="160" w:line="240" w:lineRule="auto"/>
        <w:jc w:val="both"/>
        <w:rPr>
          <w:noProof/>
        </w:rPr>
      </w:pPr>
      <w:r>
        <w:rPr>
          <w:rFonts w:ascii="Times New Roman" w:hAnsi="Times New Roman"/>
          <w:noProof/>
          <w:sz w:val="24"/>
        </w:rPr>
        <w:t xml:space="preserve">A jelenlegi stratégiára építve az emberkereskedelem elleni küzdelemre vonatkozó új uniós stratégia hozzá fog járulni a 2025 után felmerülő kihívások kezeléséhez. Ez az új stratégia a tagállamok által a módosított irányelvvel összhangban 2028. július 15-ig elfogadandó, emberkereskedelem elleni nemzeti tervek uniós szintű megfelelője lesz. Az uniós stratégia segíteni fog abban, hogy a prioritásokat a megelőzéstől kezdve az ítélethozatalig terjedően Unió-szerte áldozatközpontú megközelítést követve, a nem uniós partnerekkel együtt és globális szinten is összehangoltan kezeljék. </w:t>
      </w:r>
    </w:p>
    <w:sectPr w:rsidR="0092051E" w:rsidRPr="00EE624C">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7B3A3" w14:textId="77777777" w:rsidR="00EE7C05" w:rsidRDefault="00EE7C05" w:rsidP="00EE624C">
      <w:pPr>
        <w:spacing w:after="0" w:line="240" w:lineRule="auto"/>
      </w:pPr>
      <w:r>
        <w:separator/>
      </w:r>
    </w:p>
  </w:endnote>
  <w:endnote w:type="continuationSeparator" w:id="0">
    <w:p w14:paraId="4C10ECD7" w14:textId="77777777" w:rsidR="00EE7C05" w:rsidRDefault="00EE7C05" w:rsidP="00EE624C">
      <w:pPr>
        <w:spacing w:after="0" w:line="240" w:lineRule="auto"/>
      </w:pPr>
      <w:r>
        <w:continuationSeparator/>
      </w:r>
    </w:p>
  </w:endnote>
  <w:endnote w:type="continuationNotice" w:id="1">
    <w:p w14:paraId="792AF119" w14:textId="77777777" w:rsidR="00EE7C05" w:rsidRDefault="00EE7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Light">
    <w:altName w:val="Arial"/>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 w:name="LucidaBright">
    <w:altName w:val="Lucida Brigh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BC90" w14:textId="5E7686A1" w:rsidR="00096132" w:rsidRPr="00096132" w:rsidRDefault="00096132" w:rsidP="00096132">
    <w:pPr>
      <w:pStyle w:val="FooterCoverPage"/>
      <w:rPr>
        <w:rFonts w:ascii="Arial" w:hAnsi="Arial" w:cs="Arial"/>
        <w:b/>
        <w:sz w:val="48"/>
      </w:rPr>
    </w:pPr>
    <w:r w:rsidRPr="00096132">
      <w:rPr>
        <w:rFonts w:ascii="Arial" w:hAnsi="Arial" w:cs="Arial"/>
        <w:b/>
        <w:sz w:val="48"/>
      </w:rPr>
      <w:t>HU</w:t>
    </w:r>
    <w:r w:rsidRPr="00096132">
      <w:rPr>
        <w:rFonts w:ascii="Arial" w:hAnsi="Arial" w:cs="Arial"/>
        <w:b/>
        <w:sz w:val="48"/>
      </w:rPr>
      <w:tab/>
    </w:r>
    <w:r w:rsidRPr="00096132">
      <w:rPr>
        <w:rFonts w:ascii="Arial" w:hAnsi="Arial" w:cs="Arial"/>
        <w:b/>
        <w:sz w:val="48"/>
      </w:rPr>
      <w:tab/>
    </w:r>
    <w:r w:rsidRPr="00096132">
      <w:tab/>
    </w:r>
    <w:r w:rsidRPr="00096132">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57D6" w14:textId="06DF068C" w:rsidR="00096132" w:rsidRPr="00096132" w:rsidRDefault="00096132" w:rsidP="00096132">
    <w:pPr>
      <w:pStyle w:val="FooterCoverPage"/>
      <w:rPr>
        <w:rFonts w:ascii="Arial" w:hAnsi="Arial" w:cs="Arial"/>
        <w:b/>
        <w:sz w:val="48"/>
      </w:rPr>
    </w:pPr>
    <w:r w:rsidRPr="00096132">
      <w:rPr>
        <w:rFonts w:ascii="Arial" w:hAnsi="Arial" w:cs="Arial"/>
        <w:b/>
        <w:sz w:val="48"/>
      </w:rPr>
      <w:t>HU</w:t>
    </w:r>
    <w:r w:rsidRPr="00096132">
      <w:rPr>
        <w:rFonts w:ascii="Arial" w:hAnsi="Arial" w:cs="Arial"/>
        <w:b/>
        <w:sz w:val="48"/>
      </w:rPr>
      <w:tab/>
    </w:r>
    <w:r w:rsidRPr="00096132">
      <w:rPr>
        <w:rFonts w:ascii="Arial" w:hAnsi="Arial" w:cs="Arial"/>
        <w:b/>
        <w:sz w:val="48"/>
      </w:rPr>
      <w:tab/>
    </w:r>
    <w:r w:rsidRPr="00096132">
      <w:tab/>
    </w:r>
    <w:r w:rsidRPr="00096132">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40936" w14:textId="77777777" w:rsidR="00096132" w:rsidRPr="00096132" w:rsidRDefault="00096132" w:rsidP="0009613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03BF" w14:textId="77777777" w:rsidR="003908CE" w:rsidRDefault="003908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33FC" w14:textId="77777777" w:rsidR="003908CE" w:rsidRDefault="003908CE">
    <w:pPr>
      <w:pStyle w:val="FooterLine"/>
      <w:jc w:val="center"/>
    </w:pPr>
  </w:p>
  <w:p w14:paraId="5944FEC5" w14:textId="708E249B" w:rsidR="003908CE" w:rsidRPr="00D03FBC" w:rsidRDefault="003908CE">
    <w:pPr>
      <w:pStyle w:val="Footer"/>
      <w:rPr>
        <w:rFonts w:ascii="Arial" w:hAnsi="Arial" w:cs="Arial"/>
        <w:b/>
        <w:sz w:val="48"/>
      </w:rPr>
    </w:pPr>
    <w:r>
      <w:tab/>
    </w:r>
    <w:r>
      <w:fldChar w:fldCharType="begin"/>
    </w:r>
    <w:r>
      <w:instrText xml:space="preserve"> PAGE  \* MERGEFORMAT </w:instrText>
    </w:r>
    <w:r>
      <w:fldChar w:fldCharType="separate"/>
    </w:r>
    <w:r w:rsidR="00096132">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FB9C" w14:textId="77777777" w:rsidR="003908CE" w:rsidRPr="00D03FBC" w:rsidRDefault="0039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5D29C" w14:textId="77777777" w:rsidR="00EE7C05" w:rsidRDefault="00EE7C05" w:rsidP="00EE624C">
      <w:pPr>
        <w:spacing w:after="0" w:line="240" w:lineRule="auto"/>
      </w:pPr>
      <w:r>
        <w:separator/>
      </w:r>
    </w:p>
  </w:footnote>
  <w:footnote w:type="continuationSeparator" w:id="0">
    <w:p w14:paraId="2941F432" w14:textId="77777777" w:rsidR="00EE7C05" w:rsidRDefault="00EE7C05" w:rsidP="00EE624C">
      <w:pPr>
        <w:spacing w:after="0" w:line="240" w:lineRule="auto"/>
      </w:pPr>
      <w:r>
        <w:continuationSeparator/>
      </w:r>
    </w:p>
  </w:footnote>
  <w:footnote w:type="continuationNotice" w:id="1">
    <w:p w14:paraId="16E0D5E3" w14:textId="77777777" w:rsidR="00EE7C05" w:rsidRDefault="00EE7C05">
      <w:pPr>
        <w:spacing w:after="0" w:line="240" w:lineRule="auto"/>
      </w:pPr>
    </w:p>
  </w:footnote>
  <w:footnote w:id="2">
    <w:p w14:paraId="2795239D" w14:textId="4D8B2444" w:rsidR="009F4987" w:rsidRPr="009F4987" w:rsidRDefault="009F4987">
      <w:pPr>
        <w:pStyle w:val="FootnoteText"/>
        <w:contextualSpacing/>
      </w:pPr>
      <w:r>
        <w:rPr>
          <w:rStyle w:val="FootnoteReference"/>
        </w:rPr>
        <w:footnoteRef/>
      </w:r>
      <w:r>
        <w:t xml:space="preserve"> </w:t>
      </w:r>
      <w:hyperlink r:id="rId1" w:history="1">
        <w:r>
          <w:rPr>
            <w:rStyle w:val="Hyperlink"/>
            <w:rFonts w:ascii="Times New Roman" w:hAnsi="Times New Roman"/>
          </w:rPr>
          <w:t>Decoding the EU’s most threatening criminal networks [Az EU-ban tevékenykedő, legnagyobb fenyegetést jelentő bűnözői hálózatok működésének elemzése] |</w:t>
        </w:r>
      </w:hyperlink>
      <w:hyperlink r:id="rId2" w:history="1">
        <w:r>
          <w:rPr>
            <w:rStyle w:val="Hyperlink"/>
            <w:rFonts w:ascii="Times New Roman" w:hAnsi="Times New Roman"/>
          </w:rPr>
          <w:t xml:space="preserve"> Europol (europa.eu)</w:t>
        </w:r>
      </w:hyperlink>
      <w:r>
        <w:rPr>
          <w:rStyle w:val="Hyperlink"/>
          <w:rFonts w:ascii="Times New Roman" w:hAnsi="Times New Roman"/>
        </w:rPr>
        <w:t>.</w:t>
      </w:r>
    </w:p>
  </w:footnote>
  <w:footnote w:id="3">
    <w:p w14:paraId="47FB90D1" w14:textId="08F01D5F" w:rsidR="0038669A" w:rsidRPr="00A660AB" w:rsidRDefault="0038669A">
      <w:pPr>
        <w:pStyle w:val="FootnoteText"/>
        <w:contextualSpacing/>
        <w:rPr>
          <w:rFonts w:ascii="Times New Roman" w:hAnsi="Times New Roman" w:cs="Times New Roman"/>
        </w:rPr>
      </w:pPr>
      <w:r>
        <w:rPr>
          <w:rStyle w:val="FootnoteReference"/>
        </w:rPr>
        <w:footnoteRef/>
      </w:r>
      <w:r>
        <w:t xml:space="preserve"> </w:t>
      </w:r>
      <w:hyperlink r:id="rId3" w:history="1">
        <w:r>
          <w:rPr>
            <w:rFonts w:ascii="Times New Roman" w:hAnsi="Times New Roman"/>
            <w:color w:val="0000FF"/>
            <w:u w:val="single"/>
          </w:rPr>
          <w:t>2024. évi átfogó jelentés az emberkereskedelemről</w:t>
        </w:r>
      </w:hyperlink>
    </w:p>
  </w:footnote>
  <w:footnote w:id="4">
    <w:p w14:paraId="20DD9B3C" w14:textId="6A0A5C1D" w:rsidR="00375D70" w:rsidRPr="00AE2102" w:rsidRDefault="00375D70" w:rsidP="009A3B87">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lásd: </w:t>
      </w:r>
      <w:hyperlink r:id="rId4" w:history="1">
        <w:r>
          <w:rPr>
            <w:rStyle w:val="Hyperlink"/>
            <w:rFonts w:ascii="Times New Roman" w:hAnsi="Times New Roman"/>
          </w:rPr>
          <w:t>2023-as Globális Szervezett Bűnözési Index |</w:t>
        </w:r>
      </w:hyperlink>
      <w:hyperlink r:id="rId5" w:history="1">
        <w:r>
          <w:rPr>
            <w:rStyle w:val="Hyperlink"/>
            <w:rFonts w:ascii="Times New Roman" w:hAnsi="Times New Roman"/>
          </w:rPr>
          <w:t xml:space="preserve"> Globális kezdeményezés</w:t>
        </w:r>
      </w:hyperlink>
      <w:r>
        <w:rPr>
          <w:rStyle w:val="Hyperlink"/>
          <w:rFonts w:ascii="Times New Roman" w:hAnsi="Times New Roman"/>
        </w:rPr>
        <w:t>.</w:t>
      </w:r>
    </w:p>
  </w:footnote>
  <w:footnote w:id="5">
    <w:p w14:paraId="239C8613" w14:textId="2A7CB800" w:rsidR="00375D70" w:rsidRPr="00AE2102" w:rsidRDefault="00375D70" w:rsidP="00654A54">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lásd: </w:t>
      </w:r>
      <w:hyperlink r:id="rId6" w:anchor=":~:text=28%20million%20people%20were%20trapped,costs%20for%20the%20entire%20society." w:history="1">
        <w:r>
          <w:rPr>
            <w:rStyle w:val="Hyperlink"/>
            <w:rFonts w:ascii="Times New Roman" w:hAnsi="Times New Roman"/>
          </w:rPr>
          <w:t>Profits and poverty:</w:t>
        </w:r>
      </w:hyperlink>
      <w:hyperlink r:id="rId7" w:anchor=":~:text=28%20million%20people%20were%20trapped,costs%20for%20the%20entire%20society." w:history="1">
        <w:r>
          <w:rPr>
            <w:rStyle w:val="Hyperlink"/>
            <w:rFonts w:ascii="Times New Roman" w:hAnsi="Times New Roman"/>
          </w:rPr>
          <w:t xml:space="preserve"> The economics of forced labour [Profit és szegénység: a kényszermunka gazdaságtana] |</w:t>
        </w:r>
      </w:hyperlink>
      <w:hyperlink r:id="rId8" w:anchor=":~:text=28%20million%20people%20were%20trapped,costs%20for%20the%20entire%20society." w:history="1">
        <w:r>
          <w:rPr>
            <w:rStyle w:val="Hyperlink"/>
            <w:rFonts w:ascii="Times New Roman" w:hAnsi="Times New Roman"/>
          </w:rPr>
          <w:t xml:space="preserve"> Nemzetközi Munkaügyi Szervezet (ilo.org)</w:t>
        </w:r>
      </w:hyperlink>
      <w:r>
        <w:rPr>
          <w:rStyle w:val="Hyperlink"/>
          <w:rFonts w:ascii="Times New Roman" w:hAnsi="Times New Roman"/>
        </w:rPr>
        <w:t>.</w:t>
      </w:r>
    </w:p>
  </w:footnote>
  <w:footnote w:id="6">
    <w:p w14:paraId="30B70862" w14:textId="2E85AE93" w:rsidR="00EE624C" w:rsidRPr="0046195B" w:rsidRDefault="00EE624C" w:rsidP="009A3B87">
      <w:pPr>
        <w:pStyle w:val="title-bold"/>
        <w:shd w:val="clear" w:color="auto" w:fill="FFFFFF"/>
        <w:spacing w:before="0" w:beforeAutospacing="0" w:after="0" w:afterAutospacing="0"/>
        <w:contextualSpacing/>
        <w:jc w:val="both"/>
        <w:rPr>
          <w:color w:val="333333"/>
          <w:sz w:val="20"/>
          <w:szCs w:val="20"/>
        </w:rPr>
      </w:pPr>
      <w:r>
        <w:rPr>
          <w:rStyle w:val="FootnoteReference"/>
          <w:sz w:val="20"/>
          <w:szCs w:val="20"/>
        </w:rPr>
        <w:footnoteRef/>
      </w:r>
      <w:r>
        <w:rPr>
          <w:sz w:val="20"/>
        </w:rPr>
        <w:t xml:space="preserve"> </w:t>
      </w:r>
      <w:r>
        <w:rPr>
          <w:color w:val="333333"/>
          <w:sz w:val="20"/>
        </w:rPr>
        <w:t>Az Európai Parlament és a Tanács (EU) 2024/1712 irányelve (2024. június 13.) az emberkereskedelem megelőzéséről és az ellene folytatott küzdelemről, valamint az áldozatok védelméről szóló 2011/36/EU irányelv módosításáról (</w:t>
      </w:r>
      <w:r>
        <w:t xml:space="preserve">HL L, 2024/1712., 2024.6.24., </w:t>
      </w:r>
      <w:r>
        <w:rPr>
          <w:color w:val="333333"/>
          <w:sz w:val="20"/>
        </w:rPr>
        <w:t>ELI: </w:t>
      </w:r>
      <w:hyperlink r:id="rId9" w:tgtFrame="_blank" w:tooltip="Az ELI (európai jogszabály-azonosító) URI-hivatkozása révén biztosít hozzáférést a dokumentumhoz." w:history="1">
        <w:r>
          <w:rPr>
            <w:color w:val="333333"/>
            <w:sz w:val="20"/>
          </w:rPr>
          <w:t>https://eur-lex.europa.eu/legal-content/HU/TXT/?uri=CELEX:32024L1712</w:t>
        </w:r>
      </w:hyperlink>
      <w:r>
        <w:rPr>
          <w:color w:val="333333"/>
          <w:sz w:val="20"/>
        </w:rPr>
        <w:t xml:space="preserve">). </w:t>
      </w:r>
    </w:p>
  </w:footnote>
  <w:footnote w:id="7">
    <w:p w14:paraId="562DA8F1" w14:textId="364D0BA1" w:rsidR="00EE624C" w:rsidRPr="00AE6395" w:rsidRDefault="00EE624C" w:rsidP="009A3B87">
      <w:pPr>
        <w:pStyle w:val="FootnoteText"/>
        <w:spacing w:before="0"/>
        <w:contextualSpacing/>
        <w:jc w:val="both"/>
        <w:rPr>
          <w:rFonts w:ascii="Times New Roman" w:hAnsi="Times New Roman" w:cs="Times New Roman"/>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Az Európai Parlament és a Tanács 2011/36/EU irányelve (2011. április 5.) az emberkereskedelem megelőzéséről, és az ellene folytatott küzdelemről, az áldozatok védelméről (HL L 101., 2011.4.15.,</w:t>
      </w:r>
      <w:r>
        <w:rPr>
          <w:rFonts w:ascii="Roboto" w:hAnsi="Roboto"/>
          <w:color w:val="333333"/>
          <w:sz w:val="21"/>
          <w:shd w:val="clear" w:color="auto" w:fill="FFFFFF"/>
        </w:rPr>
        <w:t xml:space="preserve"> </w:t>
      </w:r>
      <w:r>
        <w:rPr>
          <w:rFonts w:ascii="Times New Roman" w:hAnsi="Times New Roman"/>
          <w:shd w:val="clear" w:color="auto" w:fill="FFFFFF"/>
        </w:rPr>
        <w:t>ELI: </w:t>
      </w:r>
      <w:hyperlink r:id="rId10" w:tooltip="Az ELI (európai jogszabály-azonosító) URI-hivatkozása révén biztosít hozzáférést a dokumentumhoz." w:history="1">
        <w:r>
          <w:rPr>
            <w:rFonts w:ascii="Times New Roman" w:hAnsi="Times New Roman"/>
            <w:shd w:val="clear" w:color="auto" w:fill="FFFFFF"/>
          </w:rPr>
          <w:t>https://eur-lex.europa.eu/legal-content/HU/TXT/?uri=CELEX:32011L0036</w:t>
        </w:r>
      </w:hyperlink>
      <w:r>
        <w:rPr>
          <w:rFonts w:ascii="Times New Roman" w:hAnsi="Times New Roman"/>
          <w:shd w:val="clear" w:color="auto" w:fill="FFFFFF"/>
        </w:rPr>
        <w:t>)</w:t>
      </w:r>
      <w:r>
        <w:t>.</w:t>
      </w:r>
      <w:r>
        <w:rPr>
          <w:rFonts w:ascii="Times New Roman" w:hAnsi="Times New Roman"/>
          <w:shd w:val="clear" w:color="auto" w:fill="FFFFFF"/>
        </w:rPr>
        <w:t xml:space="preserve"> </w:t>
      </w:r>
    </w:p>
  </w:footnote>
  <w:footnote w:id="8">
    <w:p w14:paraId="598311C4" w14:textId="5AEA497B" w:rsidR="00D87447" w:rsidRPr="00AE2102" w:rsidRDefault="00D87447" w:rsidP="0030774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az emberkereskedelemre ösztönző kereslet csökkentése, ii. az emberkereskedők üzleti modelljének felszámolása, iii. az áldozatok védelme és helyzetük megerősítése, valamint iv. a nemzetközi együttműködés előmozdítása. </w:t>
      </w:r>
    </w:p>
  </w:footnote>
  <w:footnote w:id="9">
    <w:p w14:paraId="78C9617A" w14:textId="0DABAE52" w:rsidR="00EE624C" w:rsidRPr="00B011CB" w:rsidRDefault="00EE624C" w:rsidP="00735B5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Fonts w:ascii="Times New Roman" w:hAnsi="Times New Roman"/>
            <w:color w:val="0000FF"/>
            <w:u w:val="single"/>
          </w:rPr>
          <w:t>Az emberkereskedelem elleni küzdelemre irányuló uniós stratégia (2021–2025)</w:t>
        </w:r>
      </w:hyperlink>
      <w:r>
        <w:rPr>
          <w:rFonts w:ascii="Times New Roman" w:hAnsi="Times New Roman"/>
          <w:color w:val="0000FF"/>
          <w:u w:val="single"/>
        </w:rPr>
        <w:t>.</w:t>
      </w:r>
    </w:p>
  </w:footnote>
  <w:footnote w:id="10">
    <w:p w14:paraId="797C6634" w14:textId="5170B798" w:rsidR="00CB627E" w:rsidRPr="00DD05F6" w:rsidRDefault="00CB627E" w:rsidP="008A75FD">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Nemek Közötti Egyenlőség Európai Intézete (EIGE), a szabadságon, a biztonságon és a jog érvényesülésén alapuló térség nagyméretű IT-rendszereinek üzemeltetési igazgatását végző európai uniós ügynökség (eu-LISA), az Európai Unió Büntető Igazságügyi Együttműködési Ügynöksége (Eurojust), a Bűnüldözési Együttműködés Európai Uniós Ügynöksége (Europol), az Európai Unió Alapjogi Ügynöksége (FRA), Európai Határ- és Partvédelmi Ügynökség (Frontex), az Európai Unió Menekültügyi Ügynöksége (EUAA), Európai Munkaügyi Hatóság.</w:t>
      </w:r>
    </w:p>
  </w:footnote>
  <w:footnote w:id="11">
    <w:p w14:paraId="7C77F0F5" w14:textId="3485BB86" w:rsidR="00EE624C" w:rsidRPr="00DD05F6" w:rsidRDefault="00EE624C" w:rsidP="008A75FD">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SWD(2025)4.</w:t>
      </w:r>
    </w:p>
  </w:footnote>
  <w:footnote w:id="12">
    <w:p w14:paraId="081D0E97" w14:textId="5CEFEF5C" w:rsidR="001030D3" w:rsidRPr="001030D3" w:rsidRDefault="001030D3" w:rsidP="008A75FD">
      <w:pPr>
        <w:pStyle w:val="FootnoteText"/>
        <w:contextualSpacing/>
        <w:rPr>
          <w:rFonts w:ascii="Times New Roman" w:hAnsi="Times New Roman" w:cs="Times New Roman"/>
        </w:rPr>
      </w:pPr>
      <w:r>
        <w:rPr>
          <w:rStyle w:val="FootnoteReference"/>
        </w:rPr>
        <w:footnoteRef/>
      </w:r>
      <w:r>
        <w:t xml:space="preserve"> </w:t>
      </w:r>
      <w:r>
        <w:rPr>
          <w:rFonts w:ascii="Times New Roman" w:hAnsi="Times New Roman"/>
        </w:rPr>
        <w:t>2021 óta az Eurostat minden évben gyűjt adatokat.</w:t>
      </w:r>
    </w:p>
  </w:footnote>
  <w:footnote w:id="13">
    <w:p w14:paraId="387A36CC" w14:textId="3AD86566" w:rsidR="000837AC" w:rsidRPr="0063463D" w:rsidRDefault="000837AC" w:rsidP="00A660AB">
      <w:pPr>
        <w:spacing w:after="0" w:line="240" w:lineRule="auto"/>
        <w:contextualSpacing/>
        <w:jc w:val="both"/>
        <w:rPr>
          <w:rFonts w:ascii="Times New Roman" w:hAnsi="Times New Roman" w:cs="Times New Roman"/>
          <w:kern w:val="0"/>
          <w:sz w:val="20"/>
          <w:szCs w:val="20"/>
          <w14:ligatures w14:val="none"/>
        </w:rPr>
      </w:pPr>
      <w:r>
        <w:rPr>
          <w:rStyle w:val="FootnoteReference"/>
        </w:rPr>
        <w:footnoteRef/>
      </w:r>
      <w:r>
        <w:t xml:space="preserve"> </w:t>
      </w:r>
      <w:r>
        <w:rPr>
          <w:rFonts w:ascii="Times New Roman" w:hAnsi="Times New Roman"/>
          <w:sz w:val="20"/>
        </w:rPr>
        <w:t>Megjegyzés: A számadatokat úgy igazították ki, hogy csak az adatkészletben szereplő ismert értékeket tükrözzék, figyelmen kívül hagyva a becsléseket és a nem ismert értékeket. E kiigazítás garantálja a bemutatott adatok pontosságát és megbízhatóságát. A korábbi jelentések és a jelenlegi adatok közötti eltérések e finomítási folyamatnak tudhatók be.</w:t>
      </w:r>
    </w:p>
  </w:footnote>
  <w:footnote w:id="14">
    <w:p w14:paraId="550A474F" w14:textId="30979FB9" w:rsidR="00FE1349" w:rsidRPr="00A660AB" w:rsidRDefault="00FE1349" w:rsidP="00A660A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2022-ben világszinten 25 %-kal több áldozatot azonosítottak 2019-hez képest. </w:t>
      </w:r>
    </w:p>
  </w:footnote>
  <w:footnote w:id="15">
    <w:p w14:paraId="169257B7" w14:textId="142F86D4" w:rsidR="00D92310" w:rsidRPr="00A660AB" w:rsidRDefault="00D92310" w:rsidP="00A660A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Világszinten is hasonló tendencia figyelhető meg: a nők és lányok teszik ki az emberkereskedelem áldozatainak többségét, 2022-ben azonosított áldozatok 61 %-át. </w:t>
      </w:r>
    </w:p>
  </w:footnote>
  <w:footnote w:id="16">
    <w:p w14:paraId="7C05A3AA" w14:textId="0E4B3CDC" w:rsidR="00EE624C" w:rsidRPr="0046195B" w:rsidRDefault="00EE624C" w:rsidP="00AE2102">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Magyarország, Németország, Belgium, Ausztria, Görögország, Bulgária, Eurojust, Europol, EMPACT.</w:t>
      </w:r>
    </w:p>
  </w:footnote>
  <w:footnote w:id="17">
    <w:p w14:paraId="23C5501F" w14:textId="776A78D1" w:rsidR="00B474E9" w:rsidRPr="00AE2102" w:rsidRDefault="00B474E9" w:rsidP="00AE2102">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lásd: </w:t>
      </w:r>
      <w:hyperlink r:id="rId12" w:history="1">
        <w:r>
          <w:rPr>
            <w:rFonts w:ascii="Times New Roman" w:hAnsi="Times New Roman"/>
            <w:color w:val="0000FF"/>
            <w:u w:val="single"/>
          </w:rPr>
          <w:t>First forensic sprint at Europol to speed up human trafficking investigations [Az Europol első kriminalisztikai villámakciója az emberkereskedelem elleni nyomozások felgyorsítása érdekében] |</w:t>
        </w:r>
      </w:hyperlink>
      <w:hyperlink r:id="rId13" w:history="1">
        <w:r>
          <w:rPr>
            <w:rFonts w:ascii="Times New Roman" w:hAnsi="Times New Roman"/>
            <w:color w:val="0000FF"/>
            <w:u w:val="single"/>
          </w:rPr>
          <w:t xml:space="preserve"> Europol (europa.eu)</w:t>
        </w:r>
      </w:hyperlink>
      <w:r>
        <w:rPr>
          <w:rFonts w:ascii="Times New Roman" w:hAnsi="Times New Roman"/>
          <w:color w:val="0000FF"/>
          <w:u w:val="single"/>
        </w:rPr>
        <w:t>.</w:t>
      </w:r>
    </w:p>
  </w:footnote>
  <w:footnote w:id="18">
    <w:p w14:paraId="6E918CCC" w14:textId="36546CD6" w:rsidR="00EE624C" w:rsidRPr="004A7352"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Észtország, Belgium, Franciaország, Görögország, Írország, Hollandia, Portugália, Lengyelország, Málta Spanyolország és az Europol.</w:t>
      </w:r>
    </w:p>
  </w:footnote>
  <w:footnote w:id="19">
    <w:p w14:paraId="60D3640B" w14:textId="77777777" w:rsidR="00EE624C" w:rsidRPr="0046195B"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Ausztria, Görögország, Írország, Lettország, Olaszország, Portugália, Svédország, Málta, Dánia.</w:t>
      </w:r>
    </w:p>
  </w:footnote>
  <w:footnote w:id="20">
    <w:p w14:paraId="28B1F69B" w14:textId="27E83E7E" w:rsidR="00EE624C" w:rsidRPr="00AE2102"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Belgium, Lettország, Luxemburg és Portugália.</w:t>
      </w:r>
    </w:p>
  </w:footnote>
  <w:footnote w:id="21">
    <w:p w14:paraId="4E200C2C" w14:textId="4C28B255" w:rsidR="00F05CEA" w:rsidRPr="00A660AB" w:rsidRDefault="00F05CEA">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 és 2022 között világszinten 47 %-kal nőtt a kényszermunka céljából folytatott emberkereskedelem felderített áldozatainak száma. </w:t>
      </w:r>
    </w:p>
  </w:footnote>
  <w:footnote w:id="22">
    <w:p w14:paraId="5314321E" w14:textId="3FCAE559" w:rsidR="00D02563" w:rsidRPr="007450AC" w:rsidRDefault="00D02563"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munkaerő-kizsákmányolás céljából folytatott emberkereskedelem regisztrált áldozatainak 5 %-a esetében „egyéb” állampolgárság szerepel a nyilvántartásban.</w:t>
      </w:r>
    </w:p>
  </w:footnote>
  <w:footnote w:id="23">
    <w:p w14:paraId="2D22CB2B" w14:textId="4AA9F345" w:rsidR="00EE624C" w:rsidRPr="006D488F"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Europol. </w:t>
      </w:r>
    </w:p>
  </w:footnote>
  <w:footnote w:id="24">
    <w:p w14:paraId="2AD8ECDD" w14:textId="77777777" w:rsidR="00EE624C" w:rsidRPr="00FE4EA7"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Dourado ügy, Portugália, valamint Corr. Bruxelles francophone, 4 novembre 2019, 69ème ch. (par défaut et appel). Voy. Myria, Rapport annuel Traite et trafic des êtres humains 2020, Derrière des portes closes, pp. 90-91 et le site internet de Myria (jurisprudence), Bruxelles, 27 juin 2022, 11ème ch.</w:t>
      </w:r>
    </w:p>
  </w:footnote>
  <w:footnote w:id="25">
    <w:p w14:paraId="5F03B59F" w14:textId="77777777" w:rsidR="00EE624C" w:rsidRPr="00FE4EA7" w:rsidRDefault="00EE624C" w:rsidP="009A3B8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emberkereskedelem csökkentése érdekében </w:t>
      </w:r>
      <w:r>
        <w:rPr>
          <w:rFonts w:ascii="Times New Roman" w:hAnsi="Times New Roman"/>
          <w:color w:val="222F3A"/>
          <w:shd w:val="clear" w:color="auto" w:fill="FFFFFF"/>
        </w:rPr>
        <w:t>a FIFA átigazolási rendszere 2022 óta egy olyan elektronikus útlevél kiadását is magában foglalja, amely tizenkét éves kortól kezdve tartalmazza a játékos nyilvántartásba vételi előzményeit.</w:t>
      </w:r>
    </w:p>
  </w:footnote>
  <w:footnote w:id="26">
    <w:p w14:paraId="47D06291" w14:textId="74E675F4" w:rsidR="0044188C" w:rsidRPr="00FE4EA7" w:rsidRDefault="0044188C" w:rsidP="00B011CB">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Rapport annuel d'évaluation 2023 |</w:t>
        </w:r>
      </w:hyperlink>
      <w:hyperlink r:id="rId15" w:history="1">
        <w:r>
          <w:rPr>
            <w:rStyle w:val="Hyperlink"/>
            <w:rFonts w:ascii="Times New Roman" w:hAnsi="Times New Roman"/>
          </w:rPr>
          <w:t xml:space="preserve"> Traite et trafic des êtres humains (myria.be)</w:t>
        </w:r>
      </w:hyperlink>
      <w:r>
        <w:rPr>
          <w:rStyle w:val="Hyperlink"/>
          <w:rFonts w:ascii="Times New Roman" w:hAnsi="Times New Roman"/>
        </w:rPr>
        <w:t>.</w:t>
      </w:r>
    </w:p>
  </w:footnote>
  <w:footnote w:id="27">
    <w:p w14:paraId="20623ACE" w14:textId="48481451" w:rsidR="0044188C" w:rsidRPr="00FE4EA7" w:rsidRDefault="0044188C" w:rsidP="00B011CB">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BKA – Bundeslagebilder Menschenhandel – Bundeslagebild Menschenhandel und Ausbeutung 2022</w:t>
        </w:r>
      </w:hyperlink>
      <w:r>
        <w:rPr>
          <w:rStyle w:val="Hyperlink"/>
          <w:rFonts w:ascii="Times New Roman" w:hAnsi="Times New Roman"/>
        </w:rPr>
        <w:t>.</w:t>
      </w:r>
    </w:p>
  </w:footnote>
  <w:footnote w:id="28">
    <w:p w14:paraId="3B8CFE0C" w14:textId="104038E0" w:rsidR="007B4235" w:rsidRPr="00000BF6" w:rsidRDefault="007B4235" w:rsidP="00B011CB">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Banglades, Pakisztán, Törökország, Nepál.</w:t>
      </w:r>
    </w:p>
  </w:footnote>
  <w:footnote w:id="29">
    <w:p w14:paraId="711EC8BF" w14:textId="0AD2ADDD" w:rsidR="001A26CB" w:rsidRPr="00000BF6" w:rsidRDefault="001A26CB" w:rsidP="00B011CB">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Marokkó.</w:t>
      </w:r>
    </w:p>
  </w:footnote>
  <w:footnote w:id="30">
    <w:p w14:paraId="01B2C030" w14:textId="4F64AB82" w:rsidR="007D19CA" w:rsidRPr="00A77D23" w:rsidRDefault="007D19CA" w:rsidP="00B011CB">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Ukrajna, Magyarország, Bulgária.</w:t>
      </w:r>
    </w:p>
  </w:footnote>
  <w:footnote w:id="31">
    <w:p w14:paraId="4D92C97A" w14:textId="64148B37" w:rsidR="00AE2102" w:rsidRPr="00147C9A" w:rsidRDefault="00AE2102" w:rsidP="00FA1268">
      <w:pPr>
        <w:pStyle w:val="FootnoteText"/>
        <w:spacing w:before="0"/>
        <w:contextualSpacing/>
        <w:rPr>
          <w:rFonts w:ascii="Times New Roman" w:hAnsi="Times New Roman" w:cs="Times New Roman"/>
        </w:rPr>
      </w:pPr>
      <w:r>
        <w:rPr>
          <w:rStyle w:val="FootnoteReference"/>
        </w:rPr>
        <w:footnoteRef/>
      </w:r>
      <w:r>
        <w:t xml:space="preserve"> </w:t>
      </w:r>
      <w:hyperlink r:id="rId17" w:history="1">
        <w:r>
          <w:rPr>
            <w:rFonts w:ascii="Times New Roman" w:hAnsi="Times New Roman"/>
          </w:rPr>
          <w:t>Kinderarbeit – Fakten und Forderungen |</w:t>
        </w:r>
      </w:hyperlink>
      <w:hyperlink r:id="rId18" w:history="1">
        <w:r>
          <w:rPr>
            <w:rFonts w:ascii="Times New Roman" w:hAnsi="Times New Roman"/>
          </w:rPr>
          <w:t xml:space="preserve"> terre des hommes (tdh.de)</w:t>
        </w:r>
      </w:hyperlink>
      <w:r>
        <w:rPr>
          <w:rFonts w:ascii="Times New Roman" w:hAnsi="Times New Roman"/>
        </w:rPr>
        <w:t xml:space="preserve">. </w:t>
      </w:r>
    </w:p>
  </w:footnote>
  <w:footnote w:id="32">
    <w:p w14:paraId="6C9E4412" w14:textId="032DB9E4" w:rsidR="00183DAF" w:rsidRPr="00000BF6" w:rsidRDefault="00183DAF" w:rsidP="00000BF6">
      <w:pPr>
        <w:pStyle w:val="FootnoteText"/>
        <w:spacing w:before="0"/>
      </w:pPr>
      <w:r>
        <w:rPr>
          <w:rStyle w:val="FootnoteReference"/>
        </w:rPr>
        <w:footnoteRef/>
      </w:r>
      <w:r>
        <w:t xml:space="preserve"> </w:t>
      </w:r>
      <w:r>
        <w:rPr>
          <w:rFonts w:ascii="Times New Roman" w:hAnsi="Times New Roman"/>
        </w:rPr>
        <w:t>Ausztria, Finnország, Írország, Portugália, Svédország és az Europol.</w:t>
      </w:r>
    </w:p>
  </w:footnote>
  <w:footnote w:id="33">
    <w:p w14:paraId="4D18DFD0" w14:textId="0C410B71" w:rsidR="00EE624C" w:rsidRPr="0046195B" w:rsidRDefault="00EE624C" w:rsidP="00B011CB">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Finnország, Svédország, Portugália – a 2022. évi éves biztonsági jelentés.</w:t>
      </w:r>
    </w:p>
  </w:footnote>
  <w:footnote w:id="34">
    <w:p w14:paraId="0667DF1F" w14:textId="36609697" w:rsidR="00032859" w:rsidRPr="00AE2102" w:rsidRDefault="00032859" w:rsidP="00B011CB">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Europol.</w:t>
      </w:r>
    </w:p>
  </w:footnote>
  <w:footnote w:id="35">
    <w:p w14:paraId="27C8A276" w14:textId="77777777" w:rsidR="00EE624C" w:rsidRPr="00A74661" w:rsidRDefault="00EE624C" w:rsidP="00B011CB">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2019–2020-ban az Unióban a kizsákmányolás egyéb formái az emberkereskedelem eseteinek 11 %-át tették ki. </w:t>
      </w:r>
    </w:p>
  </w:footnote>
  <w:footnote w:id="36">
    <w:p w14:paraId="35BC0082" w14:textId="327DF397" w:rsidR="00EE624C" w:rsidRPr="00A74661" w:rsidRDefault="00EE624C"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Például Belgium, Ciprus, Horvátország, Lettország, Spanyolország. </w:t>
      </w:r>
    </w:p>
  </w:footnote>
  <w:footnote w:id="37">
    <w:p w14:paraId="086C41D0" w14:textId="361530E2" w:rsidR="00EE624C" w:rsidRPr="00AE2102" w:rsidRDefault="00EE624C" w:rsidP="00857C43">
      <w:pPr>
        <w:pStyle w:val="FootnoteText"/>
        <w:spacing w:before="0"/>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Írország és Szlovénia.</w:t>
      </w:r>
    </w:p>
  </w:footnote>
  <w:footnote w:id="38">
    <w:p w14:paraId="351BB432" w14:textId="77777777" w:rsidR="00040B6A" w:rsidRPr="0046195B" w:rsidRDefault="00040B6A"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Például Észtország, Franciaország.</w:t>
      </w:r>
    </w:p>
  </w:footnote>
  <w:footnote w:id="39">
    <w:p w14:paraId="07AF676B" w14:textId="24F6C31F" w:rsidR="006A396B" w:rsidRPr="00307746" w:rsidRDefault="006A396B" w:rsidP="00857C43">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lásd: </w:t>
      </w:r>
      <w:hyperlink r:id="rId19" w:history="1">
        <w:r>
          <w:rPr>
            <w:rFonts w:ascii="Times New Roman" w:hAnsi="Times New Roman"/>
            <w:color w:val="0000FF"/>
            <w:u w:val="single"/>
          </w:rPr>
          <w:t>Human trafficking ring exploiting children halted in Serbia [Megállították a gyermekeket kizsákmányoló embercsempész-hálózatot Szerbiában] |</w:t>
        </w:r>
      </w:hyperlink>
      <w:hyperlink r:id="rId20" w:history="1">
        <w:r>
          <w:rPr>
            <w:rFonts w:ascii="Times New Roman" w:hAnsi="Times New Roman"/>
            <w:color w:val="0000FF"/>
            <w:u w:val="single"/>
          </w:rPr>
          <w:t xml:space="preserve"> Europol (europa.eu)</w:t>
        </w:r>
      </w:hyperlink>
      <w:r>
        <w:rPr>
          <w:rFonts w:ascii="Times New Roman" w:hAnsi="Times New Roman"/>
          <w:color w:val="0000FF"/>
          <w:u w:val="single"/>
        </w:rPr>
        <w:t>.</w:t>
      </w:r>
    </w:p>
  </w:footnote>
  <w:footnote w:id="40">
    <w:p w14:paraId="3C258016" w14:textId="29A838E1" w:rsidR="00EE624C" w:rsidRPr="00486CC9" w:rsidRDefault="00EE624C"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Szlovénia, Szlovákia, Spanyolország, Horvátország, Lettország, Görögország és Litvánia.</w:t>
      </w:r>
    </w:p>
  </w:footnote>
  <w:footnote w:id="41">
    <w:p w14:paraId="3C26A8D2" w14:textId="359AE78E" w:rsidR="00EE624C" w:rsidRPr="0046195B" w:rsidRDefault="00EE624C"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Görögország.</w:t>
      </w:r>
    </w:p>
  </w:footnote>
  <w:footnote w:id="42">
    <w:p w14:paraId="772089D9" w14:textId="12B207EF" w:rsidR="00CB21CF" w:rsidRPr="00AE2102" w:rsidRDefault="00CB21CF"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Főként Grúzia és Albánia.</w:t>
      </w:r>
    </w:p>
  </w:footnote>
  <w:footnote w:id="43">
    <w:p w14:paraId="2928F26E" w14:textId="10055B31" w:rsidR="00F15285" w:rsidRPr="00A660AB" w:rsidRDefault="00F15285" w:rsidP="00A660A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Ezzel szemben 2022-ben világszinten 31 %-kal nőtt az azonosított gyermek áldozatok száma 2019-hez képest. </w:t>
      </w:r>
    </w:p>
  </w:footnote>
  <w:footnote w:id="44">
    <w:p w14:paraId="4398DED1" w14:textId="52E70B07" w:rsidR="00141DDE" w:rsidRPr="00AE2102" w:rsidRDefault="00141DDE" w:rsidP="005A0DDE">
      <w:pPr>
        <w:pStyle w:val="FootnoteText"/>
        <w:spacing w:before="0"/>
        <w:contextualSpacing/>
        <w:rPr>
          <w:rFonts w:ascii="Times New Roman" w:hAnsi="Times New Roman" w:cs="Times New Roman"/>
        </w:rPr>
      </w:pPr>
      <w:r>
        <w:rPr>
          <w:rFonts w:ascii="Times New Roman" w:hAnsi="Times New Roman" w:cs="Times New Roman"/>
          <w:vertAlign w:val="superscript"/>
          <w:lang w:val="de-DE"/>
        </w:rPr>
        <w:footnoteRef/>
      </w:r>
      <w:r>
        <w:rPr>
          <w:rFonts w:ascii="Times New Roman" w:hAnsi="Times New Roman"/>
        </w:rPr>
        <w:t xml:space="preserve"> Belgium, Spanyolország, Írország, Ausztria.</w:t>
      </w:r>
    </w:p>
  </w:footnote>
  <w:footnote w:id="45">
    <w:p w14:paraId="47CF1886" w14:textId="049EF605" w:rsidR="00131D21" w:rsidRPr="00A84D61" w:rsidRDefault="00131D21" w:rsidP="00000BF6">
      <w:pPr>
        <w:pStyle w:val="FootnoteText"/>
        <w:spacing w:before="0"/>
        <w:contextualSpacing/>
      </w:pPr>
      <w:r>
        <w:rPr>
          <w:rStyle w:val="FootnoteReference"/>
        </w:rPr>
        <w:footnoteRef/>
      </w:r>
      <w:r>
        <w:t xml:space="preserve"> </w:t>
      </w:r>
      <w:r>
        <w:rPr>
          <w:rFonts w:ascii="Times New Roman" w:hAnsi="Times New Roman"/>
        </w:rPr>
        <w:t>Europol és EMPACT OA 2.8.</w:t>
      </w:r>
    </w:p>
  </w:footnote>
  <w:footnote w:id="46">
    <w:p w14:paraId="31853F36" w14:textId="6150D590" w:rsidR="00EE624C" w:rsidRPr="00C01CCD" w:rsidRDefault="00EE624C" w:rsidP="000E644A">
      <w:pPr>
        <w:pStyle w:val="FootnoteText"/>
        <w:spacing w:before="0"/>
        <w:jc w:val="both"/>
        <w:rPr>
          <w:rFonts w:ascii="Times New Roman" w:hAnsi="Times New Roman" w:cs="Times New Roman"/>
        </w:rPr>
      </w:pPr>
      <w:r>
        <w:rPr>
          <w:rFonts w:ascii="Times New Roman" w:hAnsi="Times New Roman" w:cs="Times New Roman"/>
          <w:vertAlign w:val="superscript"/>
          <w:lang w:val="de-DE"/>
        </w:rPr>
        <w:footnoteRef/>
      </w:r>
      <w:r>
        <w:rPr>
          <w:rFonts w:ascii="Times New Roman" w:hAnsi="Times New Roman"/>
          <w:vertAlign w:val="superscript"/>
        </w:rPr>
        <w:t xml:space="preserve"> </w:t>
      </w:r>
      <w:r>
        <w:rPr>
          <w:rFonts w:ascii="Times New Roman" w:hAnsi="Times New Roman"/>
        </w:rPr>
        <w:t>2022 Bundeslagebild des Menschenhandels (Bundeskriminalamt).</w:t>
      </w:r>
    </w:p>
  </w:footnote>
  <w:footnote w:id="47">
    <w:p w14:paraId="0208E888" w14:textId="751DD48B" w:rsidR="341E90BB" w:rsidRDefault="341E90BB" w:rsidP="00147C9A">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1" w:history="1">
        <w:r>
          <w:rPr>
            <w:rStyle w:val="Hyperlink"/>
            <w:rFonts w:ascii="Times New Roman" w:hAnsi="Times New Roman"/>
          </w:rPr>
          <w:t>L'Avis sur la traite à des fins de contrainte à commettre tout crime ou délit (A - 2024-2) (cncdh.fr)</w:t>
        </w:r>
      </w:hyperlink>
      <w:r>
        <w:rPr>
          <w:rStyle w:val="Hyperlink"/>
          <w:rFonts w:ascii="Times New Roman" w:hAnsi="Times New Roman"/>
        </w:rPr>
        <w:t>.</w:t>
      </w:r>
    </w:p>
  </w:footnote>
  <w:footnote w:id="48">
    <w:p w14:paraId="6D8C37E7" w14:textId="4462160D" w:rsidR="0000720E" w:rsidRPr="00000BF6" w:rsidRDefault="0000720E" w:rsidP="00000BF6">
      <w:pPr>
        <w:pStyle w:val="FootnoteText"/>
        <w:spacing w:before="0"/>
        <w:rPr>
          <w:rFonts w:ascii="Times New Roman" w:hAnsi="Times New Roman" w:cs="Times New Roman"/>
        </w:rPr>
      </w:pPr>
      <w:r>
        <w:rPr>
          <w:rStyle w:val="FootnoteReference"/>
        </w:rPr>
        <w:footnoteRef/>
      </w:r>
      <w:r>
        <w:t xml:space="preserve"> </w:t>
      </w:r>
      <w:r>
        <w:rPr>
          <w:rFonts w:ascii="Times New Roman" w:hAnsi="Times New Roman"/>
        </w:rPr>
        <w:t>A Frontex észrevételei.</w:t>
      </w:r>
    </w:p>
  </w:footnote>
  <w:footnote w:id="49">
    <w:p w14:paraId="521315DF" w14:textId="3163390A" w:rsidR="00051B42" w:rsidRPr="00000BF6" w:rsidRDefault="00051B42" w:rsidP="00A12DE4">
      <w:pPr>
        <w:pStyle w:val="FootnoteText"/>
        <w:spacing w:befor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Europol észrevételei. </w:t>
      </w:r>
    </w:p>
  </w:footnote>
  <w:footnote w:id="50">
    <w:p w14:paraId="7C58A7C7" w14:textId="146FD388" w:rsidR="00D205B4" w:rsidRPr="00000BF6" w:rsidRDefault="00D205B4" w:rsidP="00000BF6">
      <w:pPr>
        <w:pStyle w:val="FootnoteText"/>
        <w:spacing w:before="0"/>
      </w:pPr>
      <w:r>
        <w:rPr>
          <w:rStyle w:val="FootnoteReference"/>
        </w:rPr>
        <w:footnoteRef/>
      </w:r>
      <w:r>
        <w:t xml:space="preserve"> </w:t>
      </w:r>
      <w:r>
        <w:rPr>
          <w:rFonts w:ascii="Times New Roman" w:hAnsi="Times New Roman"/>
        </w:rPr>
        <w:t>EMPACT 2.8.</w:t>
      </w:r>
    </w:p>
  </w:footnote>
  <w:footnote w:id="51">
    <w:p w14:paraId="54095C78" w14:textId="30505ED3" w:rsidR="005A0B15" w:rsidRPr="008A7060" w:rsidRDefault="005A0B15" w:rsidP="002A7BBA">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w:t>
      </w:r>
      <w:r>
        <w:rPr>
          <w:rFonts w:ascii="Times New Roman" w:hAnsi="Times New Roman"/>
          <w:color w:val="333333"/>
          <w:shd w:val="clear" w:color="auto" w:fill="FFFFFF"/>
        </w:rPr>
        <w:t>2022)427 final.</w:t>
      </w:r>
    </w:p>
  </w:footnote>
  <w:footnote w:id="52">
    <w:p w14:paraId="062D4BDA" w14:textId="2112C5C6" w:rsidR="005A0B15" w:rsidRPr="008A7060" w:rsidRDefault="005A0B15" w:rsidP="002A7BBA">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emberkereskedelem megelőzéséről, az ellene folytatott küzdelemről és az áldozatok védelméről szóló 2011/36/EU irányelv módosításáról szóló európai parlamenti és tanácsi irányelvre irányuló bizottsági javaslat (</w:t>
      </w:r>
      <w:r>
        <w:rPr>
          <w:rFonts w:ascii="Times New Roman" w:hAnsi="Times New Roman"/>
          <w:color w:val="333333"/>
          <w:shd w:val="clear" w:color="auto" w:fill="FFFFFF"/>
        </w:rPr>
        <w:t>COM(2022)732 final).</w:t>
      </w:r>
    </w:p>
  </w:footnote>
  <w:footnote w:id="53">
    <w:p w14:paraId="65111EA7" w14:textId="77777777" w:rsidR="00CA2D82" w:rsidRPr="006678B7" w:rsidRDefault="00CA2D82" w:rsidP="002A7BBA">
      <w:pPr>
        <w:pStyle w:val="FootnoteText"/>
        <w:widowControl w:val="0"/>
        <w:tabs>
          <w:tab w:val="left" w:pos="284"/>
          <w:tab w:val="left" w:pos="426"/>
        </w:tabs>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Románia, Franciaország, Olaszország, Görögország, Szlovénia, Csehország, Hollandia.</w:t>
      </w:r>
    </w:p>
  </w:footnote>
  <w:footnote w:id="54">
    <w:p w14:paraId="5CD1D21F" w14:textId="77777777" w:rsidR="00CA2D82" w:rsidRPr="004238E5" w:rsidRDefault="00CA2D82" w:rsidP="004238E5">
      <w:pPr>
        <w:pStyle w:val="FootnoteText"/>
        <w:widowControl w:val="0"/>
        <w:tabs>
          <w:tab w:val="left" w:pos="284"/>
          <w:tab w:val="left" w:pos="426"/>
        </w:tabs>
        <w:spacing w:before="0"/>
        <w:contextualSpacing/>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Németország, Horvátország, Görögország, Olaszország, Litvánia, Luxemburg, Lettország.</w:t>
      </w:r>
    </w:p>
  </w:footnote>
  <w:footnote w:id="55">
    <w:p w14:paraId="41E94E32" w14:textId="16529248" w:rsidR="004F32C8" w:rsidRPr="004238E5" w:rsidRDefault="004F32C8" w:rsidP="004238E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MMIA – A tematikus eszköz 2021–2022-es és 2023–2025-ös időszakra vonatkozó munkaprogramja elérhető a Migrációügyi és Uniós Belügyi Főigazgatóság weboldalán:</w:t>
      </w:r>
      <w:r>
        <w:rPr>
          <w:rFonts w:ascii="Times New Roman" w:hAnsi="Times New Roman"/>
          <w:color w:val="0000FF"/>
        </w:rPr>
        <w:t xml:space="preserve"> </w:t>
      </w:r>
      <w:hyperlink r:id="rId22" w:history="1">
        <w:r>
          <w:rPr>
            <w:rStyle w:val="Hyperlink"/>
            <w:rFonts w:ascii="Times New Roman" w:hAnsi="Times New Roman"/>
          </w:rPr>
          <w:t>https://home-affairs.ec.europa.eu/funding/asylum-migration-and-integration-funds/asylum-migration-and-integration-fund-2021-2027_en?prefLang=hu</w:t>
        </w:r>
      </w:hyperlink>
      <w:r>
        <w:rPr>
          <w:rStyle w:val="Hyperlink"/>
          <w:rFonts w:ascii="Times New Roman" w:hAnsi="Times New Roman"/>
        </w:rPr>
        <w:t>.</w:t>
      </w:r>
      <w:r>
        <w:rPr>
          <w:rFonts w:ascii="Times New Roman" w:hAnsi="Times New Roman"/>
          <w:color w:val="0000FF"/>
          <w:u w:val="single"/>
        </w:rPr>
        <w:t xml:space="preserve"> </w:t>
      </w:r>
    </w:p>
  </w:footnote>
  <w:footnote w:id="56">
    <w:p w14:paraId="2E699A13" w14:textId="5AE297A0" w:rsidR="004F32C8" w:rsidRPr="004238E5" w:rsidRDefault="004F32C8" w:rsidP="003C5D78">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BBA – A tematikus eszköz 2021–2022-es és 2023–2025-ös időszakra vonatkozó munkaprogramja elérhető a Migrációügyi és Uniós Belügyi Főigazgatóság weboldalán: </w:t>
      </w:r>
      <w:hyperlink r:id="rId23" w:history="1">
        <w:r>
          <w:rPr>
            <w:rStyle w:val="Hyperlink"/>
            <w:rFonts w:ascii="Times New Roman" w:hAnsi="Times New Roman"/>
          </w:rPr>
          <w:t>https://home-affairs.ec.europa.eu/funding/internal-security-funds/internal-security-fund-2021-2027_en?prefLang=hu</w:t>
        </w:r>
      </w:hyperlink>
      <w:r>
        <w:rPr>
          <w:rFonts w:ascii="Times New Roman" w:hAnsi="Times New Roman"/>
        </w:rPr>
        <w:t>.</w:t>
      </w:r>
    </w:p>
  </w:footnote>
  <w:footnote w:id="57">
    <w:p w14:paraId="0D744EF6" w14:textId="45192CD1" w:rsidR="00875776" w:rsidRPr="007659B9" w:rsidRDefault="00875776" w:rsidP="00000BF6">
      <w:pPr>
        <w:pStyle w:val="pf0"/>
        <w:spacing w:before="0" w:beforeAutospacing="0" w:after="0" w:afterAutospacing="0"/>
        <w:jc w:val="both"/>
        <w:rPr>
          <w:rFonts w:ascii="Arial" w:hAnsi="Arial" w:cs="Arial"/>
        </w:rPr>
      </w:pPr>
      <w:r>
        <w:rPr>
          <w:rStyle w:val="FootnoteReference"/>
        </w:rPr>
        <w:footnoteRef/>
      </w:r>
      <w:r>
        <w:t xml:space="preserve"> </w:t>
      </w:r>
      <w:r>
        <w:rPr>
          <w:rStyle w:val="Hyperlink"/>
          <w:color w:val="auto"/>
          <w:sz w:val="20"/>
          <w:u w:val="none"/>
        </w:rPr>
        <w:t>25 millió EUR a tervezett összeg, de a végrehajtott vagy az előirányzott összeg ettől eltérhet. Ebből az összegből különböző típusú intézkedéseket, azaz uniós intézkedéseket, egyedi intézkedéseket és közbeszerzéseket fedeznek.</w:t>
      </w:r>
    </w:p>
  </w:footnote>
  <w:footnote w:id="58">
    <w:p w14:paraId="09299EC7" w14:textId="41DFB329" w:rsidR="007B5D66" w:rsidRPr="007B5D66" w:rsidRDefault="007B5D66" w:rsidP="00000BF6">
      <w:pPr>
        <w:pStyle w:val="FootnoteText"/>
        <w:spacing w:before="0"/>
        <w:jc w:val="both"/>
      </w:pPr>
      <w:r>
        <w:rPr>
          <w:rStyle w:val="FootnoteReference"/>
          <w:rFonts w:ascii="Times New Roman" w:hAnsi="Times New Roman" w:cs="Times New Roman"/>
        </w:rPr>
        <w:footnoteRef/>
      </w:r>
      <w:r>
        <w:rPr>
          <w:rFonts w:ascii="Times New Roman" w:hAnsi="Times New Roman"/>
        </w:rPr>
        <w:t xml:space="preserve"> A Menekültügyi, Migrációs és Integrációs Alap és a Belső Biztonsági Alap keretében finanszírozott uniós támogatások jegyzéke elérhető </w:t>
      </w:r>
      <w:hyperlink r:id="rId24" w:history="1">
        <w:r>
          <w:rPr>
            <w:rStyle w:val="Hyperlink"/>
            <w:rFonts w:ascii="Times New Roman" w:hAnsi="Times New Roman"/>
          </w:rPr>
          <w:t>az EU finanszírozási és pályázati portálján, az EU által finanszírozott projektek menüpont alatt</w:t>
        </w:r>
      </w:hyperlink>
      <w:r>
        <w:rPr>
          <w:rFonts w:ascii="Times New Roman" w:hAnsi="Times New Roman"/>
        </w:rPr>
        <w:t xml:space="preserve"> (europa.eu).</w:t>
      </w:r>
    </w:p>
  </w:footnote>
  <w:footnote w:id="59">
    <w:p w14:paraId="5A9645B9" w14:textId="2F5171B0" w:rsidR="008C2A2B" w:rsidRPr="004238E5" w:rsidRDefault="008C2A2B" w:rsidP="004238E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Tanács következtetései a 2022 és 2025 közötti EMPACT súlyos és szervezett bűnözés elleni küzdelemmel kapcsolatos uniós prioritásainak meghatározásáról, </w:t>
      </w:r>
      <w:hyperlink r:id="rId25" w:history="1">
        <w:r>
          <w:rPr>
            <w:rStyle w:val="Hyperlink"/>
            <w:rFonts w:ascii="Times New Roman" w:hAnsi="Times New Roman"/>
          </w:rPr>
          <w:t>https://data.consilium.europa.eu/doc/document/ST-8665-2021-INIT/hu/pdf</w:t>
        </w:r>
      </w:hyperlink>
      <w:r>
        <w:rPr>
          <w:rFonts w:ascii="Times New Roman" w:hAnsi="Times New Roman"/>
        </w:rPr>
        <w:t xml:space="preserve">. Lásd még: </w:t>
      </w:r>
      <w:hyperlink r:id="rId26" w:history="1">
        <w:r>
          <w:rPr>
            <w:rFonts w:ascii="Times New Roman" w:hAnsi="Times New Roman"/>
            <w:color w:val="0000FF"/>
            <w:u w:val="single"/>
          </w:rPr>
          <w:t>EU Policy Cycle - EMPACT [A szervezett és súlyos nemzetközi bűnözésre vonatkozó uniós szakpolitikai ciklus – EMPACT] |</w:t>
        </w:r>
      </w:hyperlink>
      <w:hyperlink r:id="rId27" w:history="1">
        <w:r>
          <w:rPr>
            <w:rFonts w:ascii="Times New Roman" w:hAnsi="Times New Roman"/>
            <w:color w:val="0000FF"/>
            <w:u w:val="single"/>
          </w:rPr>
          <w:t xml:space="preserve"> Europol (europa.eu)</w:t>
        </w:r>
      </w:hyperlink>
      <w:r>
        <w:rPr>
          <w:rFonts w:ascii="Times New Roman" w:hAnsi="Times New Roman"/>
        </w:rPr>
        <w:t>.</w:t>
      </w:r>
    </w:p>
  </w:footnote>
  <w:footnote w:id="60">
    <w:p w14:paraId="7DBE7494" w14:textId="628329C7" w:rsidR="00DF536E" w:rsidRPr="004238E5" w:rsidRDefault="00DF536E"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látogasson el a következő weboldalra: </w:t>
      </w:r>
      <w:hyperlink r:id="rId28" w:history="1">
        <w:r>
          <w:rPr>
            <w:rFonts w:ascii="Times New Roman" w:hAnsi="Times New Roman"/>
            <w:color w:val="0000FF"/>
            <w:u w:val="single"/>
          </w:rPr>
          <w:t>Közös nyomozócsoportok |</w:t>
        </w:r>
      </w:hyperlink>
      <w:hyperlink r:id="rId29" w:history="1">
        <w:r>
          <w:rPr>
            <w:rFonts w:ascii="Times New Roman" w:hAnsi="Times New Roman"/>
            <w:color w:val="0000FF"/>
            <w:u w:val="single"/>
          </w:rPr>
          <w:t xml:space="preserve"> Eurojust |</w:t>
        </w:r>
      </w:hyperlink>
      <w:hyperlink r:id="rId30" w:history="1">
        <w:r>
          <w:rPr>
            <w:rFonts w:ascii="Times New Roman" w:hAnsi="Times New Roman"/>
            <w:color w:val="0000FF"/>
            <w:u w:val="single"/>
          </w:rPr>
          <w:t xml:space="preserve"> Az Európai Unió Büntető Igazságügyi Együttműködési Ügynöksége (europa.eu)</w:t>
        </w:r>
      </w:hyperlink>
      <w:r>
        <w:rPr>
          <w:rFonts w:ascii="Times New Roman" w:hAnsi="Times New Roman"/>
          <w:color w:val="0000FF"/>
          <w:u w:val="single"/>
        </w:rPr>
        <w:t>.</w:t>
      </w:r>
    </w:p>
  </w:footnote>
  <w:footnote w:id="61">
    <w:p w14:paraId="38FD490A" w14:textId="77777777" w:rsidR="008048D4" w:rsidRPr="004238E5" w:rsidRDefault="008048D4"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Bulgária, Finnország, Németország, Magyarország, Olaszország, Litvánia, Írország, Málta, Spanyolország és Románia, Szlovákia és Szlovénia. </w:t>
      </w:r>
    </w:p>
  </w:footnote>
  <w:footnote w:id="62">
    <w:p w14:paraId="4AC9A1D1" w14:textId="58AF704C" w:rsidR="00EB053A" w:rsidRPr="004238E5" w:rsidRDefault="00EB053A"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2024/1712 irányelv 20. cikke.</w:t>
      </w:r>
    </w:p>
  </w:footnote>
  <w:footnote w:id="63">
    <w:p w14:paraId="671B8563" w14:textId="5CE6A403" w:rsidR="004238E5" w:rsidRPr="00B011CB" w:rsidRDefault="004238E5"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1" w:history="1">
        <w:r>
          <w:rPr>
            <w:rFonts w:ascii="Times New Roman" w:hAnsi="Times New Roman"/>
            <w:color w:val="0000FF"/>
            <w:u w:val="single"/>
          </w:rPr>
          <w:t>Az emberkereskedelem elleni küzdelem európai uniós koordinátora – Európai Bizottság (europa.eu)</w:t>
        </w:r>
      </w:hyperlink>
      <w:r>
        <w:rPr>
          <w:rFonts w:ascii="Times New Roman" w:hAnsi="Times New Roman"/>
          <w:color w:val="0000FF"/>
          <w:u w:val="single"/>
        </w:rPr>
        <w:t>.</w:t>
      </w:r>
    </w:p>
  </w:footnote>
  <w:footnote w:id="64">
    <w:p w14:paraId="676DC162" w14:textId="6F086721" w:rsidR="00B97612" w:rsidRPr="00307746" w:rsidRDefault="00B97612"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2024/1712 irányelv 19. cikke.</w:t>
      </w:r>
    </w:p>
  </w:footnote>
  <w:footnote w:id="65">
    <w:p w14:paraId="33C96BDF" w14:textId="172EF670" w:rsidR="00C639A2" w:rsidRPr="00307746" w:rsidRDefault="00C639A2"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Belgium, Csehország, Finnország, Franciaország, Németország, Görögország, Írország, Lettország, Litvánia, Luxemburg, Hollandia, Portugália, Románia, Szlovákia, Spanyolország és Svédország.</w:t>
      </w:r>
    </w:p>
  </w:footnote>
  <w:footnote w:id="66">
    <w:p w14:paraId="1C850B65" w14:textId="72308672" w:rsidR="007464F3" w:rsidRPr="00AE2102" w:rsidRDefault="007464F3"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Magyarország, Németország, Hollandia.</w:t>
      </w:r>
    </w:p>
  </w:footnote>
  <w:footnote w:id="67">
    <w:p w14:paraId="718F7EB7" w14:textId="1C5DE024" w:rsidR="00DD3B21" w:rsidRPr="00307746" w:rsidRDefault="00DD3B21"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2024/1712 irányelv 18a. cikke.</w:t>
      </w:r>
    </w:p>
  </w:footnote>
  <w:footnote w:id="68">
    <w:p w14:paraId="624BA5E0" w14:textId="4E6E413B" w:rsidR="003B6254" w:rsidRPr="00307746" w:rsidRDefault="003B6254"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2024/1712 irányelv (27) preambulumbekezdése.</w:t>
      </w:r>
    </w:p>
  </w:footnote>
  <w:footnote w:id="69">
    <w:p w14:paraId="50A1D301" w14:textId="5A1EBAD9" w:rsidR="00662705" w:rsidRPr="00AE6395" w:rsidRDefault="00662705"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2022/2065 rendelete (2022. október 19.) a digitális szolgáltatások egységes piacáról és a 2000/31/EK irányelv módosításáról (digitális szolgáltatásokról szóló rendelet) (HL L 277., 2022.10.27., 1. o.,</w:t>
      </w:r>
      <w:r>
        <w:t xml:space="preserve"> </w:t>
      </w:r>
      <w:r>
        <w:rPr>
          <w:rFonts w:ascii="Times New Roman" w:hAnsi="Times New Roman"/>
        </w:rPr>
        <w:t>ELI: http://data.europa.eu/eli/reg/2022/2065/oj)</w:t>
      </w:r>
      <w:r>
        <w:rPr>
          <w:rStyle w:val="Hyperlink"/>
          <w:rFonts w:ascii="Times New Roman" w:hAnsi="Times New Roman"/>
        </w:rPr>
        <w:t>.</w:t>
      </w:r>
    </w:p>
  </w:footnote>
  <w:footnote w:id="70">
    <w:p w14:paraId="2163C592" w14:textId="0458E51E" w:rsidR="008F7AD2" w:rsidRPr="00AE2102" w:rsidRDefault="008F7AD2"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themeColor="text1"/>
        </w:rPr>
        <w:t>A digitális szolgáltatásokról szóló rendelet (56) preambulumbekezdése.</w:t>
      </w:r>
    </w:p>
  </w:footnote>
  <w:footnote w:id="71">
    <w:p w14:paraId="6B28BE34" w14:textId="3E35945D" w:rsidR="00662705" w:rsidRPr="00A77D23" w:rsidRDefault="00662705"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Pornhub, Stripchat, Videós és XNXX.</w:t>
      </w:r>
    </w:p>
  </w:footnote>
  <w:footnote w:id="72">
    <w:p w14:paraId="1515BFDD" w14:textId="22DEE169" w:rsidR="00662705" w:rsidRPr="00AE6395" w:rsidRDefault="00662705"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2024/1760 irányelve (2024. június 13.) a fenntarthatósággal kapcsolatos vállalati átvilágításról, valamint az (EU) 2019/1937 irányelv és az (EU) 2023/2859 rendelet módosításáról (EGT-vonatkozású szöveg) (HL L, 2024/1760, 2024.7.5., ELI: </w:t>
      </w:r>
      <w:hyperlink r:id="rId32" w:history="1">
        <w:r>
          <w:rPr>
            <w:rStyle w:val="Hyperlink"/>
            <w:rFonts w:ascii="Times New Roman" w:hAnsi="Times New Roman"/>
          </w:rPr>
          <w:t>https://eur-lex.europa.eu/legal-content/HU/TXT/?uri=CELEX:32024L1760</w:t>
        </w:r>
      </w:hyperlink>
      <w:r>
        <w:rPr>
          <w:rFonts w:ascii="Times New Roman" w:hAnsi="Times New Roman"/>
        </w:rPr>
        <w:t xml:space="preserve">). </w:t>
      </w:r>
    </w:p>
  </w:footnote>
  <w:footnote w:id="73">
    <w:p w14:paraId="6AD0667B" w14:textId="0E62A52C" w:rsidR="00F026AA" w:rsidRPr="00BA69D6" w:rsidRDefault="00F026AA"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2024/3015 rendelete ( 2024. november 27.) a kényszermunkával előállított termékek uniós piacon belüli tilalmáról és az (EU) 2019/1937 irányelv módosításáról (HL 2024/3015, 2024.12.12., ELI: </w:t>
      </w:r>
      <w:hyperlink r:id="rId33" w:tgtFrame="_blank" w:tooltip="Az ELI (európai jogszabály-azonosító) URI-hivatkozása révén biztosít hozzáférést a dokumentumhoz." w:history="1">
        <w:r>
          <w:rPr>
            <w:rStyle w:val="Hyperlink"/>
            <w:rFonts w:ascii="Times New Roman" w:hAnsi="Times New Roman"/>
            <w:color w:val="23527C"/>
            <w:shd w:val="clear" w:color="auto" w:fill="FFFFFF"/>
          </w:rPr>
          <w:t>http://data.europa.eu/eli/reg/2024/3015/oj</w:t>
        </w:r>
      </w:hyperlink>
      <w:r>
        <w:rPr>
          <w:rStyle w:val="Emphasis"/>
          <w:rFonts w:ascii="Times New Roman" w:hAnsi="Times New Roman"/>
          <w:i w:val="0"/>
          <w:color w:val="333333"/>
          <w:shd w:val="clear" w:color="auto" w:fill="FFFFFF"/>
        </w:rPr>
        <w:t>)</w:t>
      </w:r>
      <w:r>
        <w:rPr>
          <w:rFonts w:ascii="Times New Roman" w:hAnsi="Times New Roman"/>
        </w:rPr>
        <w:t>.</w:t>
      </w:r>
    </w:p>
  </w:footnote>
  <w:footnote w:id="74">
    <w:p w14:paraId="7E8B62ED" w14:textId="3B59FB7D" w:rsidR="00564EC6" w:rsidRPr="00307746" w:rsidRDefault="00564EC6" w:rsidP="00860C7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4">
        <w:r>
          <w:rPr>
            <w:rStyle w:val="Hyperlink"/>
            <w:rFonts w:ascii="Times New Roman" w:hAnsi="Times New Roman"/>
          </w:rPr>
          <w:t>A kábítószer-kereskedelem és a szervezett bűnözés elleni küzdelemre vonatkozó uniós ütemterv (europa.eu)</w:t>
        </w:r>
      </w:hyperlink>
      <w:r>
        <w:rPr>
          <w:rStyle w:val="Hyperlink"/>
          <w:rFonts w:ascii="Times New Roman" w:hAnsi="Times New Roman"/>
        </w:rPr>
        <w:t>.</w:t>
      </w:r>
    </w:p>
  </w:footnote>
  <w:footnote w:id="75">
    <w:p w14:paraId="0D6B469D" w14:textId="345EC3EF" w:rsidR="0063561B" w:rsidRPr="0063561B" w:rsidRDefault="0063561B" w:rsidP="00860C76">
      <w:pPr>
        <w:pStyle w:val="FootnoteText"/>
        <w:spacing w:before="0"/>
        <w:contextualSpacing/>
        <w:jc w:val="both"/>
      </w:pPr>
      <w:r>
        <w:rPr>
          <w:rStyle w:val="FootnoteReference"/>
        </w:rPr>
        <w:footnoteRef/>
      </w:r>
      <w:r>
        <w:t xml:space="preserve"> A </w:t>
      </w:r>
      <w:hyperlink r:id="rId35" w:history="1">
        <w:r>
          <w:rPr>
            <w:rStyle w:val="Hyperlink"/>
            <w:rFonts w:ascii="Times New Roman" w:hAnsi="Times New Roman"/>
          </w:rPr>
          <w:t>EUROPEAN CRIME PREVENTION CONFERENCE 2024 |</w:t>
        </w:r>
      </w:hyperlink>
      <w:hyperlink r:id="rId36" w:history="1">
        <w:r>
          <w:rPr>
            <w:rStyle w:val="Hyperlink"/>
            <w:rFonts w:ascii="Times New Roman" w:hAnsi="Times New Roman"/>
          </w:rPr>
          <w:t xml:space="preserve"> EUCPN</w:t>
        </w:r>
      </w:hyperlink>
      <w:r>
        <w:rPr>
          <w:rFonts w:ascii="Times New Roman" w:hAnsi="Times New Roman"/>
        </w:rPr>
        <w:t xml:space="preserve"> [2024. évi európai bűnmegelőzési konferencia] a fiatalok bűncselekmények, különösen kábítószer-kereskedelem céljából történő kizsákmányolásával foglalkozott.</w:t>
      </w:r>
    </w:p>
  </w:footnote>
  <w:footnote w:id="76">
    <w:p w14:paraId="0C3CAE31" w14:textId="57B495EE" w:rsidR="00712372" w:rsidRPr="00AE2102" w:rsidRDefault="00712372" w:rsidP="00857C43">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Németországban 2023. január 1-jén lépett hatályba az ellátási láncokban alkalmazandó vállalati átvilágításról szóló törvény. Írország hasonló jogszabályok elfogadásán dolgozik. Emellett Németország a Német Kereskedelmi és Iparkamarán belül létrehozott egy szolgáltatási központot, amely rendszeresen információkkal szolgál a Németországban letelepedett vállalatok számára a munkaerő-kizsákmányolás, a kényszermunka és az emberkereskedelem kockázatáról.</w:t>
      </w:r>
    </w:p>
  </w:footnote>
  <w:footnote w:id="77">
    <w:p w14:paraId="64FC2DBC" w14:textId="0611CBD2" w:rsidR="00662705" w:rsidRPr="00000BF6"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Csehország, Finnország.</w:t>
      </w:r>
    </w:p>
  </w:footnote>
  <w:footnote w:id="78">
    <w:p w14:paraId="39736C53" w14:textId="73C4EFDB" w:rsidR="00662705" w:rsidRPr="00000BF6" w:rsidRDefault="00662705" w:rsidP="00857C43">
      <w:pPr>
        <w:pStyle w:val="FootnoteText"/>
        <w:spacing w:before="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Szlovénia.</w:t>
      </w:r>
    </w:p>
  </w:footnote>
  <w:footnote w:id="79">
    <w:p w14:paraId="1C0F7CA1" w14:textId="6532AA14" w:rsidR="00662705" w:rsidRPr="00000BF6" w:rsidRDefault="00662705" w:rsidP="00857C43">
      <w:pPr>
        <w:pStyle w:val="FootnoteText"/>
        <w:spacing w:before="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Bulgária, Finnország, Lengyelország. </w:t>
      </w:r>
    </w:p>
  </w:footnote>
  <w:footnote w:id="80">
    <w:p w14:paraId="1ED547EE" w14:textId="77777777" w:rsidR="00F70EC1" w:rsidRPr="001668F5" w:rsidRDefault="00F70EC1"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Bulgária. </w:t>
      </w:r>
    </w:p>
  </w:footnote>
  <w:footnote w:id="81">
    <w:p w14:paraId="77353D8A" w14:textId="63B3B57A" w:rsidR="00F70EC1" w:rsidRPr="0046195B" w:rsidRDefault="00F70EC1"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Dánia.</w:t>
      </w:r>
    </w:p>
  </w:footnote>
  <w:footnote w:id="82">
    <w:p w14:paraId="71E30F93" w14:textId="0045FEF6" w:rsidR="00F44321" w:rsidRPr="008A7060" w:rsidRDefault="00F44321"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7" w:history="1">
        <w:r>
          <w:rPr>
            <w:rStyle w:val="Hyperlink"/>
            <w:rFonts w:ascii="Times New Roman" w:hAnsi="Times New Roman"/>
          </w:rPr>
          <w:t>Elítélt személyek jegyzéke (travail-emploi.gouv.fr)</w:t>
        </w:r>
      </w:hyperlink>
      <w:r>
        <w:rPr>
          <w:rStyle w:val="Hyperlink"/>
          <w:rFonts w:ascii="Times New Roman" w:hAnsi="Times New Roman"/>
        </w:rPr>
        <w:t>.</w:t>
      </w:r>
    </w:p>
  </w:footnote>
  <w:footnote w:id="83">
    <w:p w14:paraId="192CE31D" w14:textId="289D842E" w:rsidR="00662705" w:rsidRPr="0046195B"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8" w:history="1">
        <w:r>
          <w:rPr>
            <w:rStyle w:val="Hyperlink"/>
            <w:rFonts w:ascii="Times New Roman" w:hAnsi="Times New Roman"/>
          </w:rPr>
          <w:t>Vessünk véget az emberkereskedelemnek.</w:t>
        </w:r>
      </w:hyperlink>
      <w:hyperlink r:id="rId39" w:history="1">
        <w:r>
          <w:rPr>
            <w:rStyle w:val="Hyperlink"/>
            <w:rFonts w:ascii="Times New Roman" w:hAnsi="Times New Roman"/>
          </w:rPr>
          <w:t xml:space="preserve"> Szakítsuk meg a láthatatlan láncot – Európai Bizottság (europa.eu)</w:t>
        </w:r>
      </w:hyperlink>
      <w:r>
        <w:rPr>
          <w:rStyle w:val="Hyperlink"/>
          <w:rFonts w:ascii="Times New Roman" w:hAnsi="Times New Roman"/>
        </w:rPr>
        <w:t xml:space="preserve">. </w:t>
      </w:r>
      <w:r>
        <w:rPr>
          <w:rStyle w:val="Hyperlink"/>
          <w:rFonts w:ascii="Times New Roman" w:hAnsi="Times New Roman"/>
          <w:color w:val="000000" w:themeColor="text1"/>
          <w:u w:val="none"/>
        </w:rPr>
        <w:t>Célkitűzései: i. a lakosság felvilágosítása annak érdekében, hogy felismerjék és jelentsék az emberkereskedelmet, valamint elrettentsék őket az emberkereskedelem áldozatai által nyújtott szolgáltatások igénybevételétől, ii. a lehetséges áldozatok figyelmének felhívása az emberkereskedelem veszélyeire és kockázataira, és annak megakadályozása, hogy áldozattá váljanak, iii. a munkáltatók emberkereskedelemről való tájékoztatása, és a munkáltatók attól való visszatartása, hogy emberkereskedelem áldozatául esett személyeket alkalmazzanak, valamint iv. az emberkereskedelem áldozatainak tájékoztatása jogaikról és a rendelkezésre álló segítségről.</w:t>
      </w:r>
    </w:p>
  </w:footnote>
  <w:footnote w:id="84">
    <w:p w14:paraId="7A2937BB" w14:textId="1852DD97" w:rsidR="00F671A8" w:rsidRPr="00AE2102" w:rsidRDefault="00F671A8"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Bulgária, Spanyolország, Franciaország, Magyarország, Olaszország és Hollandia.</w:t>
      </w:r>
    </w:p>
  </w:footnote>
  <w:footnote w:id="85">
    <w:p w14:paraId="6A1192F8" w14:textId="3E0BA281" w:rsidR="00662705" w:rsidRPr="00FA2FC2" w:rsidRDefault="00662705" w:rsidP="00B011CB">
      <w:pPr>
        <w:pStyle w:val="FootnoteText"/>
        <w:contextualSpacing/>
        <w:jc w:val="both"/>
      </w:pPr>
      <w:r>
        <w:rPr>
          <w:rFonts w:ascii="Times New Roman" w:hAnsi="Times New Roman" w:cs="Times New Roman"/>
          <w:vertAlign w:val="superscript"/>
        </w:rPr>
        <w:footnoteRef/>
      </w:r>
      <w:r>
        <w:rPr>
          <w:rFonts w:ascii="Times New Roman" w:hAnsi="Times New Roman"/>
        </w:rPr>
        <w:t xml:space="preserve"> </w:t>
      </w:r>
      <w:hyperlink r:id="rId40" w:history="1">
        <w:r>
          <w:rPr>
            <w:rFonts w:ascii="Times New Roman" w:hAnsi="Times New Roman"/>
            <w:color w:val="0000FF"/>
            <w:u w:val="single"/>
          </w:rPr>
          <w:t>How not to fall for the lover boy scam [Hogyan ne dőljünk be a „lover boy” átverésnek] |</w:t>
        </w:r>
      </w:hyperlink>
      <w:hyperlink r:id="rId41" w:history="1">
        <w:r>
          <w:rPr>
            <w:rFonts w:ascii="Times New Roman" w:hAnsi="Times New Roman"/>
            <w:color w:val="0000FF"/>
            <w:u w:val="single"/>
          </w:rPr>
          <w:t xml:space="preserve"> Europol (europa.eu)</w:t>
        </w:r>
      </w:hyperlink>
      <w:r>
        <w:rPr>
          <w:rFonts w:ascii="Times New Roman" w:hAnsi="Times New Roman"/>
          <w:color w:val="0000FF"/>
          <w:u w:val="single"/>
        </w:rPr>
        <w:t>.</w:t>
      </w:r>
      <w:r>
        <w:rPr>
          <w:rFonts w:ascii="Times New Roman" w:hAnsi="Times New Roman"/>
        </w:rPr>
        <w:t xml:space="preserve"> </w:t>
      </w:r>
    </w:p>
  </w:footnote>
  <w:footnote w:id="86">
    <w:p w14:paraId="3F402037" w14:textId="5F65FCFE" w:rsidR="00662705" w:rsidRPr="00AE2102" w:rsidRDefault="00662705" w:rsidP="00857C43">
      <w:pPr>
        <w:autoSpaceDE w:val="0"/>
        <w:autoSpaceDN w:val="0"/>
        <w:adjustRightInd w:val="0"/>
        <w:spacing w:after="0"/>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42" w:history="1">
        <w:r>
          <w:rPr>
            <w:rStyle w:val="Hyperlink"/>
            <w:rFonts w:ascii="Times New Roman" w:hAnsi="Times New Roman"/>
            <w:sz w:val="20"/>
          </w:rPr>
          <w:t>Road to fair transport [A tisztességes szállítás felé vezető út] |</w:t>
        </w:r>
      </w:hyperlink>
      <w:hyperlink r:id="rId43" w:history="1">
        <w:r>
          <w:rPr>
            <w:rStyle w:val="Hyperlink"/>
            <w:rFonts w:ascii="Times New Roman" w:hAnsi="Times New Roman"/>
            <w:sz w:val="20"/>
          </w:rPr>
          <w:t xml:space="preserve"> Európai Munkaügyi Hatóság (europa.eu)</w:t>
        </w:r>
      </w:hyperlink>
      <w:r>
        <w:rPr>
          <w:rFonts w:ascii="Times New Roman" w:hAnsi="Times New Roman"/>
          <w:sz w:val="20"/>
        </w:rPr>
        <w:t xml:space="preserve">, </w:t>
      </w:r>
      <w:hyperlink r:id="rId44" w:history="1">
        <w:r>
          <w:rPr>
            <w:rStyle w:val="Hyperlink"/>
            <w:rFonts w:ascii="Times New Roman" w:hAnsi="Times New Roman"/>
            <w:sz w:val="20"/>
          </w:rPr>
          <w:t>EU for fair construction [EU a tisztességes építőiparért] |</w:t>
        </w:r>
      </w:hyperlink>
      <w:hyperlink r:id="rId45" w:history="1">
        <w:r>
          <w:rPr>
            <w:rStyle w:val="Hyperlink"/>
            <w:rFonts w:ascii="Times New Roman" w:hAnsi="Times New Roman"/>
            <w:sz w:val="20"/>
          </w:rPr>
          <w:t xml:space="preserve"> Európai Munkaügyi Hatóság (europa.eu)</w:t>
        </w:r>
      </w:hyperlink>
      <w:r>
        <w:rPr>
          <w:rFonts w:ascii="Times New Roman" w:hAnsi="Times New Roman"/>
          <w:sz w:val="20"/>
        </w:rPr>
        <w:t xml:space="preserve">, </w:t>
      </w:r>
      <w:hyperlink r:id="rId46" w:history="1">
        <w:r>
          <w:rPr>
            <w:rStyle w:val="Hyperlink"/>
            <w:rFonts w:ascii="Times New Roman" w:hAnsi="Times New Roman"/>
            <w:sz w:val="20"/>
          </w:rPr>
          <w:t>Rights for all seasons [Jogok minden idényben] |</w:t>
        </w:r>
      </w:hyperlink>
      <w:hyperlink r:id="rId47" w:history="1">
        <w:r>
          <w:rPr>
            <w:rStyle w:val="Hyperlink"/>
            <w:rFonts w:ascii="Times New Roman" w:hAnsi="Times New Roman"/>
            <w:sz w:val="20"/>
          </w:rPr>
          <w:t xml:space="preserve"> Európai Munkaügyi Hatóság (europa.eu)</w:t>
        </w:r>
      </w:hyperlink>
      <w:r>
        <w:rPr>
          <w:rStyle w:val="Hyperlink"/>
          <w:rFonts w:ascii="Times New Roman" w:hAnsi="Times New Roman"/>
          <w:sz w:val="20"/>
        </w:rPr>
        <w:t>.</w:t>
      </w:r>
    </w:p>
  </w:footnote>
  <w:footnote w:id="87">
    <w:p w14:paraId="1A20BBF1" w14:textId="77777777" w:rsidR="00662705" w:rsidRPr="00212067"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Belgium, Bulgária, Horvátország, Finnország, Magyarország, Luxemburg, Lettország, Málta, Hollandia, Portugália, Románia és Spanyolország.</w:t>
      </w:r>
    </w:p>
  </w:footnote>
  <w:footnote w:id="88">
    <w:p w14:paraId="7209AABE" w14:textId="5B66723A" w:rsidR="00662705" w:rsidRPr="003F470D"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Ausztria, Bulgária, Horvátország, Ciprus, Dánia, Görögország, Olaszország, Írország, Hollandia, Lengyelország és Spanyolország.</w:t>
      </w:r>
    </w:p>
  </w:footnote>
  <w:footnote w:id="89">
    <w:p w14:paraId="1E66F345" w14:textId="66A78F49" w:rsidR="00F41BD9" w:rsidRPr="00A74661" w:rsidRDefault="00F41BD9"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Románia, Magyarország, Spanyolország, Svédország, Írország, Románia, Lengyelország.</w:t>
      </w:r>
    </w:p>
  </w:footnote>
  <w:footnote w:id="90">
    <w:p w14:paraId="79A6FE49" w14:textId="4530DCC1" w:rsidR="00986AE5" w:rsidRPr="00C02206" w:rsidRDefault="00986AE5"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Airbnb, Gîtes de France, AirFrance, Vinci, Volotea.</w:t>
      </w:r>
    </w:p>
  </w:footnote>
  <w:footnote w:id="91">
    <w:p w14:paraId="77E81DDA" w14:textId="7E91ADE7" w:rsidR="00662705" w:rsidRPr="0046195B" w:rsidRDefault="00662705" w:rsidP="00B011CB">
      <w:pPr>
        <w:pStyle w:val="FootnoteText"/>
        <w:spacing w:before="0"/>
        <w:contextualSpacing/>
        <w:jc w:val="both"/>
      </w:pPr>
      <w:r>
        <w:rPr>
          <w:rStyle w:val="FootnoteReference"/>
          <w:rFonts w:ascii="Times New Roman" w:hAnsi="Times New Roman" w:cs="Times New Roman"/>
        </w:rPr>
        <w:footnoteRef/>
      </w:r>
      <w:r>
        <w:rPr>
          <w:rFonts w:ascii="Times New Roman" w:hAnsi="Times New Roman"/>
        </w:rPr>
        <w:t xml:space="preserve"> </w:t>
      </w:r>
      <w:hyperlink r:id="rId48" w:history="1">
        <w:r>
          <w:rPr>
            <w:rStyle w:val="Hyperlink"/>
            <w:rFonts w:ascii="Times New Roman" w:hAnsi="Times New Roman"/>
          </w:rPr>
          <w:t>Figyelemfelhívó kampány:</w:t>
        </w:r>
      </w:hyperlink>
      <w:hyperlink r:id="rId49" w:history="1">
        <w:r>
          <w:rPr>
            <w:rStyle w:val="Hyperlink"/>
            <w:rFonts w:ascii="Times New Roman" w:hAnsi="Times New Roman"/>
          </w:rPr>
          <w:t xml:space="preserve"> Fighting the purchase of sexual acts and human trafficking during the Olympic and Paralympic Games Paris 2024 |</w:t>
        </w:r>
      </w:hyperlink>
      <w:hyperlink r:id="rId50" w:history="1">
        <w:r>
          <w:rPr>
            <w:rStyle w:val="Hyperlink"/>
            <w:rFonts w:ascii="Times New Roman" w:hAnsi="Times New Roman"/>
          </w:rPr>
          <w:t xml:space="preserve"> Gender equality [A szexuális cselekmények vásárlása és az emberkereskedelem elleni küzdelem a 2024. évi párizsi olimpiai és paralimpiai játékok során | Nemek közötti egyenlőség] (egalite-femmes-hommes.gouv.fr)</w:t>
        </w:r>
      </w:hyperlink>
      <w:r>
        <w:rPr>
          <w:rStyle w:val="Hyperlink"/>
          <w:rFonts w:ascii="Times New Roman" w:hAnsi="Times New Roman"/>
        </w:rPr>
        <w:t>.</w:t>
      </w:r>
    </w:p>
  </w:footnote>
  <w:footnote w:id="92">
    <w:p w14:paraId="2D78D68A" w14:textId="39C80D24" w:rsidR="009C7B69" w:rsidRPr="00A660AB" w:rsidRDefault="009C7B69">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1" w:history="1">
        <w:r>
          <w:rPr>
            <w:rFonts w:ascii="Times New Roman" w:hAnsi="Times New Roman"/>
            <w:color w:val="0000FF"/>
            <w:u w:val="single"/>
          </w:rPr>
          <w:t>How workplace inspectors can protect third-country workers’ rights - Training manual</w:t>
        </w:r>
      </w:hyperlink>
      <w:r>
        <w:t xml:space="preserve"> (Hogyan védhetik meg a munkahelyi felügyelők a harmadik országbeli munkavállalók jogait – Képzési kézikönyv)</w:t>
      </w:r>
    </w:p>
  </w:footnote>
  <w:footnote w:id="93">
    <w:p w14:paraId="6C7B469B" w14:textId="35C9764C" w:rsidR="009D2A63" w:rsidRPr="00307746" w:rsidRDefault="009D2A63"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2" w:history="1">
        <w:r>
          <w:rPr>
            <w:rFonts w:ascii="Times New Roman" w:hAnsi="Times New Roman"/>
            <w:color w:val="0000FF"/>
            <w:u w:val="single"/>
          </w:rPr>
          <w:t>Európai Igazságügyi Képzési Hálózat (EJTN)</w:t>
        </w:r>
      </w:hyperlink>
      <w:r>
        <w:rPr>
          <w:rFonts w:ascii="Times New Roman" w:hAnsi="Times New Roman"/>
          <w:color w:val="0000FF"/>
          <w:u w:val="single"/>
        </w:rPr>
        <w:t>.</w:t>
      </w:r>
    </w:p>
  </w:footnote>
  <w:footnote w:id="94">
    <w:p w14:paraId="1ECE2484" w14:textId="5F9CD641" w:rsidR="00662705" w:rsidRPr="0046195B" w:rsidRDefault="00662705"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3" w:history="1">
        <w:r>
          <w:rPr>
            <w:rStyle w:val="Hyperlink"/>
            <w:rFonts w:ascii="Times New Roman" w:hAnsi="Times New Roman"/>
          </w:rPr>
          <w:t>Decoding the EU’s most threatening criminal networks [Az EU-ban tevékenykedő, legnagyobb fenyegetést jelentő bűnözői hálózatok működésének elemzése] |</w:t>
        </w:r>
      </w:hyperlink>
      <w:hyperlink r:id="rId54" w:history="1">
        <w:r>
          <w:rPr>
            <w:rStyle w:val="Hyperlink"/>
            <w:rFonts w:ascii="Times New Roman" w:hAnsi="Times New Roman"/>
          </w:rPr>
          <w:t xml:space="preserve"> Europol (europa.eu)</w:t>
        </w:r>
      </w:hyperlink>
      <w:r>
        <w:rPr>
          <w:rStyle w:val="Hyperlink"/>
          <w:rFonts w:ascii="Times New Roman" w:hAnsi="Times New Roman"/>
        </w:rPr>
        <w:t>.</w:t>
      </w:r>
    </w:p>
  </w:footnote>
  <w:footnote w:id="95">
    <w:p w14:paraId="6A42424B" w14:textId="36F12BC3" w:rsidR="0027095B" w:rsidRPr="00AE2102" w:rsidRDefault="0027095B" w:rsidP="00857C43">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munkaerő-kizsákmányolás céljából folytatott emberkereskedelemmel foglalkozó bűnözői hálózatok főként Németországban, Hollandiában, Lengyelországban és Ukrajnában működnek. Az emberkereskedelem e formájával foglalkozó hálózatokon belül a grúz, a román, az orosz, az ukrán és az üzbég nemzetiségűek képviseltetik magukat a leggyakrabban.</w:t>
      </w:r>
    </w:p>
  </w:footnote>
  <w:footnote w:id="96">
    <w:p w14:paraId="4EFA0C28" w14:textId="7A5027F9" w:rsidR="009F4987" w:rsidRPr="009F4987" w:rsidRDefault="009F4987">
      <w:pPr>
        <w:pStyle w:val="FootnoteText"/>
        <w:contextualSpacing/>
      </w:pPr>
      <w:r>
        <w:rPr>
          <w:rStyle w:val="FootnoteReference"/>
        </w:rPr>
        <w:footnoteRef/>
      </w:r>
      <w:r>
        <w:t xml:space="preserve"> </w:t>
      </w:r>
      <w:hyperlink r:id="rId55">
        <w:r>
          <w:rPr>
            <w:rStyle w:val="Hyperlink"/>
            <w:rFonts w:ascii="Times New Roman" w:hAnsi="Times New Roman"/>
          </w:rPr>
          <w:t>A kábítószer-kereskedelem és a szervezett bűnözés elleni küzdelemre vonatkozó uniós ütemterv (europa.eu)</w:t>
        </w:r>
      </w:hyperlink>
      <w:r>
        <w:rPr>
          <w:rStyle w:val="Hyperlink"/>
          <w:rFonts w:ascii="Times New Roman" w:hAnsi="Times New Roman"/>
        </w:rPr>
        <w:t>.</w:t>
      </w:r>
    </w:p>
  </w:footnote>
  <w:footnote w:id="97">
    <w:p w14:paraId="655B9A37" w14:textId="77777777" w:rsidR="00662705" w:rsidRPr="00A74661"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Europol 2023-ban 80 operatív találkozót, 23 közös operatív akciónapot és 2 operatív munkacsoportot támogatott.</w:t>
      </w:r>
    </w:p>
  </w:footnote>
  <w:footnote w:id="98">
    <w:p w14:paraId="06382E04" w14:textId="77777777" w:rsidR="00662705" w:rsidRPr="00A74661"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2021–2022-es időszakban 17 711 gyanúsítottat regisztráltak, szemben a 2019–2020-ban regisztrált 15 214 gyanúsítottal, illetve a 2017–2018-ban regisztrált 11 788 gyanúsítottal.</w:t>
      </w:r>
    </w:p>
  </w:footnote>
  <w:footnote w:id="99">
    <w:p w14:paraId="033C1FD1" w14:textId="1ED460B2" w:rsidR="00155E72" w:rsidRPr="00AE2102" w:rsidRDefault="00155E72" w:rsidP="00FA4E75">
      <w:pPr>
        <w:pStyle w:val="FootnoteText"/>
        <w:contextualSpacing/>
        <w:rPr>
          <w:rFonts w:ascii="Times New Roman" w:hAnsi="Times New Roman" w:cs="Times New Roman"/>
        </w:rPr>
      </w:pPr>
      <w:r>
        <w:rPr>
          <w:rStyle w:val="FootnoteReference"/>
        </w:rPr>
        <w:footnoteRef/>
      </w:r>
      <w:r>
        <w:t xml:space="preserve"> </w:t>
      </w:r>
      <w:hyperlink r:id="rId56" w:history="1">
        <w:r>
          <w:rPr>
            <w:rFonts w:ascii="Times New Roman" w:hAnsi="Times New Roman"/>
            <w:color w:val="0000FF"/>
            <w:u w:val="single"/>
          </w:rPr>
          <w:t>empact-factsheets-2023.pdf (europa.eu)</w:t>
        </w:r>
      </w:hyperlink>
      <w:r>
        <w:rPr>
          <w:rFonts w:ascii="Times New Roman" w:hAnsi="Times New Roman"/>
          <w:color w:val="0000FF"/>
          <w:u w:val="single"/>
        </w:rPr>
        <w:t>.</w:t>
      </w:r>
    </w:p>
  </w:footnote>
  <w:footnote w:id="100">
    <w:p w14:paraId="0D4B1DEB" w14:textId="1E04F29F" w:rsidR="006C7672" w:rsidRPr="00AE2102" w:rsidRDefault="006C7672" w:rsidP="00FA4E75">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Ukrajna, Moldova, Albánia, Egyesült Királyság, Koszovó, Szerbia.</w:t>
      </w:r>
    </w:p>
  </w:footnote>
  <w:footnote w:id="101">
    <w:p w14:paraId="139C15F3" w14:textId="2053BEAD" w:rsidR="00662705" w:rsidRPr="001668F5" w:rsidRDefault="00662705" w:rsidP="00FA4E7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Írország, Spanyolország, Franciaország, Horvátország és Hollandia. </w:t>
      </w:r>
    </w:p>
  </w:footnote>
  <w:footnote w:id="102">
    <w:p w14:paraId="6602CEA3" w14:textId="3D12A515" w:rsidR="00662705" w:rsidRPr="0046195B" w:rsidRDefault="00662705" w:rsidP="00FA4E75">
      <w:pPr>
        <w:pStyle w:val="FootnoteText"/>
        <w:spacing w:before="0"/>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Ausztria, Magyarország, Németország, Svédország, Lengyelország, Finnország, Horvátország, Szlovákia.</w:t>
      </w:r>
    </w:p>
  </w:footnote>
  <w:footnote w:id="103">
    <w:p w14:paraId="6ED9B1EB" w14:textId="7070548C" w:rsidR="00662705" w:rsidRPr="0046195B" w:rsidRDefault="00662705" w:rsidP="00FA4E75">
      <w:pPr>
        <w:pStyle w:val="FootnoteText"/>
        <w:spacing w:before="0"/>
        <w:contextualSpacing/>
      </w:pPr>
      <w:r>
        <w:rPr>
          <w:rStyle w:val="FootnoteReference"/>
          <w:rFonts w:ascii="Times New Roman" w:hAnsi="Times New Roman" w:cs="Times New Roman"/>
        </w:rPr>
        <w:footnoteRef/>
      </w:r>
      <w:r>
        <w:rPr>
          <w:rFonts w:ascii="Times New Roman" w:hAnsi="Times New Roman"/>
        </w:rPr>
        <w:t xml:space="preserve"> </w:t>
      </w:r>
      <w:hyperlink r:id="rId57" w:history="1">
        <w:r>
          <w:rPr>
            <w:rStyle w:val="Hyperlink"/>
            <w:rFonts w:ascii="Times New Roman" w:hAnsi="Times New Roman"/>
          </w:rPr>
          <w:t>Az EFIPPP honlapja – EFIPPP</w:t>
        </w:r>
      </w:hyperlink>
      <w:r>
        <w:rPr>
          <w:rStyle w:val="Hyperlink"/>
          <w:rFonts w:ascii="Times New Roman" w:hAnsi="Times New Roman"/>
        </w:rPr>
        <w:t>.</w:t>
      </w:r>
    </w:p>
  </w:footnote>
  <w:footnote w:id="104">
    <w:p w14:paraId="308B79B6" w14:textId="77777777" w:rsidR="00662705" w:rsidRPr="0046195B" w:rsidRDefault="00662705"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Europol észrevételei.</w:t>
      </w:r>
    </w:p>
  </w:footnote>
  <w:footnote w:id="105">
    <w:p w14:paraId="5F822BF8" w14:textId="20688548" w:rsidR="00BC568C" w:rsidRPr="0046195B" w:rsidRDefault="00BC568C"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Helena projekt: Magyarország, Dánia, Belgium, Ausztria.</w:t>
      </w:r>
    </w:p>
  </w:footnote>
  <w:footnote w:id="106">
    <w:p w14:paraId="2EC5E89C" w14:textId="64CDEFE6" w:rsidR="004F5D5D" w:rsidRPr="0046195B" w:rsidRDefault="004F5D5D"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8" w:anchor=":~:text=Do%20a%20background%20check%20of,too%20good%20to%20be%20true%3F" w:history="1">
        <w:r>
          <w:rPr>
            <w:rStyle w:val="Hyperlink"/>
            <w:rFonts w:ascii="Times New Roman" w:hAnsi="Times New Roman"/>
          </w:rPr>
          <w:t>How to spot fake job adverts [Hogyan ismerjük fel a hamis álláshirdetéseket?] |</w:t>
        </w:r>
      </w:hyperlink>
      <w:hyperlink r:id="rId59" w:anchor=":~:text=Do%20a%20background%20check%20of,too%20good%20to%20be%20true%3F" w:history="1">
        <w:r>
          <w:rPr>
            <w:rStyle w:val="Hyperlink"/>
            <w:rFonts w:ascii="Times New Roman" w:hAnsi="Times New Roman"/>
          </w:rPr>
          <w:t xml:space="preserve"> Europol (europa.eu)</w:t>
        </w:r>
      </w:hyperlink>
      <w:r>
        <w:rPr>
          <w:rStyle w:val="Hyperlink"/>
          <w:rFonts w:ascii="Times New Roman" w:hAnsi="Times New Roman"/>
        </w:rPr>
        <w:t>.</w:t>
      </w:r>
    </w:p>
  </w:footnote>
  <w:footnote w:id="107">
    <w:p w14:paraId="71C8FFF9" w14:textId="5A3CDEB1" w:rsidR="00662705" w:rsidRPr="00AE6395" w:rsidRDefault="00662705" w:rsidP="00297C42">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Az Európai Parlament és a Tanács (EU) 2024/1260 irányelve (2024. április 24.) a vagyonvisszaszerzésről és -elkobzásáról (HL L, 2024/1260, 2024.5.2., ELI: </w:t>
      </w:r>
      <w:hyperlink r:id="rId60" w:history="1">
        <w:r>
          <w:rPr>
            <w:rFonts w:ascii="Times New Roman" w:hAnsi="Times New Roman"/>
          </w:rPr>
          <w:t>https://eur-lex.europa.eu/legal-content/HU/TXT/?uri=CELEX:32024L1260</w:t>
        </w:r>
      </w:hyperlink>
      <w:r>
        <w:rPr>
          <w:rFonts w:ascii="Times New Roman" w:hAnsi="Times New Roman"/>
        </w:rPr>
        <w:t>)</w:t>
      </w:r>
      <w:r>
        <w:t xml:space="preserve"> </w:t>
      </w:r>
      <w:r>
        <w:rPr>
          <w:rFonts w:ascii="Times New Roman" w:hAnsi="Times New Roman"/>
        </w:rPr>
        <w:t>.</w:t>
      </w:r>
    </w:p>
  </w:footnote>
  <w:footnote w:id="108">
    <w:p w14:paraId="69E64859" w14:textId="03F70B87" w:rsidR="00EF216F" w:rsidRPr="00000BF6" w:rsidRDefault="00EF216F" w:rsidP="00297C42">
      <w:pPr>
        <w:pStyle w:val="FootnoteText"/>
        <w:contextualSpacing/>
        <w:jc w:val="both"/>
        <w:rPr>
          <w:rFonts w:ascii="Times New Roman" w:hAnsi="Times New Roman" w:cs="Times New Roman"/>
        </w:rPr>
      </w:pPr>
      <w:r>
        <w:rPr>
          <w:rStyle w:val="FootnoteReference"/>
        </w:rPr>
        <w:footnoteRef/>
      </w:r>
      <w:r>
        <w:t xml:space="preserve"> </w:t>
      </w:r>
      <w:hyperlink r:id="rId61" w:history="1">
        <w:r>
          <w:rPr>
            <w:rFonts w:ascii="Times New Roman" w:hAnsi="Times New Roman"/>
            <w:color w:val="0000FF"/>
            <w:u w:val="single"/>
          </w:rPr>
          <w:t>Schengeni Információs Rendszer – Európai Bizottság (europa.eu)</w:t>
        </w:r>
      </w:hyperlink>
      <w:r>
        <w:rPr>
          <w:rFonts w:ascii="Times New Roman" w:hAnsi="Times New Roman"/>
          <w:color w:val="0000FF"/>
          <w:u w:val="single"/>
        </w:rPr>
        <w:t>.</w:t>
      </w:r>
    </w:p>
  </w:footnote>
  <w:footnote w:id="109">
    <w:p w14:paraId="18B404EB" w14:textId="1FD21A16" w:rsidR="00B55076" w:rsidRPr="00AE6395" w:rsidRDefault="00B55076" w:rsidP="00AE6395">
      <w:pPr>
        <w:pStyle w:val="FootnoteText"/>
        <w:contextualSpacing/>
        <w:jc w:val="both"/>
        <w:rPr>
          <w:rFonts w:ascii="Times New Roman" w:hAnsi="Times New Roman" w:cs="Times New Roman"/>
        </w:rPr>
      </w:pPr>
      <w:r>
        <w:rPr>
          <w:rStyle w:val="FootnoteReference"/>
        </w:rPr>
        <w:footnoteRef/>
      </w:r>
      <w:r>
        <w:t xml:space="preserve"> </w:t>
      </w:r>
      <w:r>
        <w:rPr>
          <w:rFonts w:ascii="Times New Roman" w:hAnsi="Times New Roman"/>
        </w:rPr>
        <w:t xml:space="preserve">A Bizottság (EU) 2023/201 végrehajtási határozata (2023. január 30.) a Schengeni Információs Rendszer (EU) 2018/1861 európai parlamenti és tanácsi rendelet és (EU) 2018/1862 európai parlamenti és tanácsi rendelet értelmében végzett műveleteinek a megkezdésére vonatkozó időpont meghatározásáról (HL L 27., 2023.1.31., 29. o., ELI: </w:t>
      </w:r>
      <w:hyperlink r:id="rId62" w:history="1">
        <w:r>
          <w:rPr>
            <w:rStyle w:val="Hyperlink"/>
            <w:rFonts w:ascii="Times New Roman" w:hAnsi="Times New Roman"/>
          </w:rPr>
          <w:t>https://eur-lex.europa.eu/legal-content/HU/TXT/?uri=CELEX:32023D0201</w:t>
        </w:r>
      </w:hyperlink>
      <w:r>
        <w:rPr>
          <w:rFonts w:ascii="Times New Roman" w:hAnsi="Times New Roman"/>
        </w:rPr>
        <w:t>).</w:t>
      </w:r>
    </w:p>
  </w:footnote>
  <w:footnote w:id="110">
    <w:p w14:paraId="72CEBD77" w14:textId="5190509F" w:rsidR="0AB64040" w:rsidRPr="00000BF6" w:rsidRDefault="0AB64040" w:rsidP="00AE6395">
      <w:pPr>
        <w:spacing w:after="0"/>
        <w:contextualSpacing/>
        <w:jc w:val="both"/>
        <w:rPr>
          <w:sz w:val="18"/>
          <w:szCs w:val="18"/>
        </w:rPr>
      </w:pPr>
      <w:r>
        <w:rPr>
          <w:sz w:val="18"/>
          <w:szCs w:val="18"/>
          <w:vertAlign w:val="superscript"/>
        </w:rPr>
        <w:footnoteRef/>
      </w:r>
      <w:r>
        <w:rPr>
          <w:sz w:val="18"/>
          <w:vertAlign w:val="superscript"/>
        </w:rPr>
        <w:t xml:space="preserve"> </w:t>
      </w:r>
      <w:r>
        <w:rPr>
          <w:rFonts w:ascii="Times New Roman" w:hAnsi="Times New Roman"/>
          <w:sz w:val="20"/>
        </w:rPr>
        <w:t>Az Európai Parlament és a Tanács (EU) 2018/1862 rendelete (2018. november 28.) a rendőrségi együttműködés és a büntetőügyekben folytatott igazságügyi együttműködés terén a Schengeni Információs Rendszer (SIS) létrehozásáról, működéséről és használatáról, a 2007/533/IB tanácsi határozat módosításáról és hatályon kívül helyezéséről, valamint az 1986/2006/EK európai parlamenti és tanácsi rendelet és a 2010/261/EU bizottsági határozat hatályon kívül helyezéséről (HL L 312., 2018.12.7., 56. o., ELI: https://eur-lex.europa.eu/legal-content/HU/TXT/?uri=CELEX:32018R1862).</w:t>
      </w:r>
    </w:p>
  </w:footnote>
  <w:footnote w:id="111">
    <w:p w14:paraId="6FF61100" w14:textId="197A624A" w:rsidR="00662705" w:rsidRPr="00000BF6" w:rsidRDefault="00662705" w:rsidP="00297C42">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Schengeni Információs Rendszert az eu-LISA működteti.</w:t>
      </w:r>
    </w:p>
  </w:footnote>
  <w:footnote w:id="112">
    <w:p w14:paraId="03666BFB" w14:textId="2871C758" w:rsidR="00780055" w:rsidRPr="008E20F5" w:rsidRDefault="00780055" w:rsidP="00780055">
      <w:pPr>
        <w:pStyle w:val="FootnoteText"/>
        <w:spacing w:before="0"/>
        <w:jc w:val="both"/>
      </w:pPr>
      <w:r>
        <w:rPr>
          <w:rStyle w:val="FootnoteReference"/>
        </w:rPr>
        <w:footnoteRef/>
      </w:r>
      <w:r>
        <w:t xml:space="preserve"> </w:t>
      </w:r>
      <w:r>
        <w:rPr>
          <w:rFonts w:ascii="Times New Roman" w:hAnsi="Times New Roman"/>
        </w:rPr>
        <w:t>Az áldozatokat különböző tagállami hatóságok és szervezetek veszik nyilvántartásba, ami a hivatalos statisztikai adatgyűjtés részét képezi, az eseteket ellenben csak a bűnüldöző hatóságok jelentik az Europolnak. A nemzeti bűnüldöző hatóságok a belföldi eseteket általában nem jelentik az Europolnak, viszont a határokon átnyúló dimenzióval rendelkező eseteket igen.</w:t>
      </w:r>
    </w:p>
  </w:footnote>
  <w:footnote w:id="113">
    <w:p w14:paraId="1AAE4255" w14:textId="49E81826" w:rsidR="00662705" w:rsidRPr="0046195B" w:rsidRDefault="00662705"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2019–2020-ban 6 539 személy, 2021–2022-ben pedig 8 804 személy. A büntetőeljárás alá vont személyek száma Németország és Olaszország esetében a teljes időszakra, Ciprus esetében pedig 2019-re és 2020-ra vonatkozóan nem állt rendelkezésre.</w:t>
      </w:r>
    </w:p>
  </w:footnote>
  <w:footnote w:id="114">
    <w:p w14:paraId="192BCDF8" w14:textId="77777777" w:rsidR="00CB58DE" w:rsidRPr="0046195B" w:rsidRDefault="00CB58DE" w:rsidP="00CB58DE">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2019–2020-ban 3 019 személy, 2021–2022-ben pedig 4 728 személy. Az elítéltek száma Belgium esetében 2020-ra és 2022-re, Olaszország esetében pedig 2019-re és 2020-ra vonatkozóan nem állt rendelkezésre.</w:t>
      </w:r>
    </w:p>
  </w:footnote>
  <w:footnote w:id="115">
    <w:p w14:paraId="13E27B72" w14:textId="77777777" w:rsidR="00662705" w:rsidRPr="00EE624C" w:rsidRDefault="00662705" w:rsidP="00AE6395">
      <w:pPr>
        <w:spacing w:after="0"/>
        <w:contextualSpacing/>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2019-ben 183, 2020-ban 163, 2021-ben 140, 2022-ben 122, 2023-ban pedig 113 új, emberkereskedelemmel kapcsolatos ügy.</w:t>
      </w:r>
    </w:p>
  </w:footnote>
  <w:footnote w:id="116">
    <w:p w14:paraId="7D0164D3" w14:textId="0EB2B6CB" w:rsidR="001310BE" w:rsidRPr="0046195B" w:rsidRDefault="001310BE"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Horvátország, Magyarország.</w:t>
      </w:r>
    </w:p>
  </w:footnote>
  <w:footnote w:id="117">
    <w:p w14:paraId="3B8A42ED" w14:textId="77777777" w:rsidR="00662705" w:rsidRPr="0046195B" w:rsidRDefault="00662705"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2022. június 14., 2023. június 28–29. és 2024. június 26–27.</w:t>
      </w:r>
    </w:p>
  </w:footnote>
  <w:footnote w:id="118">
    <w:p w14:paraId="1D53EF7C" w14:textId="0EE3544B" w:rsidR="0028392C" w:rsidRPr="00AE6395" w:rsidRDefault="0028392C" w:rsidP="00AE6395">
      <w:pPr>
        <w:spacing w:after="0"/>
        <w:contextualSpacing/>
        <w:rPr>
          <w:rFonts w:ascii="Times New Roman" w:hAnsi="Times New Roman" w:cs="Times New Roman"/>
        </w:rPr>
      </w:pPr>
      <w:r>
        <w:rPr>
          <w:rStyle w:val="FootnoteReference"/>
        </w:rPr>
        <w:footnoteRef/>
      </w:r>
      <w:r>
        <w:t xml:space="preserve"> </w:t>
      </w:r>
      <w:r>
        <w:rPr>
          <w:rFonts w:ascii="Times New Roman" w:hAnsi="Times New Roman"/>
          <w:sz w:val="20"/>
        </w:rPr>
        <w:t>Az Európai Parlament és a Tanács 2012/29/EU irányelve (2012. október 25.) a bűncselekmények áldozatainak jogaira, támogatására és védelmére vonatkozó minimumszabályok megállapításáról és a 2001/220/IB tanácsi kerethatározat felváltásáról (HL L 315., 2012.11.14., ELI: https://eur-lex.europa.eu/legal-content/HU/TXT/?uri=CELEX:32012L0029).</w:t>
      </w:r>
    </w:p>
  </w:footnote>
  <w:footnote w:id="119">
    <w:p w14:paraId="36ED057C" w14:textId="400F31FC" w:rsidR="00662705" w:rsidRPr="00000BF6" w:rsidRDefault="00662705" w:rsidP="00AE6395">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424 final</w:t>
      </w:r>
      <w:r>
        <w:rPr>
          <w:rStyle w:val="Hyperlink"/>
          <w:rFonts w:ascii="Times New Roman" w:hAnsi="Times New Roman"/>
        </w:rPr>
        <w:t>.</w:t>
      </w:r>
    </w:p>
  </w:footnote>
  <w:footnote w:id="120">
    <w:p w14:paraId="17431F69" w14:textId="1F6A974E" w:rsidR="0028392C" w:rsidRPr="00AE6395" w:rsidRDefault="0028392C" w:rsidP="00AE6395">
      <w:pPr>
        <w:pStyle w:val="FootnoteText"/>
        <w:contextualSpacing/>
        <w:rPr>
          <w:rFonts w:ascii="Times New Roman" w:hAnsi="Times New Roman" w:cs="Times New Roman"/>
        </w:rPr>
      </w:pPr>
      <w:r>
        <w:rPr>
          <w:rStyle w:val="FootnoteReference"/>
        </w:rPr>
        <w:footnoteRef/>
      </w:r>
      <w:r>
        <w:t xml:space="preserve"> </w:t>
      </w:r>
      <w:r>
        <w:rPr>
          <w:rFonts w:ascii="Times New Roman" w:hAnsi="Times New Roman"/>
        </w:rPr>
        <w:t xml:space="preserve">COM(2020) 258 final. </w:t>
      </w:r>
    </w:p>
  </w:footnote>
  <w:footnote w:id="121">
    <w:p w14:paraId="3DF83CBD" w14:textId="0EB3EE7F" w:rsidR="00662705" w:rsidRPr="00AE6395" w:rsidRDefault="00662705" w:rsidP="0004082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2024/1385 irányelve (2024. május 14.) a nőkkel szembeni erőszak és a kapcsolati erőszak elleni küzdelemről (HL L, 2024/1385, 2024.5.24., ELI: </w:t>
      </w:r>
      <w:hyperlink r:id="rId63" w:history="1">
        <w:r>
          <w:rPr>
            <w:rStyle w:val="Hyperlink"/>
            <w:rFonts w:ascii="Times New Roman" w:hAnsi="Times New Roman"/>
          </w:rPr>
          <w:t>https://eur-lex.europa.eu/legal-content/HU/TXT/?uri=CELEX:32024L1385</w:t>
        </w:r>
      </w:hyperlink>
      <w:r>
        <w:rPr>
          <w:rFonts w:ascii="Times New Roman" w:hAnsi="Times New Roman"/>
        </w:rPr>
        <w:t>) .</w:t>
      </w:r>
    </w:p>
  </w:footnote>
  <w:footnote w:id="122">
    <w:p w14:paraId="77662AF1" w14:textId="77777777" w:rsidR="00086927" w:rsidRPr="008D1626" w:rsidRDefault="00086927" w:rsidP="00086927">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(EU) 2024/1238 ajánlása (2024. április 23.) a gyermek mindenek felett álló érdekét szolgáló integrált gyermekvédelmi rendszerek kialakításáról és megerősítéséről (HL L, 2024/1238, 2024.5.14., ELI: </w:t>
      </w:r>
      <w:hyperlink r:id="rId64" w:history="1">
        <w:r>
          <w:rPr>
            <w:rStyle w:val="Hyperlink"/>
            <w:rFonts w:ascii="Times New Roman" w:hAnsi="Times New Roman"/>
          </w:rPr>
          <w:t>https://eur-lex.europa.eu/legal-content/HU/TXT/?uri=CELEX:32024H1238</w:t>
        </w:r>
      </w:hyperlink>
      <w:r>
        <w:rPr>
          <w:rFonts w:ascii="Times New Roman" w:hAnsi="Times New Roman"/>
        </w:rPr>
        <w:t>).</w:t>
      </w:r>
    </w:p>
  </w:footnote>
  <w:footnote w:id="123">
    <w:p w14:paraId="46B8EDB2" w14:textId="77777777" w:rsidR="00662705" w:rsidRPr="0046195B" w:rsidRDefault="00662705" w:rsidP="0028392C">
      <w:pPr>
        <w:pStyle w:val="FootnoteText"/>
        <w:spacing w:before="0"/>
        <w:contextualSpacing/>
        <w:jc w:val="both"/>
      </w:pPr>
      <w:r>
        <w:rPr>
          <w:rStyle w:val="FootnoteReference"/>
          <w:rFonts w:ascii="Times New Roman" w:hAnsi="Times New Roman" w:cs="Times New Roman"/>
        </w:rPr>
        <w:footnoteRef/>
      </w:r>
      <w:r>
        <w:rPr>
          <w:rFonts w:ascii="Times New Roman" w:hAnsi="Times New Roman"/>
        </w:rPr>
        <w:t xml:space="preserve"> Az Európai Unió Menekültügyi Ügynökségének (EUAA) észrevételei.</w:t>
      </w:r>
    </w:p>
  </w:footnote>
  <w:footnote w:id="124">
    <w:p w14:paraId="2836AE12" w14:textId="4D85D383" w:rsidR="002428BD" w:rsidRPr="009B6440" w:rsidRDefault="002428BD" w:rsidP="0028392C">
      <w:pPr>
        <w:autoSpaceDE w:val="0"/>
        <w:autoSpaceDN w:val="0"/>
        <w:adjustRightInd w:val="0"/>
        <w:spacing w:after="0" w:line="240" w:lineRule="auto"/>
        <w:contextualSpacing/>
        <w:jc w:val="both"/>
        <w:rPr>
          <w:rFonts w:ascii="Times New Roman" w:eastAsia="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A Frontex találkozókat szervezett az UBER-rel, az Airbnb-vel és a vasúti szövetségekkel</w:t>
      </w:r>
      <w:r>
        <w:rPr>
          <w:rFonts w:ascii="Times New Roman" w:hAnsi="Times New Roman"/>
          <w:b/>
          <w:i/>
          <w:color w:val="4F81BD"/>
          <w:sz w:val="20"/>
        </w:rPr>
        <w:t>.</w:t>
      </w:r>
      <w:r>
        <w:rPr>
          <w:rFonts w:ascii="Times New Roman" w:hAnsi="Times New Roman"/>
          <w:sz w:val="20"/>
        </w:rPr>
        <w:t xml:space="preserve"> </w:t>
      </w:r>
    </w:p>
  </w:footnote>
  <w:footnote w:id="125">
    <w:p w14:paraId="3F83AA98" w14:textId="77777777" w:rsidR="00662705" w:rsidRPr="00AD24D1" w:rsidRDefault="00662705" w:rsidP="0028392C">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Ausztria, Lettország, Lengyelország, Románia és Hollandia. </w:t>
      </w:r>
    </w:p>
  </w:footnote>
  <w:footnote w:id="126">
    <w:p w14:paraId="39345665" w14:textId="25F71AA6" w:rsidR="00662705" w:rsidRPr="0046195B" w:rsidRDefault="00662705" w:rsidP="0028392C">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Finnország.</w:t>
      </w:r>
    </w:p>
  </w:footnote>
  <w:footnote w:id="127">
    <w:p w14:paraId="53CD7F21" w14:textId="13C608A1" w:rsidR="00662705" w:rsidRPr="0046195B" w:rsidRDefault="00662705"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Bulgária, Horvátország, Dánia, Franciaország, Írország, Lettország, Magyarország, Hollandia, Lengyelország, Portugália, Spanyolország.</w:t>
      </w:r>
    </w:p>
  </w:footnote>
  <w:footnote w:id="128">
    <w:p w14:paraId="59E982D8" w14:textId="77777777" w:rsidR="00C871C5" w:rsidRPr="00A74661" w:rsidRDefault="00C871C5" w:rsidP="00857C43">
      <w:pPr>
        <w:pStyle w:val="FootnoteText"/>
        <w:spacing w:before="0"/>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Ausztria, Belgium, Magyarország, Írország. </w:t>
      </w:r>
    </w:p>
  </w:footnote>
  <w:footnote w:id="129">
    <w:p w14:paraId="7E0CCF95" w14:textId="2F45D66A" w:rsidR="00455C0A" w:rsidRPr="00FD1778" w:rsidRDefault="00455C0A" w:rsidP="00B011CB">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Belgium, Hollandia, Szlovákia, Olaszország, Románia, Finnország.</w:t>
      </w:r>
    </w:p>
  </w:footnote>
  <w:footnote w:id="130">
    <w:p w14:paraId="33FDD2AC" w14:textId="253F76C1" w:rsidR="00451D8D" w:rsidRPr="00AE2102" w:rsidRDefault="00451D8D" w:rsidP="00CE3BD7">
      <w:pPr>
        <w:pStyle w:val="FootnoteText"/>
        <w:spacing w:before="0"/>
        <w:contextualSpacing/>
        <w:jc w:val="both"/>
      </w:pPr>
      <w:r>
        <w:rPr>
          <w:rStyle w:val="FootnoteReference"/>
          <w:rFonts w:ascii="Times New Roman" w:hAnsi="Times New Roman" w:cs="Times New Roman"/>
        </w:rPr>
        <w:footnoteRef/>
      </w:r>
      <w:r>
        <w:rPr>
          <w:rFonts w:ascii="Times New Roman" w:hAnsi="Times New Roman"/>
        </w:rPr>
        <w:t xml:space="preserve"> </w:t>
      </w:r>
      <w:hyperlink r:id="rId65" w:history="1">
        <w:r>
          <w:rPr>
            <w:rStyle w:val="Hyperlink"/>
            <w:rFonts w:ascii="Times New Roman" w:hAnsi="Times New Roman"/>
          </w:rPr>
          <w:t>Meeting of the EU Network of National Rapporteurs and Equivalent Mechanisms against trafficking in human beings [Az emberkereskedelem elleni küzdelemmel foglalkozó nemzeti előadók vagy azzal egyenértékű mechanizmusok uniós hálózatának ülése] – Európai Bizottság (europa.eu)</w:t>
        </w:r>
      </w:hyperlink>
      <w:r>
        <w:rPr>
          <w:rStyle w:val="Hyperlink"/>
          <w:rFonts w:ascii="Times New Roman" w:hAnsi="Times New Roman"/>
        </w:rPr>
        <w:t>.</w:t>
      </w:r>
    </w:p>
  </w:footnote>
  <w:footnote w:id="131">
    <w:p w14:paraId="0E7531CF" w14:textId="48B9F514" w:rsidR="00972C1B" w:rsidRPr="00972C1B" w:rsidRDefault="00972C1B" w:rsidP="00A660AB">
      <w:pPr>
        <w:pStyle w:val="FootnoteText"/>
        <w:contextualSpacing/>
        <w:jc w:val="both"/>
      </w:pPr>
      <w:r>
        <w:rPr>
          <w:rStyle w:val="FootnoteReference"/>
        </w:rPr>
        <w:footnoteRef/>
      </w:r>
      <w:r>
        <w:t xml:space="preserve"> </w:t>
      </w:r>
      <w:hyperlink r:id="rId66" w:history="1">
        <w:r>
          <w:rPr>
            <w:rFonts w:ascii="Times New Roman" w:hAnsi="Times New Roman"/>
            <w:color w:val="0000FF"/>
            <w:u w:val="single"/>
          </w:rPr>
          <w:t>EU Network of National Coordinators and Rapporteurs and EU Civil Society Platform join efforts against trafficking in human beings - European Commission [A nemzeti koordinátorok és előadók uniós hálózata és az uniós civil társadalmi platform emberkereskedelem elleni együttes erőfeszítései] – Európai Bizottság</w:t>
        </w:r>
      </w:hyperlink>
      <w:r>
        <w:rPr>
          <w:rFonts w:ascii="Times New Roman" w:hAnsi="Times New Roman"/>
        </w:rPr>
        <w:t>.</w:t>
      </w:r>
      <w:r>
        <w:t xml:space="preserve"> </w:t>
      </w:r>
    </w:p>
  </w:footnote>
  <w:footnote w:id="132">
    <w:p w14:paraId="22F7E411" w14:textId="07F7628E" w:rsidR="00116DF2" w:rsidRPr="00A660AB" w:rsidRDefault="00116DF2" w:rsidP="00A660AB">
      <w:pPr>
        <w:pStyle w:val="FootnoteText"/>
        <w:contextualSpacing/>
        <w:jc w:val="both"/>
        <w:rPr>
          <w:rFonts w:ascii="Times New Roman" w:hAnsi="Times New Roman" w:cs="Times New Roman"/>
        </w:rPr>
      </w:pPr>
      <w:r>
        <w:rPr>
          <w:rStyle w:val="FootnoteReference"/>
        </w:rPr>
        <w:footnoteRef/>
      </w:r>
      <w:r>
        <w:t xml:space="preserve"> </w:t>
      </w:r>
      <w:r>
        <w:rPr>
          <w:rFonts w:ascii="Times New Roman" w:hAnsi="Times New Roman"/>
        </w:rPr>
        <w:t xml:space="preserve">Az Europol Migránscsempészés Elleni Küzdelem Európai Központjának 2024. évi jelentése bemutatja a migránscsempészéssel és az emberkereskedelemmel kapcsolatos legújabb fejleményeket, valamint az aktuális bűnügyi helyzetet. </w:t>
      </w:r>
      <w:hyperlink r:id="rId67" w:history="1">
        <w:r>
          <w:rPr>
            <w:rFonts w:ascii="Times New Roman" w:hAnsi="Times New Roman"/>
            <w:color w:val="0000FF"/>
            <w:u w:val="single"/>
          </w:rPr>
          <w:t>Tackling_threats__addressing_challenges_-_Europol’s_response_to_migrant_smuggling_and_trafficking_in_human_beings_in_2023_and_onwards.pdf</w:t>
        </w:r>
      </w:hyperlink>
      <w:r>
        <w:rPr>
          <w:rFonts w:ascii="Times New Roman" w:hAnsi="Times New Roman"/>
        </w:rPr>
        <w:t xml:space="preserve">. </w:t>
      </w:r>
    </w:p>
  </w:footnote>
  <w:footnote w:id="133">
    <w:p w14:paraId="2F25D024" w14:textId="2B2B2B51" w:rsidR="006864ED" w:rsidRPr="00307746" w:rsidRDefault="006864ED" w:rsidP="00CE3BD7">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Marokkó, Tunézia, Gambia, Nyugat- és Közép-Afrika, Törökország, Nyugat-Balkán, Albánia, Moldova, Pakisztán. </w:t>
      </w:r>
    </w:p>
  </w:footnote>
  <w:footnote w:id="134">
    <w:p w14:paraId="4973AB40" w14:textId="0EBB8037" w:rsidR="009A30BA" w:rsidRPr="009A30BA" w:rsidRDefault="009A30BA" w:rsidP="00CE3BD7">
      <w:pPr>
        <w:pStyle w:val="FootnoteText"/>
        <w:contextualSpacing/>
        <w:jc w:val="both"/>
      </w:pPr>
      <w:r>
        <w:rPr>
          <w:rStyle w:val="FootnoteReference"/>
        </w:rPr>
        <w:footnoteRef/>
      </w:r>
      <w:r>
        <w:t xml:space="preserve"> </w:t>
      </w:r>
      <w:r>
        <w:rPr>
          <w:rFonts w:ascii="Times New Roman" w:hAnsi="Times New Roman"/>
        </w:rPr>
        <w:t>Javaslat – AZ EURÓPAI PARLAMENT ÉS A TANÁCS IRÁNYELVE az Unióba való jogellenes beutazáshoz, valamint az Unión belüli jogellenes átutazáshoz és tartózkodáshoz történő segítségnyújtás megelőzésére és az ellene folytatott küzdelemre vonatkozó minimumszabályok megállapításáról (</w:t>
      </w:r>
      <w:hyperlink r:id="rId68" w:history="1">
        <w:r>
          <w:rPr>
            <w:rFonts w:ascii="Times New Roman" w:hAnsi="Times New Roman"/>
          </w:rPr>
          <w:t>COM(2023) 755 final</w:t>
        </w:r>
      </w:hyperlink>
      <w:r>
        <w:rPr>
          <w:rFonts w:ascii="Times New Roman" w:hAnsi="Times New Roman"/>
        </w:rPr>
        <w:t xml:space="preserve">) </w:t>
      </w:r>
      <w:hyperlink r:id="rId69" w:history="1">
        <w:r>
          <w:rPr>
            <w:rFonts w:ascii="Times New Roman" w:hAnsi="Times New Roman"/>
            <w:color w:val="0000FF"/>
            <w:u w:val="single"/>
          </w:rPr>
          <w:t>EUR-Lex - 52023PC0755 - HU - EUR-Lex (europa.eu)</w:t>
        </w:r>
      </w:hyperlink>
      <w:r>
        <w:rPr>
          <w:rFonts w:ascii="Times New Roman" w:hAnsi="Times New Roman"/>
          <w:color w:val="0000FF"/>
          <w:u w:val="single"/>
        </w:rPr>
        <w:t>.</w:t>
      </w:r>
    </w:p>
  </w:footnote>
  <w:footnote w:id="135">
    <w:p w14:paraId="468E20D8" w14:textId="4A327700" w:rsidR="009A30BA" w:rsidRPr="00D14559" w:rsidRDefault="009A30BA" w:rsidP="00CE3BD7">
      <w:pPr>
        <w:pStyle w:val="FootnoteText"/>
        <w:spacing w:before="0"/>
        <w:contextualSpacing/>
        <w:jc w:val="both"/>
        <w:rPr>
          <w:rFonts w:ascii="Times New Roman" w:hAnsi="Times New Roman" w:cs="Times New Roman"/>
        </w:rPr>
      </w:pPr>
      <w:r>
        <w:rPr>
          <w:rStyle w:val="FootnoteReference"/>
        </w:rPr>
        <w:footnoteRef/>
      </w:r>
      <w:r>
        <w:t xml:space="preserve"> </w:t>
      </w:r>
      <w:r>
        <w:rPr>
          <w:rFonts w:ascii="Times New Roman" w:hAnsi="Times New Roman"/>
        </w:rPr>
        <w:t xml:space="preserve">Javaslat – AZ EURÓPAI PARLAMENT ÉS A TANÁCS RENDELETE a migránscsempészés és az emberkereskedelem megelőzésével, felderítésével és kivizsgálásával kapcsolatos rendőrségi együttműködés megerősítéséről, valamint az Europol által az ilyen bűncselekmények megelőzéséhez és az ellenük folytatott küzdelemhez nyújtott támogatás megerősítéséről, továbbá az (EU) 2016/794 rendelet módosításáról </w:t>
      </w:r>
      <w:hyperlink r:id="rId70" w:history="1">
        <w:r>
          <w:rPr>
            <w:rFonts w:ascii="Times New Roman" w:hAnsi="Times New Roman"/>
            <w:color w:val="0000FF"/>
            <w:u w:val="single"/>
          </w:rPr>
          <w:t>EUR-Lex - 52023PC0754 - HU - EUR-Lex (europa.eu)</w:t>
        </w:r>
      </w:hyperlink>
      <w:r>
        <w:rPr>
          <w:rFonts w:ascii="Times New Roman" w:hAnsi="Times New Roman"/>
          <w:color w:val="0000FF"/>
          <w:u w:val="single"/>
        </w:rPr>
        <w:t>.</w:t>
      </w:r>
    </w:p>
  </w:footnote>
  <w:footnote w:id="136">
    <w:p w14:paraId="234A82B4" w14:textId="77777777" w:rsidR="00662705" w:rsidRPr="007D11FA" w:rsidRDefault="00662705" w:rsidP="00B011CB">
      <w:pPr>
        <w:pStyle w:val="FootnoteText"/>
        <w:spacing w:before="0"/>
        <w:contextualSpacing/>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hyperlink r:id="rId71" w:anchor=":~:text=The%20Common%20Anti-Trafficking%20plan%20delivers%20one%20of%20the,Beings%20and%20carefully%20follows%20the%20EU%20Anti-trafficking%20Directive." w:history="1">
        <w:r>
          <w:rPr>
            <w:rStyle w:val="Hyperlink"/>
            <w:rFonts w:ascii="Times New Roman" w:hAnsi="Times New Roman"/>
          </w:rPr>
          <w:t>Emberkereskedelem elleni terv az ukrajnai háború elől menekülők védelme érdekében – Európai Bizottság (europa.eu)</w:t>
        </w:r>
      </w:hyperlink>
      <w:r>
        <w:t>.</w:t>
      </w:r>
    </w:p>
  </w:footnote>
  <w:footnote w:id="137">
    <w:p w14:paraId="4895DD6C" w14:textId="77777777" w:rsidR="007D0366" w:rsidRPr="00AE2102" w:rsidRDefault="007D0366" w:rsidP="007D0366">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Tartózkodási jogok, a munkaerőpiachoz való hozzáférés, szállás, szociális támogatás és egyéb segítségnyújtás.</w:t>
      </w:r>
    </w:p>
  </w:footnote>
  <w:footnote w:id="138">
    <w:p w14:paraId="385C4C88" w14:textId="0D0C1D9C" w:rsidR="007D0366" w:rsidRPr="007D11FA" w:rsidRDefault="007D0366" w:rsidP="007D036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2" w:history="1">
        <w:r>
          <w:rPr>
            <w:rStyle w:val="Hyperlink"/>
            <w:rFonts w:ascii="Times New Roman" w:hAnsi="Times New Roman"/>
          </w:rPr>
          <w:t>Ukrajnai menekültek:</w:t>
        </w:r>
      </w:hyperlink>
      <w:hyperlink r:id="rId73" w:history="1">
        <w:r>
          <w:rPr>
            <w:rStyle w:val="Hyperlink"/>
            <w:rFonts w:ascii="Times New Roman" w:hAnsi="Times New Roman"/>
          </w:rPr>
          <w:t xml:space="preserve"> a Tanács 2026 márciusáig meghosszabbította az átmeneti védelmet – Consilium (europa.eu)</w:t>
        </w:r>
      </w:hyperlink>
      <w:r>
        <w:rPr>
          <w:rStyle w:val="Hyperlink"/>
          <w:rFonts w:ascii="Times New Roman" w:hAnsi="Times New Roman"/>
        </w:rPr>
        <w:t>.</w:t>
      </w:r>
    </w:p>
  </w:footnote>
  <w:footnote w:id="139">
    <w:p w14:paraId="6D6BDE3A" w14:textId="28F2152A" w:rsidR="007248B4" w:rsidRPr="00307746" w:rsidRDefault="007248B4"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Latin-Amerika, Nigéria, Kína, Pakisztán, Marokkó, Banglades, Nyugat-Balkán, Törökország stb.</w:t>
      </w:r>
    </w:p>
  </w:footnote>
  <w:footnote w:id="140">
    <w:p w14:paraId="551734BD" w14:textId="24D89EA6" w:rsidR="00363113" w:rsidRPr="00307746" w:rsidRDefault="00363113" w:rsidP="00B011CB">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ISF-2024-TF2-AG-COP </w:t>
      </w:r>
      <w:hyperlink r:id="rId74" w:history="1">
        <w:r>
          <w:rPr>
            <w:rFonts w:ascii="Times New Roman" w:hAnsi="Times New Roman"/>
          </w:rPr>
          <w:t>pályázati sablon frissített változata (europa.eu)</w:t>
        </w:r>
      </w:hyperlink>
      <w:r>
        <w:rPr>
          <w:rFonts w:ascii="Times New Roman" w:hAnsi="Times New Roman"/>
        </w:rPr>
        <w:t>.</w:t>
      </w:r>
    </w:p>
  </w:footnote>
  <w:footnote w:id="141">
    <w:p w14:paraId="6F517E86" w14:textId="77777777" w:rsidR="00662705" w:rsidRPr="00AC4FDD" w:rsidRDefault="00662705" w:rsidP="00857C43">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ENSZ Kábítószer- és Bűnügyi Hivatala (UNODC), a Nemzetközi Migrációs Szervezet (IOM), az ENSZ Menekültügyi Főbiztosának Hivatala (UNHCR), a Nemzetközi Migrációs Politikát Fejlesztő Központ (ICMPD) és az Európai Biztonsági és Együttműködési Szervezet (EBESZ).</w:t>
      </w:r>
    </w:p>
  </w:footnote>
  <w:footnote w:id="142">
    <w:p w14:paraId="246FD0D8" w14:textId="356D40E3" w:rsidR="00662705" w:rsidRPr="00AC4FDD" w:rsidRDefault="00662705" w:rsidP="00307746">
      <w:pPr>
        <w:pStyle w:val="FootnoteText"/>
        <w:spacing w:before="0"/>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Dánia, Észtország, Franciaország, Finnország, Magyarország, Olaszország, Írország, Litvánia, Málta, Hollandia, Lengyelország, Portugália, Románia, Szlovénia, Svédország és Spanyolország. </w:t>
      </w:r>
    </w:p>
  </w:footnote>
  <w:footnote w:id="143">
    <w:p w14:paraId="3F69B85F" w14:textId="0A18F953" w:rsidR="00594396" w:rsidRPr="00A660AB" w:rsidRDefault="00594396">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3" w:name="_Hlk184809429"/>
      <w:bookmarkStart w:id="4" w:name="_Hlk184809430"/>
      <w:r>
        <w:rPr>
          <w:rFonts w:ascii="Times New Roman" w:hAnsi="Times New Roman" w:cs="Times New Roman"/>
        </w:rPr>
        <w:fldChar w:fldCharType="begin"/>
      </w:r>
      <w:r>
        <w:rPr>
          <w:rFonts w:ascii="Times New Roman" w:hAnsi="Times New Roman" w:cs="Times New Roman"/>
        </w:rPr>
        <w:instrText>HYPERLINK "https://www.unodc.org/unodc/en/data-and-analysis/glotip.html"</w:instrText>
      </w:r>
      <w:r>
        <w:rPr>
          <w:rFonts w:ascii="Times New Roman" w:hAnsi="Times New Roman" w:cs="Times New Roman"/>
        </w:rPr>
        <w:fldChar w:fldCharType="separate"/>
      </w:r>
      <w:r>
        <w:rPr>
          <w:rFonts w:ascii="Times New Roman" w:hAnsi="Times New Roman"/>
          <w:color w:val="0000FF"/>
          <w:u w:val="single"/>
        </w:rPr>
        <w:t>2024. évi átfogó jelentés az emberkereskedelemről</w:t>
      </w:r>
      <w:r>
        <w:rPr>
          <w:rFonts w:ascii="Times New Roman" w:hAnsi="Times New Roman" w:cs="Times New Roman"/>
        </w:rPr>
        <w:fldChar w:fldCharType="end"/>
      </w:r>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5A8D" w14:textId="77777777" w:rsidR="00096132" w:rsidRPr="00096132" w:rsidRDefault="00096132" w:rsidP="0009613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9217" w14:textId="77777777" w:rsidR="00096132" w:rsidRPr="00096132" w:rsidRDefault="00096132" w:rsidP="0009613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0CA5" w14:textId="77777777" w:rsidR="00096132" w:rsidRPr="00096132" w:rsidRDefault="00096132" w:rsidP="0009613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19AA" w14:textId="77777777" w:rsidR="003908CE" w:rsidRDefault="003908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7D7E" w14:textId="77777777" w:rsidR="003908CE" w:rsidRDefault="003908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1861" w14:textId="77777777" w:rsidR="003908CE" w:rsidRDefault="0039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5E31"/>
    <w:multiLevelType w:val="hybridMultilevel"/>
    <w:tmpl w:val="877E6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1D6ADB"/>
    <w:multiLevelType w:val="multilevel"/>
    <w:tmpl w:val="1A7C7E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E515AF"/>
    <w:multiLevelType w:val="hybridMultilevel"/>
    <w:tmpl w:val="FCA04AD0"/>
    <w:lvl w:ilvl="0" w:tplc="FAF2B0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F0E90"/>
    <w:multiLevelType w:val="hybridMultilevel"/>
    <w:tmpl w:val="04EE63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3D441D"/>
    <w:multiLevelType w:val="hybridMultilevel"/>
    <w:tmpl w:val="BE3C8058"/>
    <w:lvl w:ilvl="0" w:tplc="183886FC">
      <w:start w:val="1"/>
      <w:numFmt w:val="decimal"/>
      <w:lvlText w:val="%1."/>
      <w:lvlJc w:val="left"/>
      <w:pPr>
        <w:tabs>
          <w:tab w:val="num" w:pos="720"/>
        </w:tabs>
        <w:ind w:left="720" w:hanging="360"/>
      </w:pPr>
    </w:lvl>
    <w:lvl w:ilvl="1" w:tplc="127093B0" w:tentative="1">
      <w:start w:val="1"/>
      <w:numFmt w:val="decimal"/>
      <w:lvlText w:val="%2."/>
      <w:lvlJc w:val="left"/>
      <w:pPr>
        <w:tabs>
          <w:tab w:val="num" w:pos="1440"/>
        </w:tabs>
        <w:ind w:left="1440" w:hanging="360"/>
      </w:pPr>
    </w:lvl>
    <w:lvl w:ilvl="2" w:tplc="2C0AEE7E" w:tentative="1">
      <w:start w:val="1"/>
      <w:numFmt w:val="decimal"/>
      <w:lvlText w:val="%3."/>
      <w:lvlJc w:val="left"/>
      <w:pPr>
        <w:tabs>
          <w:tab w:val="num" w:pos="2160"/>
        </w:tabs>
        <w:ind w:left="2160" w:hanging="360"/>
      </w:pPr>
    </w:lvl>
    <w:lvl w:ilvl="3" w:tplc="F050B63A" w:tentative="1">
      <w:start w:val="1"/>
      <w:numFmt w:val="decimal"/>
      <w:lvlText w:val="%4."/>
      <w:lvlJc w:val="left"/>
      <w:pPr>
        <w:tabs>
          <w:tab w:val="num" w:pos="2880"/>
        </w:tabs>
        <w:ind w:left="2880" w:hanging="360"/>
      </w:pPr>
    </w:lvl>
    <w:lvl w:ilvl="4" w:tplc="7E40C1EE" w:tentative="1">
      <w:start w:val="1"/>
      <w:numFmt w:val="decimal"/>
      <w:lvlText w:val="%5."/>
      <w:lvlJc w:val="left"/>
      <w:pPr>
        <w:tabs>
          <w:tab w:val="num" w:pos="3600"/>
        </w:tabs>
        <w:ind w:left="3600" w:hanging="360"/>
      </w:pPr>
    </w:lvl>
    <w:lvl w:ilvl="5" w:tplc="51269F94" w:tentative="1">
      <w:start w:val="1"/>
      <w:numFmt w:val="decimal"/>
      <w:lvlText w:val="%6."/>
      <w:lvlJc w:val="left"/>
      <w:pPr>
        <w:tabs>
          <w:tab w:val="num" w:pos="4320"/>
        </w:tabs>
        <w:ind w:left="4320" w:hanging="360"/>
      </w:pPr>
    </w:lvl>
    <w:lvl w:ilvl="6" w:tplc="877629A2" w:tentative="1">
      <w:start w:val="1"/>
      <w:numFmt w:val="decimal"/>
      <w:lvlText w:val="%7."/>
      <w:lvlJc w:val="left"/>
      <w:pPr>
        <w:tabs>
          <w:tab w:val="num" w:pos="5040"/>
        </w:tabs>
        <w:ind w:left="5040" w:hanging="360"/>
      </w:pPr>
    </w:lvl>
    <w:lvl w:ilvl="7" w:tplc="90B621B8" w:tentative="1">
      <w:start w:val="1"/>
      <w:numFmt w:val="decimal"/>
      <w:lvlText w:val="%8."/>
      <w:lvlJc w:val="left"/>
      <w:pPr>
        <w:tabs>
          <w:tab w:val="num" w:pos="5760"/>
        </w:tabs>
        <w:ind w:left="5760" w:hanging="360"/>
      </w:pPr>
    </w:lvl>
    <w:lvl w:ilvl="8" w:tplc="07BAD78A" w:tentative="1">
      <w:start w:val="1"/>
      <w:numFmt w:val="decimal"/>
      <w:lvlText w:val="%9."/>
      <w:lvlJc w:val="left"/>
      <w:pPr>
        <w:tabs>
          <w:tab w:val="num" w:pos="6480"/>
        </w:tabs>
        <w:ind w:left="6480" w:hanging="360"/>
      </w:pPr>
    </w:lvl>
  </w:abstractNum>
  <w:abstractNum w:abstractNumId="5" w15:restartNumberingAfterBreak="0">
    <w:nsid w:val="280B7B56"/>
    <w:multiLevelType w:val="hybridMultilevel"/>
    <w:tmpl w:val="D466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494B"/>
    <w:multiLevelType w:val="multilevel"/>
    <w:tmpl w:val="1C0E877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C2F64"/>
    <w:multiLevelType w:val="hybridMultilevel"/>
    <w:tmpl w:val="B81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F7F92"/>
    <w:multiLevelType w:val="hybridMultilevel"/>
    <w:tmpl w:val="8FAC4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5E71AE"/>
    <w:multiLevelType w:val="hybridMultilevel"/>
    <w:tmpl w:val="05A842AC"/>
    <w:lvl w:ilvl="0" w:tplc="A13E4F3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F4EF8A"/>
    <w:multiLevelType w:val="hybridMultilevel"/>
    <w:tmpl w:val="246C9F7A"/>
    <w:lvl w:ilvl="0" w:tplc="18090001">
      <w:start w:val="1"/>
      <w:numFmt w:val="bullet"/>
      <w:lvlText w:val=""/>
      <w:lvlJc w:val="left"/>
      <w:pPr>
        <w:ind w:left="360" w:hanging="360"/>
      </w:pPr>
      <w:rPr>
        <w:rFonts w:ascii="Symbol" w:hAnsi="Symbol" w:hint="default"/>
      </w:rPr>
    </w:lvl>
    <w:lvl w:ilvl="1" w:tplc="7F066CE6">
      <w:start w:val="1"/>
      <w:numFmt w:val="bullet"/>
      <w:lvlText w:val="o"/>
      <w:lvlJc w:val="left"/>
      <w:pPr>
        <w:ind w:left="1080" w:hanging="360"/>
      </w:pPr>
      <w:rPr>
        <w:rFonts w:ascii="Courier New" w:hAnsi="Courier New" w:hint="default"/>
      </w:rPr>
    </w:lvl>
    <w:lvl w:ilvl="2" w:tplc="3DBCC5AE">
      <w:start w:val="1"/>
      <w:numFmt w:val="bullet"/>
      <w:lvlText w:val=""/>
      <w:lvlJc w:val="left"/>
      <w:pPr>
        <w:ind w:left="1800" w:hanging="360"/>
      </w:pPr>
      <w:rPr>
        <w:rFonts w:ascii="Wingdings" w:hAnsi="Wingdings" w:hint="default"/>
      </w:rPr>
    </w:lvl>
    <w:lvl w:ilvl="3" w:tplc="44F4D404">
      <w:start w:val="1"/>
      <w:numFmt w:val="bullet"/>
      <w:lvlText w:val=""/>
      <w:lvlJc w:val="left"/>
      <w:pPr>
        <w:ind w:left="2520" w:hanging="360"/>
      </w:pPr>
      <w:rPr>
        <w:rFonts w:ascii="Symbol" w:hAnsi="Symbol" w:hint="default"/>
      </w:rPr>
    </w:lvl>
    <w:lvl w:ilvl="4" w:tplc="5B380862">
      <w:start w:val="1"/>
      <w:numFmt w:val="bullet"/>
      <w:lvlText w:val="o"/>
      <w:lvlJc w:val="left"/>
      <w:pPr>
        <w:ind w:left="3240" w:hanging="360"/>
      </w:pPr>
      <w:rPr>
        <w:rFonts w:ascii="Courier New" w:hAnsi="Courier New" w:hint="default"/>
      </w:rPr>
    </w:lvl>
    <w:lvl w:ilvl="5" w:tplc="E6223426">
      <w:start w:val="1"/>
      <w:numFmt w:val="bullet"/>
      <w:lvlText w:val=""/>
      <w:lvlJc w:val="left"/>
      <w:pPr>
        <w:ind w:left="3960" w:hanging="360"/>
      </w:pPr>
      <w:rPr>
        <w:rFonts w:ascii="Wingdings" w:hAnsi="Wingdings" w:hint="default"/>
      </w:rPr>
    </w:lvl>
    <w:lvl w:ilvl="6" w:tplc="14FEC780">
      <w:start w:val="1"/>
      <w:numFmt w:val="bullet"/>
      <w:lvlText w:val=""/>
      <w:lvlJc w:val="left"/>
      <w:pPr>
        <w:ind w:left="4680" w:hanging="360"/>
      </w:pPr>
      <w:rPr>
        <w:rFonts w:ascii="Symbol" w:hAnsi="Symbol" w:hint="default"/>
      </w:rPr>
    </w:lvl>
    <w:lvl w:ilvl="7" w:tplc="26A2678E">
      <w:start w:val="1"/>
      <w:numFmt w:val="bullet"/>
      <w:lvlText w:val="o"/>
      <w:lvlJc w:val="left"/>
      <w:pPr>
        <w:ind w:left="5400" w:hanging="360"/>
      </w:pPr>
      <w:rPr>
        <w:rFonts w:ascii="Courier New" w:hAnsi="Courier New" w:hint="default"/>
      </w:rPr>
    </w:lvl>
    <w:lvl w:ilvl="8" w:tplc="0B947C7E">
      <w:start w:val="1"/>
      <w:numFmt w:val="bullet"/>
      <w:lvlText w:val=""/>
      <w:lvlJc w:val="left"/>
      <w:pPr>
        <w:ind w:left="6120" w:hanging="360"/>
      </w:pPr>
      <w:rPr>
        <w:rFonts w:ascii="Wingdings" w:hAnsi="Wingdings" w:hint="default"/>
      </w:rPr>
    </w:lvl>
  </w:abstractNum>
  <w:abstractNum w:abstractNumId="11" w15:restartNumberingAfterBreak="0">
    <w:nsid w:val="40BB7900"/>
    <w:multiLevelType w:val="hybridMultilevel"/>
    <w:tmpl w:val="72E8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7"/>
    <w:multiLevelType w:val="hybridMultilevel"/>
    <w:tmpl w:val="EDB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173C3"/>
    <w:multiLevelType w:val="hybridMultilevel"/>
    <w:tmpl w:val="FB7C8E3C"/>
    <w:lvl w:ilvl="0" w:tplc="9B94E9D4">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891E22"/>
    <w:multiLevelType w:val="multilevel"/>
    <w:tmpl w:val="799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021B0"/>
    <w:multiLevelType w:val="hybridMultilevel"/>
    <w:tmpl w:val="2FD8E358"/>
    <w:lvl w:ilvl="0" w:tplc="04070003">
      <w:start w:val="1"/>
      <w:numFmt w:val="bullet"/>
      <w:lvlText w:val="o"/>
      <w:lvlJc w:val="left"/>
      <w:pPr>
        <w:ind w:left="1434" w:hanging="360"/>
      </w:pPr>
      <w:rPr>
        <w:rFonts w:ascii="Courier New" w:hAnsi="Courier New" w:cs="Courier New"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6" w15:restartNumberingAfterBreak="0">
    <w:nsid w:val="61967065"/>
    <w:multiLevelType w:val="multilevel"/>
    <w:tmpl w:val="2390AC6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1A13BB"/>
    <w:multiLevelType w:val="multilevel"/>
    <w:tmpl w:val="9A82175E"/>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D8795A"/>
    <w:multiLevelType w:val="hybridMultilevel"/>
    <w:tmpl w:val="983CB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A5D01DC"/>
    <w:multiLevelType w:val="hybridMultilevel"/>
    <w:tmpl w:val="295E4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
  </w:num>
  <w:num w:numId="4">
    <w:abstractNumId w:val="18"/>
  </w:num>
  <w:num w:numId="5">
    <w:abstractNumId w:val="7"/>
  </w:num>
  <w:num w:numId="6">
    <w:abstractNumId w:val="5"/>
  </w:num>
  <w:num w:numId="7">
    <w:abstractNumId w:val="12"/>
  </w:num>
  <w:num w:numId="8">
    <w:abstractNumId w:val="3"/>
  </w:num>
  <w:num w:numId="9">
    <w:abstractNumId w:val="11"/>
  </w:num>
  <w:num w:numId="10">
    <w:abstractNumId w:val="8"/>
  </w:num>
  <w:num w:numId="11">
    <w:abstractNumId w:val="13"/>
  </w:num>
  <w:num w:numId="12">
    <w:abstractNumId w:val="19"/>
  </w:num>
  <w:num w:numId="13">
    <w:abstractNumId w:val="15"/>
  </w:num>
  <w:num w:numId="14">
    <w:abstractNumId w:val="0"/>
  </w:num>
  <w:num w:numId="15">
    <w:abstractNumId w:val="9"/>
  </w:num>
  <w:num w:numId="16">
    <w:abstractNumId w:val="4"/>
  </w:num>
  <w:num w:numId="17">
    <w:abstractNumId w:val="16"/>
  </w:num>
  <w:num w:numId="18">
    <w:abstractNumId w:val="1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83C2308-4291-4705-BB77-655865D31C72"/>
    <w:docVar w:name="LW_COVERPAGE_TYPE" w:val="1"/>
    <w:docVar w:name="LW_CROSSREFERENCE" w:val="{SWD(2025) 4 final}"/>
    <w:docVar w:name="LW_DocType" w:val="NORMAL"/>
    <w:docVar w:name="LW_EMISSION" w:val="2025.1.20."/>
    <w:docVar w:name="LW_EMISSION_ISODATE" w:val="2025-01-20"/>
    <w:docVar w:name="LW_EMISSION_LOCATION" w:val="BRX"/>
    <w:docVar w:name="LW_EMISSION_PREFIX" w:val="Brüsszel, "/>
    <w:docVar w:name="LW_EMISSION_SUFFIX" w:val=" "/>
    <w:docVar w:name="LW_ID_DOCTYPE_NONLW" w:val="CP-008"/>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5) 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mberkereskedelem elleni küzdelem terén az Európai Unióban elért eredményekr\u337?l (ötödik jelentés)"/>
    <w:docVar w:name="LW_TYPE.DOC.CP" w:val="A BIZOTTSÁG JELENTÉSE AZ EURÓPAI PARLAMENTNEK, A TANÁCSNAK, AZ EURÓPAI GAZDASÁGI ÉS SZOCIÁLIS BIZOTTSÁGNAK ÉS A RÉGIÓK BIZOTTSÁGÁNAK"/>
    <w:docVar w:name="LwApiVersions" w:val="LW4CoDe 1.24.5.0; LW 9.0, Build 20240221"/>
  </w:docVars>
  <w:rsids>
    <w:rsidRoot w:val="00EE624C"/>
    <w:rsid w:val="000001BA"/>
    <w:rsid w:val="00000BF6"/>
    <w:rsid w:val="00001127"/>
    <w:rsid w:val="0000129F"/>
    <w:rsid w:val="00001538"/>
    <w:rsid w:val="000020B5"/>
    <w:rsid w:val="00003CFB"/>
    <w:rsid w:val="000047A2"/>
    <w:rsid w:val="00005DC4"/>
    <w:rsid w:val="0000720E"/>
    <w:rsid w:val="00007329"/>
    <w:rsid w:val="000073B1"/>
    <w:rsid w:val="00007899"/>
    <w:rsid w:val="00010279"/>
    <w:rsid w:val="00010D71"/>
    <w:rsid w:val="00011053"/>
    <w:rsid w:val="0001133C"/>
    <w:rsid w:val="000122BB"/>
    <w:rsid w:val="00013CEE"/>
    <w:rsid w:val="00013F5C"/>
    <w:rsid w:val="00014247"/>
    <w:rsid w:val="00014992"/>
    <w:rsid w:val="0001558D"/>
    <w:rsid w:val="00016640"/>
    <w:rsid w:val="00017035"/>
    <w:rsid w:val="00017897"/>
    <w:rsid w:val="00017EB2"/>
    <w:rsid w:val="000203B2"/>
    <w:rsid w:val="0002054D"/>
    <w:rsid w:val="00020B3C"/>
    <w:rsid w:val="00020C1B"/>
    <w:rsid w:val="00021F43"/>
    <w:rsid w:val="00022BA3"/>
    <w:rsid w:val="00022E6D"/>
    <w:rsid w:val="00024432"/>
    <w:rsid w:val="00024BCE"/>
    <w:rsid w:val="00024D95"/>
    <w:rsid w:val="000256A2"/>
    <w:rsid w:val="000258AA"/>
    <w:rsid w:val="00025B85"/>
    <w:rsid w:val="00025F21"/>
    <w:rsid w:val="000263B6"/>
    <w:rsid w:val="00031244"/>
    <w:rsid w:val="000315FB"/>
    <w:rsid w:val="00031A97"/>
    <w:rsid w:val="00032859"/>
    <w:rsid w:val="00033F7F"/>
    <w:rsid w:val="000343AA"/>
    <w:rsid w:val="00034573"/>
    <w:rsid w:val="00034B44"/>
    <w:rsid w:val="00035206"/>
    <w:rsid w:val="00035C01"/>
    <w:rsid w:val="000364DB"/>
    <w:rsid w:val="00036680"/>
    <w:rsid w:val="00036D95"/>
    <w:rsid w:val="000370D0"/>
    <w:rsid w:val="00037590"/>
    <w:rsid w:val="0004013D"/>
    <w:rsid w:val="00040381"/>
    <w:rsid w:val="00040789"/>
    <w:rsid w:val="00040826"/>
    <w:rsid w:val="00040B6A"/>
    <w:rsid w:val="000467CE"/>
    <w:rsid w:val="00046BBE"/>
    <w:rsid w:val="0005053A"/>
    <w:rsid w:val="00050B41"/>
    <w:rsid w:val="00050D92"/>
    <w:rsid w:val="00051B42"/>
    <w:rsid w:val="00051DBE"/>
    <w:rsid w:val="000520E0"/>
    <w:rsid w:val="00052438"/>
    <w:rsid w:val="000527B1"/>
    <w:rsid w:val="000543FC"/>
    <w:rsid w:val="0005451D"/>
    <w:rsid w:val="00054BF8"/>
    <w:rsid w:val="000565A0"/>
    <w:rsid w:val="000567C1"/>
    <w:rsid w:val="0005685E"/>
    <w:rsid w:val="00056E44"/>
    <w:rsid w:val="0006029B"/>
    <w:rsid w:val="000605B2"/>
    <w:rsid w:val="000609FF"/>
    <w:rsid w:val="00061776"/>
    <w:rsid w:val="00061882"/>
    <w:rsid w:val="00061901"/>
    <w:rsid w:val="00061AE0"/>
    <w:rsid w:val="0006243E"/>
    <w:rsid w:val="00063224"/>
    <w:rsid w:val="00063B0F"/>
    <w:rsid w:val="00064431"/>
    <w:rsid w:val="00064556"/>
    <w:rsid w:val="00066408"/>
    <w:rsid w:val="00066496"/>
    <w:rsid w:val="00066986"/>
    <w:rsid w:val="00066B7E"/>
    <w:rsid w:val="00066DD1"/>
    <w:rsid w:val="0006767D"/>
    <w:rsid w:val="00067C21"/>
    <w:rsid w:val="00067E84"/>
    <w:rsid w:val="00070519"/>
    <w:rsid w:val="000710D1"/>
    <w:rsid w:val="0007133C"/>
    <w:rsid w:val="000717BB"/>
    <w:rsid w:val="00071865"/>
    <w:rsid w:val="00071908"/>
    <w:rsid w:val="00071B1F"/>
    <w:rsid w:val="00071E53"/>
    <w:rsid w:val="00072488"/>
    <w:rsid w:val="000732C3"/>
    <w:rsid w:val="0007333D"/>
    <w:rsid w:val="000736AE"/>
    <w:rsid w:val="00073B2D"/>
    <w:rsid w:val="00073B65"/>
    <w:rsid w:val="00073D53"/>
    <w:rsid w:val="00073E21"/>
    <w:rsid w:val="00074473"/>
    <w:rsid w:val="00074937"/>
    <w:rsid w:val="00075CE3"/>
    <w:rsid w:val="00076D64"/>
    <w:rsid w:val="00077E8C"/>
    <w:rsid w:val="000807BA"/>
    <w:rsid w:val="0008319D"/>
    <w:rsid w:val="000837AC"/>
    <w:rsid w:val="00083A9F"/>
    <w:rsid w:val="00083F40"/>
    <w:rsid w:val="000860A7"/>
    <w:rsid w:val="00086927"/>
    <w:rsid w:val="00086DD4"/>
    <w:rsid w:val="000875CB"/>
    <w:rsid w:val="00087650"/>
    <w:rsid w:val="00087AD2"/>
    <w:rsid w:val="000907E2"/>
    <w:rsid w:val="00090C26"/>
    <w:rsid w:val="000911EE"/>
    <w:rsid w:val="00091710"/>
    <w:rsid w:val="000926A2"/>
    <w:rsid w:val="00094CF3"/>
    <w:rsid w:val="0009596B"/>
    <w:rsid w:val="00095E51"/>
    <w:rsid w:val="0009607D"/>
    <w:rsid w:val="00096132"/>
    <w:rsid w:val="0009663D"/>
    <w:rsid w:val="00096DA9"/>
    <w:rsid w:val="00097544"/>
    <w:rsid w:val="00097BF4"/>
    <w:rsid w:val="00097FEA"/>
    <w:rsid w:val="000A0283"/>
    <w:rsid w:val="000A1343"/>
    <w:rsid w:val="000A1B55"/>
    <w:rsid w:val="000A1CC6"/>
    <w:rsid w:val="000A2642"/>
    <w:rsid w:val="000A2A71"/>
    <w:rsid w:val="000A2D9D"/>
    <w:rsid w:val="000A3428"/>
    <w:rsid w:val="000A5073"/>
    <w:rsid w:val="000A531C"/>
    <w:rsid w:val="000A7213"/>
    <w:rsid w:val="000A74ED"/>
    <w:rsid w:val="000B0A8E"/>
    <w:rsid w:val="000B0CBD"/>
    <w:rsid w:val="000B13B4"/>
    <w:rsid w:val="000B273E"/>
    <w:rsid w:val="000B2ECE"/>
    <w:rsid w:val="000B33D8"/>
    <w:rsid w:val="000B402D"/>
    <w:rsid w:val="000B45B1"/>
    <w:rsid w:val="000B4F7F"/>
    <w:rsid w:val="000B4FB2"/>
    <w:rsid w:val="000B5072"/>
    <w:rsid w:val="000B5A05"/>
    <w:rsid w:val="000B5AF3"/>
    <w:rsid w:val="000B6353"/>
    <w:rsid w:val="000C07DF"/>
    <w:rsid w:val="000C08AB"/>
    <w:rsid w:val="000C08BB"/>
    <w:rsid w:val="000C0E63"/>
    <w:rsid w:val="000C144F"/>
    <w:rsid w:val="000C1740"/>
    <w:rsid w:val="000C1F0D"/>
    <w:rsid w:val="000C2729"/>
    <w:rsid w:val="000C3F8D"/>
    <w:rsid w:val="000C4191"/>
    <w:rsid w:val="000C48DC"/>
    <w:rsid w:val="000C701E"/>
    <w:rsid w:val="000C7180"/>
    <w:rsid w:val="000C78B1"/>
    <w:rsid w:val="000D0516"/>
    <w:rsid w:val="000D05F7"/>
    <w:rsid w:val="000D065E"/>
    <w:rsid w:val="000D1449"/>
    <w:rsid w:val="000D16B7"/>
    <w:rsid w:val="000D22B0"/>
    <w:rsid w:val="000D2948"/>
    <w:rsid w:val="000D3220"/>
    <w:rsid w:val="000D3C55"/>
    <w:rsid w:val="000D3DB8"/>
    <w:rsid w:val="000D3FED"/>
    <w:rsid w:val="000D5DF0"/>
    <w:rsid w:val="000D6F94"/>
    <w:rsid w:val="000E031B"/>
    <w:rsid w:val="000E043B"/>
    <w:rsid w:val="000E048C"/>
    <w:rsid w:val="000E0E06"/>
    <w:rsid w:val="000E1C6E"/>
    <w:rsid w:val="000E232B"/>
    <w:rsid w:val="000E3426"/>
    <w:rsid w:val="000E38B9"/>
    <w:rsid w:val="000E4A6D"/>
    <w:rsid w:val="000E52A6"/>
    <w:rsid w:val="000E644A"/>
    <w:rsid w:val="000E6913"/>
    <w:rsid w:val="000E6AEC"/>
    <w:rsid w:val="000E752F"/>
    <w:rsid w:val="000F0257"/>
    <w:rsid w:val="000F1864"/>
    <w:rsid w:val="000F1899"/>
    <w:rsid w:val="000F2882"/>
    <w:rsid w:val="000F4B53"/>
    <w:rsid w:val="000F4E49"/>
    <w:rsid w:val="000F5D93"/>
    <w:rsid w:val="000F5F4D"/>
    <w:rsid w:val="000F684D"/>
    <w:rsid w:val="000F6A68"/>
    <w:rsid w:val="000F7583"/>
    <w:rsid w:val="000F75C3"/>
    <w:rsid w:val="000F79ED"/>
    <w:rsid w:val="000F7BFF"/>
    <w:rsid w:val="000F7E4C"/>
    <w:rsid w:val="000F7EC1"/>
    <w:rsid w:val="0010022D"/>
    <w:rsid w:val="00103055"/>
    <w:rsid w:val="001030D3"/>
    <w:rsid w:val="0010325C"/>
    <w:rsid w:val="00103A67"/>
    <w:rsid w:val="001045A2"/>
    <w:rsid w:val="00104B14"/>
    <w:rsid w:val="0010510C"/>
    <w:rsid w:val="00105B17"/>
    <w:rsid w:val="00106FB1"/>
    <w:rsid w:val="0010725E"/>
    <w:rsid w:val="00107D7B"/>
    <w:rsid w:val="00110519"/>
    <w:rsid w:val="001106C9"/>
    <w:rsid w:val="0011124C"/>
    <w:rsid w:val="00112B96"/>
    <w:rsid w:val="00113B58"/>
    <w:rsid w:val="00115475"/>
    <w:rsid w:val="00115724"/>
    <w:rsid w:val="00115A2F"/>
    <w:rsid w:val="00115B2D"/>
    <w:rsid w:val="0011615B"/>
    <w:rsid w:val="0011620A"/>
    <w:rsid w:val="00116DF2"/>
    <w:rsid w:val="0012005A"/>
    <w:rsid w:val="00120CD4"/>
    <w:rsid w:val="00120F58"/>
    <w:rsid w:val="0012124C"/>
    <w:rsid w:val="001213C0"/>
    <w:rsid w:val="0012146C"/>
    <w:rsid w:val="0012196B"/>
    <w:rsid w:val="00121E2C"/>
    <w:rsid w:val="00122108"/>
    <w:rsid w:val="00123C2F"/>
    <w:rsid w:val="001248A0"/>
    <w:rsid w:val="0012565E"/>
    <w:rsid w:val="00126508"/>
    <w:rsid w:val="00126D4C"/>
    <w:rsid w:val="00127405"/>
    <w:rsid w:val="00127883"/>
    <w:rsid w:val="00127F9C"/>
    <w:rsid w:val="0013017E"/>
    <w:rsid w:val="001307DA"/>
    <w:rsid w:val="001310BE"/>
    <w:rsid w:val="0013192B"/>
    <w:rsid w:val="0013196D"/>
    <w:rsid w:val="00131B21"/>
    <w:rsid w:val="00131D21"/>
    <w:rsid w:val="00132146"/>
    <w:rsid w:val="00132636"/>
    <w:rsid w:val="00132857"/>
    <w:rsid w:val="00132ADC"/>
    <w:rsid w:val="00132D0A"/>
    <w:rsid w:val="001344BF"/>
    <w:rsid w:val="001344F5"/>
    <w:rsid w:val="001349D2"/>
    <w:rsid w:val="00134C72"/>
    <w:rsid w:val="00135835"/>
    <w:rsid w:val="00136A60"/>
    <w:rsid w:val="00136B32"/>
    <w:rsid w:val="0013736C"/>
    <w:rsid w:val="001373EA"/>
    <w:rsid w:val="001403A4"/>
    <w:rsid w:val="00140599"/>
    <w:rsid w:val="00140670"/>
    <w:rsid w:val="00141DDE"/>
    <w:rsid w:val="00141E22"/>
    <w:rsid w:val="001428F9"/>
    <w:rsid w:val="0014332D"/>
    <w:rsid w:val="0014419C"/>
    <w:rsid w:val="00144D98"/>
    <w:rsid w:val="00144EE9"/>
    <w:rsid w:val="001454EA"/>
    <w:rsid w:val="001457A6"/>
    <w:rsid w:val="00145E65"/>
    <w:rsid w:val="001471AF"/>
    <w:rsid w:val="00147C73"/>
    <w:rsid w:val="00147C9A"/>
    <w:rsid w:val="0015000A"/>
    <w:rsid w:val="00151046"/>
    <w:rsid w:val="001510E1"/>
    <w:rsid w:val="001510FE"/>
    <w:rsid w:val="00152713"/>
    <w:rsid w:val="00153C81"/>
    <w:rsid w:val="001542A3"/>
    <w:rsid w:val="00154630"/>
    <w:rsid w:val="00154C0F"/>
    <w:rsid w:val="00155E72"/>
    <w:rsid w:val="00155FEB"/>
    <w:rsid w:val="00156122"/>
    <w:rsid w:val="001566E8"/>
    <w:rsid w:val="001569DE"/>
    <w:rsid w:val="001579C9"/>
    <w:rsid w:val="00157D48"/>
    <w:rsid w:val="00157FBC"/>
    <w:rsid w:val="00160C8A"/>
    <w:rsid w:val="00161448"/>
    <w:rsid w:val="00162898"/>
    <w:rsid w:val="00162BC9"/>
    <w:rsid w:val="00163B95"/>
    <w:rsid w:val="00164873"/>
    <w:rsid w:val="00164AA8"/>
    <w:rsid w:val="00164D9D"/>
    <w:rsid w:val="0016524F"/>
    <w:rsid w:val="001666AD"/>
    <w:rsid w:val="001670EE"/>
    <w:rsid w:val="00167284"/>
    <w:rsid w:val="0016779C"/>
    <w:rsid w:val="00170B62"/>
    <w:rsid w:val="00171230"/>
    <w:rsid w:val="001718D4"/>
    <w:rsid w:val="00172ADF"/>
    <w:rsid w:val="00172E91"/>
    <w:rsid w:val="001737F9"/>
    <w:rsid w:val="00173B24"/>
    <w:rsid w:val="00174191"/>
    <w:rsid w:val="001742E3"/>
    <w:rsid w:val="001745AD"/>
    <w:rsid w:val="00174AD9"/>
    <w:rsid w:val="00175D01"/>
    <w:rsid w:val="00175D24"/>
    <w:rsid w:val="00177144"/>
    <w:rsid w:val="00177230"/>
    <w:rsid w:val="00180A1C"/>
    <w:rsid w:val="00180A3C"/>
    <w:rsid w:val="00181D53"/>
    <w:rsid w:val="001824A1"/>
    <w:rsid w:val="00182AF4"/>
    <w:rsid w:val="00182CEF"/>
    <w:rsid w:val="00183C1D"/>
    <w:rsid w:val="00183DAF"/>
    <w:rsid w:val="0018420B"/>
    <w:rsid w:val="00184D58"/>
    <w:rsid w:val="00184F45"/>
    <w:rsid w:val="001853D3"/>
    <w:rsid w:val="00185F50"/>
    <w:rsid w:val="00187323"/>
    <w:rsid w:val="001907F1"/>
    <w:rsid w:val="00193F6D"/>
    <w:rsid w:val="00193F73"/>
    <w:rsid w:val="001941DE"/>
    <w:rsid w:val="0019430C"/>
    <w:rsid w:val="001943A6"/>
    <w:rsid w:val="00194ABD"/>
    <w:rsid w:val="00195B7E"/>
    <w:rsid w:val="0019663A"/>
    <w:rsid w:val="00196CA6"/>
    <w:rsid w:val="00196DBD"/>
    <w:rsid w:val="0019732D"/>
    <w:rsid w:val="0019732F"/>
    <w:rsid w:val="00197371"/>
    <w:rsid w:val="00197571"/>
    <w:rsid w:val="00197773"/>
    <w:rsid w:val="00197BFC"/>
    <w:rsid w:val="00197D67"/>
    <w:rsid w:val="001A095C"/>
    <w:rsid w:val="001A0F91"/>
    <w:rsid w:val="001A142B"/>
    <w:rsid w:val="001A20F5"/>
    <w:rsid w:val="001A26CB"/>
    <w:rsid w:val="001A315A"/>
    <w:rsid w:val="001A3BE9"/>
    <w:rsid w:val="001A3D8A"/>
    <w:rsid w:val="001A3FA7"/>
    <w:rsid w:val="001A5A50"/>
    <w:rsid w:val="001A5EF2"/>
    <w:rsid w:val="001A63C6"/>
    <w:rsid w:val="001A7566"/>
    <w:rsid w:val="001B01A9"/>
    <w:rsid w:val="001B0422"/>
    <w:rsid w:val="001B0AFD"/>
    <w:rsid w:val="001B0C02"/>
    <w:rsid w:val="001B1CD2"/>
    <w:rsid w:val="001B2D45"/>
    <w:rsid w:val="001B2F88"/>
    <w:rsid w:val="001B3A6D"/>
    <w:rsid w:val="001B3AC6"/>
    <w:rsid w:val="001B3FDB"/>
    <w:rsid w:val="001B5116"/>
    <w:rsid w:val="001B57D6"/>
    <w:rsid w:val="001B5B2C"/>
    <w:rsid w:val="001B650E"/>
    <w:rsid w:val="001C0146"/>
    <w:rsid w:val="001C045D"/>
    <w:rsid w:val="001C04C4"/>
    <w:rsid w:val="001C0A5B"/>
    <w:rsid w:val="001C1482"/>
    <w:rsid w:val="001C2577"/>
    <w:rsid w:val="001C2677"/>
    <w:rsid w:val="001C2C6B"/>
    <w:rsid w:val="001C2E30"/>
    <w:rsid w:val="001C39D9"/>
    <w:rsid w:val="001C4261"/>
    <w:rsid w:val="001C5881"/>
    <w:rsid w:val="001C5A01"/>
    <w:rsid w:val="001C5C3F"/>
    <w:rsid w:val="001C5E6C"/>
    <w:rsid w:val="001C7228"/>
    <w:rsid w:val="001C725F"/>
    <w:rsid w:val="001C7DEF"/>
    <w:rsid w:val="001D00D9"/>
    <w:rsid w:val="001D142C"/>
    <w:rsid w:val="001D153A"/>
    <w:rsid w:val="001D2761"/>
    <w:rsid w:val="001D335B"/>
    <w:rsid w:val="001D35C1"/>
    <w:rsid w:val="001D4A9C"/>
    <w:rsid w:val="001D585E"/>
    <w:rsid w:val="001D5AF7"/>
    <w:rsid w:val="001D5EA5"/>
    <w:rsid w:val="001D5FFE"/>
    <w:rsid w:val="001D6585"/>
    <w:rsid w:val="001D6DC2"/>
    <w:rsid w:val="001E0629"/>
    <w:rsid w:val="001E20E2"/>
    <w:rsid w:val="001E3016"/>
    <w:rsid w:val="001E326B"/>
    <w:rsid w:val="001E3585"/>
    <w:rsid w:val="001E391B"/>
    <w:rsid w:val="001E39BC"/>
    <w:rsid w:val="001E3EEF"/>
    <w:rsid w:val="001E42A5"/>
    <w:rsid w:val="001E4AE6"/>
    <w:rsid w:val="001E74D4"/>
    <w:rsid w:val="001E78A6"/>
    <w:rsid w:val="001E78FE"/>
    <w:rsid w:val="001F0DDC"/>
    <w:rsid w:val="001F0ECC"/>
    <w:rsid w:val="001F2290"/>
    <w:rsid w:val="001F2A24"/>
    <w:rsid w:val="001F2AE6"/>
    <w:rsid w:val="001F2F5A"/>
    <w:rsid w:val="001F420B"/>
    <w:rsid w:val="001F4266"/>
    <w:rsid w:val="001F46E9"/>
    <w:rsid w:val="001F5C4F"/>
    <w:rsid w:val="001F60DE"/>
    <w:rsid w:val="001F7066"/>
    <w:rsid w:val="001F75F3"/>
    <w:rsid w:val="0020032C"/>
    <w:rsid w:val="00200728"/>
    <w:rsid w:val="002019C7"/>
    <w:rsid w:val="00202D75"/>
    <w:rsid w:val="0020314A"/>
    <w:rsid w:val="00203176"/>
    <w:rsid w:val="002036B0"/>
    <w:rsid w:val="002045D3"/>
    <w:rsid w:val="00205905"/>
    <w:rsid w:val="00207659"/>
    <w:rsid w:val="00207DDA"/>
    <w:rsid w:val="00207F68"/>
    <w:rsid w:val="002103EC"/>
    <w:rsid w:val="00210457"/>
    <w:rsid w:val="002112E9"/>
    <w:rsid w:val="002119AB"/>
    <w:rsid w:val="00213563"/>
    <w:rsid w:val="00213BB5"/>
    <w:rsid w:val="00213D61"/>
    <w:rsid w:val="00213D86"/>
    <w:rsid w:val="00213EFA"/>
    <w:rsid w:val="0021449B"/>
    <w:rsid w:val="00215B4C"/>
    <w:rsid w:val="0021600E"/>
    <w:rsid w:val="00216131"/>
    <w:rsid w:val="00216BC6"/>
    <w:rsid w:val="002173BA"/>
    <w:rsid w:val="002179D6"/>
    <w:rsid w:val="00220DE7"/>
    <w:rsid w:val="00221232"/>
    <w:rsid w:val="00223536"/>
    <w:rsid w:val="0022353A"/>
    <w:rsid w:val="00224C05"/>
    <w:rsid w:val="00224D3F"/>
    <w:rsid w:val="00225244"/>
    <w:rsid w:val="00225348"/>
    <w:rsid w:val="002255F8"/>
    <w:rsid w:val="002260F5"/>
    <w:rsid w:val="00226D48"/>
    <w:rsid w:val="002310D8"/>
    <w:rsid w:val="002310F5"/>
    <w:rsid w:val="002322A7"/>
    <w:rsid w:val="0023252D"/>
    <w:rsid w:val="00233716"/>
    <w:rsid w:val="00235260"/>
    <w:rsid w:val="00235741"/>
    <w:rsid w:val="002369FC"/>
    <w:rsid w:val="0023781C"/>
    <w:rsid w:val="00237A71"/>
    <w:rsid w:val="00237C07"/>
    <w:rsid w:val="00237E2D"/>
    <w:rsid w:val="0024082D"/>
    <w:rsid w:val="00240EC7"/>
    <w:rsid w:val="002428BD"/>
    <w:rsid w:val="00243C75"/>
    <w:rsid w:val="00244219"/>
    <w:rsid w:val="00244DFA"/>
    <w:rsid w:val="0024532E"/>
    <w:rsid w:val="00245635"/>
    <w:rsid w:val="002461B1"/>
    <w:rsid w:val="00246380"/>
    <w:rsid w:val="002463D6"/>
    <w:rsid w:val="0024660A"/>
    <w:rsid w:val="002515FD"/>
    <w:rsid w:val="00252C11"/>
    <w:rsid w:val="0025308A"/>
    <w:rsid w:val="0025378F"/>
    <w:rsid w:val="002550DE"/>
    <w:rsid w:val="00255691"/>
    <w:rsid w:val="002556FE"/>
    <w:rsid w:val="00257DD4"/>
    <w:rsid w:val="00260B74"/>
    <w:rsid w:val="00261911"/>
    <w:rsid w:val="00262993"/>
    <w:rsid w:val="00262E25"/>
    <w:rsid w:val="00263284"/>
    <w:rsid w:val="002656DF"/>
    <w:rsid w:val="00266168"/>
    <w:rsid w:val="00266CDA"/>
    <w:rsid w:val="00267015"/>
    <w:rsid w:val="002706B4"/>
    <w:rsid w:val="0027095B"/>
    <w:rsid w:val="00270BDF"/>
    <w:rsid w:val="00271A38"/>
    <w:rsid w:val="00272650"/>
    <w:rsid w:val="00273774"/>
    <w:rsid w:val="002737ED"/>
    <w:rsid w:val="00274133"/>
    <w:rsid w:val="0027426D"/>
    <w:rsid w:val="00274420"/>
    <w:rsid w:val="00274530"/>
    <w:rsid w:val="00274B3F"/>
    <w:rsid w:val="00274F76"/>
    <w:rsid w:val="00275CAB"/>
    <w:rsid w:val="00277990"/>
    <w:rsid w:val="00277B20"/>
    <w:rsid w:val="00277E1E"/>
    <w:rsid w:val="00280597"/>
    <w:rsid w:val="00280688"/>
    <w:rsid w:val="002813E7"/>
    <w:rsid w:val="00281A8C"/>
    <w:rsid w:val="00282F42"/>
    <w:rsid w:val="0028392C"/>
    <w:rsid w:val="0028412F"/>
    <w:rsid w:val="0028543D"/>
    <w:rsid w:val="002858B4"/>
    <w:rsid w:val="00285A35"/>
    <w:rsid w:val="00285A8D"/>
    <w:rsid w:val="002860C1"/>
    <w:rsid w:val="0028675E"/>
    <w:rsid w:val="00290042"/>
    <w:rsid w:val="002907A0"/>
    <w:rsid w:val="00290993"/>
    <w:rsid w:val="00290D12"/>
    <w:rsid w:val="002910B8"/>
    <w:rsid w:val="002918BB"/>
    <w:rsid w:val="00292AA5"/>
    <w:rsid w:val="002933A7"/>
    <w:rsid w:val="00293A35"/>
    <w:rsid w:val="00293B09"/>
    <w:rsid w:val="00293FAE"/>
    <w:rsid w:val="00294213"/>
    <w:rsid w:val="0029500A"/>
    <w:rsid w:val="0029551D"/>
    <w:rsid w:val="00295A43"/>
    <w:rsid w:val="00295B97"/>
    <w:rsid w:val="002966FF"/>
    <w:rsid w:val="00296ACC"/>
    <w:rsid w:val="002971BB"/>
    <w:rsid w:val="00297305"/>
    <w:rsid w:val="00297C42"/>
    <w:rsid w:val="00297EDD"/>
    <w:rsid w:val="002A01E1"/>
    <w:rsid w:val="002A0F29"/>
    <w:rsid w:val="002A119B"/>
    <w:rsid w:val="002A1439"/>
    <w:rsid w:val="002A17D0"/>
    <w:rsid w:val="002A4048"/>
    <w:rsid w:val="002A64A8"/>
    <w:rsid w:val="002A6A0B"/>
    <w:rsid w:val="002A7229"/>
    <w:rsid w:val="002A7BBA"/>
    <w:rsid w:val="002B033F"/>
    <w:rsid w:val="002B069B"/>
    <w:rsid w:val="002B0715"/>
    <w:rsid w:val="002B0C30"/>
    <w:rsid w:val="002B0F10"/>
    <w:rsid w:val="002B0F1E"/>
    <w:rsid w:val="002B1B6B"/>
    <w:rsid w:val="002B33F8"/>
    <w:rsid w:val="002B34F2"/>
    <w:rsid w:val="002B3A60"/>
    <w:rsid w:val="002B692E"/>
    <w:rsid w:val="002B70C6"/>
    <w:rsid w:val="002B739E"/>
    <w:rsid w:val="002B7723"/>
    <w:rsid w:val="002C0007"/>
    <w:rsid w:val="002C0472"/>
    <w:rsid w:val="002C0ED9"/>
    <w:rsid w:val="002C1080"/>
    <w:rsid w:val="002C1142"/>
    <w:rsid w:val="002C1229"/>
    <w:rsid w:val="002C1AD9"/>
    <w:rsid w:val="002C1C9F"/>
    <w:rsid w:val="002C3087"/>
    <w:rsid w:val="002C39E5"/>
    <w:rsid w:val="002C458F"/>
    <w:rsid w:val="002C497B"/>
    <w:rsid w:val="002C49DE"/>
    <w:rsid w:val="002C712E"/>
    <w:rsid w:val="002C7F88"/>
    <w:rsid w:val="002D21F6"/>
    <w:rsid w:val="002D2646"/>
    <w:rsid w:val="002D39D4"/>
    <w:rsid w:val="002D3BD6"/>
    <w:rsid w:val="002D4036"/>
    <w:rsid w:val="002D4128"/>
    <w:rsid w:val="002D4A1C"/>
    <w:rsid w:val="002D6488"/>
    <w:rsid w:val="002D6973"/>
    <w:rsid w:val="002E0208"/>
    <w:rsid w:val="002E0B7E"/>
    <w:rsid w:val="002E1857"/>
    <w:rsid w:val="002E25F8"/>
    <w:rsid w:val="002E3248"/>
    <w:rsid w:val="002E3AF1"/>
    <w:rsid w:val="002E3B42"/>
    <w:rsid w:val="002E3FE2"/>
    <w:rsid w:val="002E4D1B"/>
    <w:rsid w:val="002E5875"/>
    <w:rsid w:val="002E5DC0"/>
    <w:rsid w:val="002E6F4B"/>
    <w:rsid w:val="002E74C2"/>
    <w:rsid w:val="002F056D"/>
    <w:rsid w:val="002F07A9"/>
    <w:rsid w:val="002F127E"/>
    <w:rsid w:val="002F1837"/>
    <w:rsid w:val="002F2117"/>
    <w:rsid w:val="002F3446"/>
    <w:rsid w:val="002F3AA6"/>
    <w:rsid w:val="002F3B8F"/>
    <w:rsid w:val="002F485B"/>
    <w:rsid w:val="002F5AA2"/>
    <w:rsid w:val="002F5E32"/>
    <w:rsid w:val="002F6A43"/>
    <w:rsid w:val="002F6DB1"/>
    <w:rsid w:val="002F73C2"/>
    <w:rsid w:val="003004C3"/>
    <w:rsid w:val="00301972"/>
    <w:rsid w:val="00301A33"/>
    <w:rsid w:val="00301B8A"/>
    <w:rsid w:val="00301C7C"/>
    <w:rsid w:val="00302172"/>
    <w:rsid w:val="0030273F"/>
    <w:rsid w:val="00302B20"/>
    <w:rsid w:val="00303A1D"/>
    <w:rsid w:val="00304DCF"/>
    <w:rsid w:val="0030542B"/>
    <w:rsid w:val="00305B54"/>
    <w:rsid w:val="00306170"/>
    <w:rsid w:val="003061FD"/>
    <w:rsid w:val="00306235"/>
    <w:rsid w:val="00306892"/>
    <w:rsid w:val="00307746"/>
    <w:rsid w:val="003108D7"/>
    <w:rsid w:val="00310A01"/>
    <w:rsid w:val="0031256B"/>
    <w:rsid w:val="003141BC"/>
    <w:rsid w:val="0031570E"/>
    <w:rsid w:val="00315D5E"/>
    <w:rsid w:val="00316480"/>
    <w:rsid w:val="00316C18"/>
    <w:rsid w:val="00317BE6"/>
    <w:rsid w:val="003206E7"/>
    <w:rsid w:val="00320946"/>
    <w:rsid w:val="00323732"/>
    <w:rsid w:val="003261C8"/>
    <w:rsid w:val="00326293"/>
    <w:rsid w:val="0033025D"/>
    <w:rsid w:val="00330D5A"/>
    <w:rsid w:val="00332EAE"/>
    <w:rsid w:val="00333D3C"/>
    <w:rsid w:val="00334703"/>
    <w:rsid w:val="00335686"/>
    <w:rsid w:val="0033586E"/>
    <w:rsid w:val="00335E1C"/>
    <w:rsid w:val="0033644B"/>
    <w:rsid w:val="00336A14"/>
    <w:rsid w:val="00336C47"/>
    <w:rsid w:val="00337EED"/>
    <w:rsid w:val="00337F17"/>
    <w:rsid w:val="003401E8"/>
    <w:rsid w:val="003405AE"/>
    <w:rsid w:val="00340A8F"/>
    <w:rsid w:val="00340D8B"/>
    <w:rsid w:val="00341AC4"/>
    <w:rsid w:val="00341E6D"/>
    <w:rsid w:val="00341EE6"/>
    <w:rsid w:val="003421E4"/>
    <w:rsid w:val="00343527"/>
    <w:rsid w:val="00343D6D"/>
    <w:rsid w:val="00344E4F"/>
    <w:rsid w:val="00345291"/>
    <w:rsid w:val="00345BBC"/>
    <w:rsid w:val="00346032"/>
    <w:rsid w:val="003464D1"/>
    <w:rsid w:val="00346C71"/>
    <w:rsid w:val="003479A8"/>
    <w:rsid w:val="00347E7A"/>
    <w:rsid w:val="0035105A"/>
    <w:rsid w:val="00351F6D"/>
    <w:rsid w:val="00352518"/>
    <w:rsid w:val="00352995"/>
    <w:rsid w:val="00352FDD"/>
    <w:rsid w:val="00353818"/>
    <w:rsid w:val="0035384B"/>
    <w:rsid w:val="00353DB8"/>
    <w:rsid w:val="003547A6"/>
    <w:rsid w:val="00354E80"/>
    <w:rsid w:val="0035502B"/>
    <w:rsid w:val="0035530E"/>
    <w:rsid w:val="0035537D"/>
    <w:rsid w:val="0035580F"/>
    <w:rsid w:val="00356AD4"/>
    <w:rsid w:val="00356CE1"/>
    <w:rsid w:val="00356F9A"/>
    <w:rsid w:val="00357392"/>
    <w:rsid w:val="00357804"/>
    <w:rsid w:val="00357BF1"/>
    <w:rsid w:val="00357C6F"/>
    <w:rsid w:val="00357D91"/>
    <w:rsid w:val="00360A6B"/>
    <w:rsid w:val="00361D46"/>
    <w:rsid w:val="00361F85"/>
    <w:rsid w:val="00362BA8"/>
    <w:rsid w:val="00362F1A"/>
    <w:rsid w:val="00363113"/>
    <w:rsid w:val="00363561"/>
    <w:rsid w:val="0036364A"/>
    <w:rsid w:val="0036387C"/>
    <w:rsid w:val="003641EA"/>
    <w:rsid w:val="003645E8"/>
    <w:rsid w:val="00364CBF"/>
    <w:rsid w:val="00364E15"/>
    <w:rsid w:val="00366CED"/>
    <w:rsid w:val="00367439"/>
    <w:rsid w:val="003674DC"/>
    <w:rsid w:val="00367F26"/>
    <w:rsid w:val="0037084F"/>
    <w:rsid w:val="00371353"/>
    <w:rsid w:val="00371ED5"/>
    <w:rsid w:val="003723E2"/>
    <w:rsid w:val="00373A83"/>
    <w:rsid w:val="00373BA5"/>
    <w:rsid w:val="00373BA7"/>
    <w:rsid w:val="00373E8E"/>
    <w:rsid w:val="003749BB"/>
    <w:rsid w:val="003749E9"/>
    <w:rsid w:val="00375AD6"/>
    <w:rsid w:val="00375D70"/>
    <w:rsid w:val="00376C60"/>
    <w:rsid w:val="00377068"/>
    <w:rsid w:val="003770B6"/>
    <w:rsid w:val="00377344"/>
    <w:rsid w:val="00380036"/>
    <w:rsid w:val="003802E2"/>
    <w:rsid w:val="00380775"/>
    <w:rsid w:val="003824D8"/>
    <w:rsid w:val="0038263F"/>
    <w:rsid w:val="00382760"/>
    <w:rsid w:val="003838C8"/>
    <w:rsid w:val="003843E9"/>
    <w:rsid w:val="00384B18"/>
    <w:rsid w:val="00385061"/>
    <w:rsid w:val="003850F1"/>
    <w:rsid w:val="003852C7"/>
    <w:rsid w:val="003858CE"/>
    <w:rsid w:val="00385C6F"/>
    <w:rsid w:val="0038669A"/>
    <w:rsid w:val="00386D3A"/>
    <w:rsid w:val="00387278"/>
    <w:rsid w:val="0038795F"/>
    <w:rsid w:val="00390079"/>
    <w:rsid w:val="00390577"/>
    <w:rsid w:val="00390633"/>
    <w:rsid w:val="003908CB"/>
    <w:rsid w:val="003908CE"/>
    <w:rsid w:val="00390D51"/>
    <w:rsid w:val="003916A8"/>
    <w:rsid w:val="00391DC9"/>
    <w:rsid w:val="003924AA"/>
    <w:rsid w:val="00392A0F"/>
    <w:rsid w:val="003939D7"/>
    <w:rsid w:val="00393FE4"/>
    <w:rsid w:val="00394402"/>
    <w:rsid w:val="0039477E"/>
    <w:rsid w:val="00395B5F"/>
    <w:rsid w:val="00395EA2"/>
    <w:rsid w:val="00395F8E"/>
    <w:rsid w:val="00395FC1"/>
    <w:rsid w:val="003964AC"/>
    <w:rsid w:val="00397244"/>
    <w:rsid w:val="0039735D"/>
    <w:rsid w:val="00397601"/>
    <w:rsid w:val="003A0678"/>
    <w:rsid w:val="003A0C81"/>
    <w:rsid w:val="003A0DFC"/>
    <w:rsid w:val="003A1542"/>
    <w:rsid w:val="003A18DA"/>
    <w:rsid w:val="003A2370"/>
    <w:rsid w:val="003A2700"/>
    <w:rsid w:val="003A2751"/>
    <w:rsid w:val="003A3C5C"/>
    <w:rsid w:val="003A3E33"/>
    <w:rsid w:val="003A47F9"/>
    <w:rsid w:val="003A646E"/>
    <w:rsid w:val="003A78E1"/>
    <w:rsid w:val="003A7DCF"/>
    <w:rsid w:val="003B016D"/>
    <w:rsid w:val="003B134A"/>
    <w:rsid w:val="003B1C11"/>
    <w:rsid w:val="003B1EB2"/>
    <w:rsid w:val="003B234C"/>
    <w:rsid w:val="003B2A6B"/>
    <w:rsid w:val="003B2CD5"/>
    <w:rsid w:val="003B2E43"/>
    <w:rsid w:val="003B438A"/>
    <w:rsid w:val="003B47D3"/>
    <w:rsid w:val="003B4C6C"/>
    <w:rsid w:val="003B57AA"/>
    <w:rsid w:val="003B589F"/>
    <w:rsid w:val="003B6254"/>
    <w:rsid w:val="003B6B0E"/>
    <w:rsid w:val="003B72AE"/>
    <w:rsid w:val="003B790D"/>
    <w:rsid w:val="003C00C8"/>
    <w:rsid w:val="003C300C"/>
    <w:rsid w:val="003C3209"/>
    <w:rsid w:val="003C465E"/>
    <w:rsid w:val="003C4FFA"/>
    <w:rsid w:val="003C5B93"/>
    <w:rsid w:val="003C5D46"/>
    <w:rsid w:val="003C5D78"/>
    <w:rsid w:val="003C61E5"/>
    <w:rsid w:val="003C6275"/>
    <w:rsid w:val="003C698C"/>
    <w:rsid w:val="003C797E"/>
    <w:rsid w:val="003C7EA3"/>
    <w:rsid w:val="003D015F"/>
    <w:rsid w:val="003D0217"/>
    <w:rsid w:val="003D24CF"/>
    <w:rsid w:val="003D27D4"/>
    <w:rsid w:val="003D29C6"/>
    <w:rsid w:val="003D2A82"/>
    <w:rsid w:val="003D4BB0"/>
    <w:rsid w:val="003D4D29"/>
    <w:rsid w:val="003D59D3"/>
    <w:rsid w:val="003E1AD2"/>
    <w:rsid w:val="003E2220"/>
    <w:rsid w:val="003E275B"/>
    <w:rsid w:val="003E29F6"/>
    <w:rsid w:val="003E39B4"/>
    <w:rsid w:val="003E49F6"/>
    <w:rsid w:val="003E51B3"/>
    <w:rsid w:val="003E53D1"/>
    <w:rsid w:val="003E7527"/>
    <w:rsid w:val="003F0128"/>
    <w:rsid w:val="003F29F2"/>
    <w:rsid w:val="003F3140"/>
    <w:rsid w:val="003F4964"/>
    <w:rsid w:val="003F4B5A"/>
    <w:rsid w:val="003F69C9"/>
    <w:rsid w:val="003F6F55"/>
    <w:rsid w:val="003F7A06"/>
    <w:rsid w:val="003F7CD6"/>
    <w:rsid w:val="004008F2"/>
    <w:rsid w:val="0040168C"/>
    <w:rsid w:val="00402504"/>
    <w:rsid w:val="00403CC1"/>
    <w:rsid w:val="00404341"/>
    <w:rsid w:val="0040495A"/>
    <w:rsid w:val="00404BD7"/>
    <w:rsid w:val="0040512B"/>
    <w:rsid w:val="00406270"/>
    <w:rsid w:val="00406EBA"/>
    <w:rsid w:val="00406EC5"/>
    <w:rsid w:val="00407871"/>
    <w:rsid w:val="00407D19"/>
    <w:rsid w:val="0041109F"/>
    <w:rsid w:val="004127FF"/>
    <w:rsid w:val="0041423E"/>
    <w:rsid w:val="0041478F"/>
    <w:rsid w:val="004149C2"/>
    <w:rsid w:val="00414E63"/>
    <w:rsid w:val="004167BD"/>
    <w:rsid w:val="00416D45"/>
    <w:rsid w:val="0041735D"/>
    <w:rsid w:val="004174AA"/>
    <w:rsid w:val="00417AC9"/>
    <w:rsid w:val="004204D5"/>
    <w:rsid w:val="0042063A"/>
    <w:rsid w:val="004223A8"/>
    <w:rsid w:val="004226E4"/>
    <w:rsid w:val="00422894"/>
    <w:rsid w:val="004229BB"/>
    <w:rsid w:val="004238E5"/>
    <w:rsid w:val="00423DB3"/>
    <w:rsid w:val="00424091"/>
    <w:rsid w:val="00424ADD"/>
    <w:rsid w:val="00424B91"/>
    <w:rsid w:val="004258CA"/>
    <w:rsid w:val="00426846"/>
    <w:rsid w:val="0042703F"/>
    <w:rsid w:val="00427291"/>
    <w:rsid w:val="00427AFD"/>
    <w:rsid w:val="004301D3"/>
    <w:rsid w:val="0043080C"/>
    <w:rsid w:val="00430CC3"/>
    <w:rsid w:val="00431477"/>
    <w:rsid w:val="00431919"/>
    <w:rsid w:val="004322EA"/>
    <w:rsid w:val="00432B2C"/>
    <w:rsid w:val="00433A72"/>
    <w:rsid w:val="00433EB7"/>
    <w:rsid w:val="00434374"/>
    <w:rsid w:val="00435177"/>
    <w:rsid w:val="00435458"/>
    <w:rsid w:val="0043552C"/>
    <w:rsid w:val="00435C25"/>
    <w:rsid w:val="00436243"/>
    <w:rsid w:val="0043779C"/>
    <w:rsid w:val="00437D8A"/>
    <w:rsid w:val="00440A16"/>
    <w:rsid w:val="00441824"/>
    <w:rsid w:val="0044188C"/>
    <w:rsid w:val="00441AF1"/>
    <w:rsid w:val="004422C8"/>
    <w:rsid w:val="0044286B"/>
    <w:rsid w:val="00444BF1"/>
    <w:rsid w:val="00445030"/>
    <w:rsid w:val="004451AE"/>
    <w:rsid w:val="0044628C"/>
    <w:rsid w:val="004475B9"/>
    <w:rsid w:val="00451D8D"/>
    <w:rsid w:val="004525B4"/>
    <w:rsid w:val="0045278E"/>
    <w:rsid w:val="004528AB"/>
    <w:rsid w:val="0045314B"/>
    <w:rsid w:val="004547CF"/>
    <w:rsid w:val="00454984"/>
    <w:rsid w:val="00454993"/>
    <w:rsid w:val="00455742"/>
    <w:rsid w:val="00455C0A"/>
    <w:rsid w:val="0045635A"/>
    <w:rsid w:val="00456715"/>
    <w:rsid w:val="00456786"/>
    <w:rsid w:val="00457438"/>
    <w:rsid w:val="004574DC"/>
    <w:rsid w:val="00457EBA"/>
    <w:rsid w:val="00460826"/>
    <w:rsid w:val="0046164C"/>
    <w:rsid w:val="00462555"/>
    <w:rsid w:val="00463A09"/>
    <w:rsid w:val="00463DB6"/>
    <w:rsid w:val="00463F94"/>
    <w:rsid w:val="004641EF"/>
    <w:rsid w:val="0046575B"/>
    <w:rsid w:val="00465D92"/>
    <w:rsid w:val="004665F9"/>
    <w:rsid w:val="00470917"/>
    <w:rsid w:val="00470EB6"/>
    <w:rsid w:val="004717CE"/>
    <w:rsid w:val="0047219D"/>
    <w:rsid w:val="00472D0E"/>
    <w:rsid w:val="00474428"/>
    <w:rsid w:val="004744B1"/>
    <w:rsid w:val="004749E3"/>
    <w:rsid w:val="00474CE9"/>
    <w:rsid w:val="00475E02"/>
    <w:rsid w:val="00476466"/>
    <w:rsid w:val="00476A21"/>
    <w:rsid w:val="00476E8F"/>
    <w:rsid w:val="00476EEF"/>
    <w:rsid w:val="00476FE3"/>
    <w:rsid w:val="00477067"/>
    <w:rsid w:val="0047708E"/>
    <w:rsid w:val="0047744F"/>
    <w:rsid w:val="00477A73"/>
    <w:rsid w:val="00477FE3"/>
    <w:rsid w:val="004804AE"/>
    <w:rsid w:val="0048083D"/>
    <w:rsid w:val="00480B2D"/>
    <w:rsid w:val="00480B56"/>
    <w:rsid w:val="00482971"/>
    <w:rsid w:val="00484207"/>
    <w:rsid w:val="00484CE3"/>
    <w:rsid w:val="00485252"/>
    <w:rsid w:val="004857CE"/>
    <w:rsid w:val="00485EAB"/>
    <w:rsid w:val="00486028"/>
    <w:rsid w:val="00486CC9"/>
    <w:rsid w:val="00487141"/>
    <w:rsid w:val="00490FCC"/>
    <w:rsid w:val="00491F38"/>
    <w:rsid w:val="00492260"/>
    <w:rsid w:val="00492560"/>
    <w:rsid w:val="004929F4"/>
    <w:rsid w:val="004935EE"/>
    <w:rsid w:val="00493D0C"/>
    <w:rsid w:val="00493ECB"/>
    <w:rsid w:val="00494CFE"/>
    <w:rsid w:val="00495578"/>
    <w:rsid w:val="0049591F"/>
    <w:rsid w:val="00496392"/>
    <w:rsid w:val="0049692C"/>
    <w:rsid w:val="0049697E"/>
    <w:rsid w:val="00496BBB"/>
    <w:rsid w:val="00497C46"/>
    <w:rsid w:val="004A1DF7"/>
    <w:rsid w:val="004A2D21"/>
    <w:rsid w:val="004A2D60"/>
    <w:rsid w:val="004A3171"/>
    <w:rsid w:val="004A3B44"/>
    <w:rsid w:val="004A4B6E"/>
    <w:rsid w:val="004A5253"/>
    <w:rsid w:val="004A5B4B"/>
    <w:rsid w:val="004A5C5D"/>
    <w:rsid w:val="004A71B9"/>
    <w:rsid w:val="004B007F"/>
    <w:rsid w:val="004B00D2"/>
    <w:rsid w:val="004B0C24"/>
    <w:rsid w:val="004B0D2A"/>
    <w:rsid w:val="004B10D7"/>
    <w:rsid w:val="004B10E6"/>
    <w:rsid w:val="004B11B0"/>
    <w:rsid w:val="004B1640"/>
    <w:rsid w:val="004B1A88"/>
    <w:rsid w:val="004B3882"/>
    <w:rsid w:val="004B3887"/>
    <w:rsid w:val="004B4221"/>
    <w:rsid w:val="004B5055"/>
    <w:rsid w:val="004B669E"/>
    <w:rsid w:val="004B71DB"/>
    <w:rsid w:val="004B7971"/>
    <w:rsid w:val="004B7BF7"/>
    <w:rsid w:val="004C0909"/>
    <w:rsid w:val="004C0BEC"/>
    <w:rsid w:val="004C10FF"/>
    <w:rsid w:val="004C164E"/>
    <w:rsid w:val="004C24A8"/>
    <w:rsid w:val="004C2587"/>
    <w:rsid w:val="004C3E2F"/>
    <w:rsid w:val="004C41AD"/>
    <w:rsid w:val="004C4AA8"/>
    <w:rsid w:val="004C5B5D"/>
    <w:rsid w:val="004C5E43"/>
    <w:rsid w:val="004C6820"/>
    <w:rsid w:val="004C6B31"/>
    <w:rsid w:val="004D05A9"/>
    <w:rsid w:val="004D0F53"/>
    <w:rsid w:val="004D1A25"/>
    <w:rsid w:val="004D1B94"/>
    <w:rsid w:val="004D1C2F"/>
    <w:rsid w:val="004D1F17"/>
    <w:rsid w:val="004D3414"/>
    <w:rsid w:val="004D3853"/>
    <w:rsid w:val="004D3FC4"/>
    <w:rsid w:val="004D423E"/>
    <w:rsid w:val="004D53B6"/>
    <w:rsid w:val="004D541E"/>
    <w:rsid w:val="004D572F"/>
    <w:rsid w:val="004D6B64"/>
    <w:rsid w:val="004D7428"/>
    <w:rsid w:val="004E028F"/>
    <w:rsid w:val="004E047E"/>
    <w:rsid w:val="004E0B7C"/>
    <w:rsid w:val="004E0C19"/>
    <w:rsid w:val="004E19C8"/>
    <w:rsid w:val="004E1D27"/>
    <w:rsid w:val="004E25AC"/>
    <w:rsid w:val="004E2BC4"/>
    <w:rsid w:val="004E2F9E"/>
    <w:rsid w:val="004E3180"/>
    <w:rsid w:val="004E35C5"/>
    <w:rsid w:val="004E39EF"/>
    <w:rsid w:val="004E3B2E"/>
    <w:rsid w:val="004E4BDA"/>
    <w:rsid w:val="004E4C68"/>
    <w:rsid w:val="004E4D05"/>
    <w:rsid w:val="004E4E67"/>
    <w:rsid w:val="004E6755"/>
    <w:rsid w:val="004E7069"/>
    <w:rsid w:val="004E7541"/>
    <w:rsid w:val="004E76EB"/>
    <w:rsid w:val="004F0886"/>
    <w:rsid w:val="004F0D8C"/>
    <w:rsid w:val="004F19AF"/>
    <w:rsid w:val="004F32C8"/>
    <w:rsid w:val="004F3416"/>
    <w:rsid w:val="004F38B7"/>
    <w:rsid w:val="004F4AB6"/>
    <w:rsid w:val="004F5282"/>
    <w:rsid w:val="004F5A17"/>
    <w:rsid w:val="004F5D55"/>
    <w:rsid w:val="004F5D5D"/>
    <w:rsid w:val="004F6B3C"/>
    <w:rsid w:val="004F7726"/>
    <w:rsid w:val="00500162"/>
    <w:rsid w:val="00500931"/>
    <w:rsid w:val="00501397"/>
    <w:rsid w:val="00502C64"/>
    <w:rsid w:val="0050308D"/>
    <w:rsid w:val="00504A28"/>
    <w:rsid w:val="00504F9C"/>
    <w:rsid w:val="0050549C"/>
    <w:rsid w:val="0050661C"/>
    <w:rsid w:val="00506AE9"/>
    <w:rsid w:val="00507887"/>
    <w:rsid w:val="005105A6"/>
    <w:rsid w:val="00511939"/>
    <w:rsid w:val="0051224A"/>
    <w:rsid w:val="005127C2"/>
    <w:rsid w:val="00512FAC"/>
    <w:rsid w:val="00513998"/>
    <w:rsid w:val="00513A1D"/>
    <w:rsid w:val="00514028"/>
    <w:rsid w:val="00514756"/>
    <w:rsid w:val="00514EE0"/>
    <w:rsid w:val="00515187"/>
    <w:rsid w:val="00515460"/>
    <w:rsid w:val="00516675"/>
    <w:rsid w:val="005166FD"/>
    <w:rsid w:val="00517926"/>
    <w:rsid w:val="0052017D"/>
    <w:rsid w:val="005203FF"/>
    <w:rsid w:val="00520797"/>
    <w:rsid w:val="00522032"/>
    <w:rsid w:val="00522704"/>
    <w:rsid w:val="00523325"/>
    <w:rsid w:val="00525183"/>
    <w:rsid w:val="00525256"/>
    <w:rsid w:val="005253A7"/>
    <w:rsid w:val="00525C37"/>
    <w:rsid w:val="00525D10"/>
    <w:rsid w:val="00526204"/>
    <w:rsid w:val="005269CB"/>
    <w:rsid w:val="00526CAD"/>
    <w:rsid w:val="00526F0B"/>
    <w:rsid w:val="00527D3F"/>
    <w:rsid w:val="00530019"/>
    <w:rsid w:val="005300A7"/>
    <w:rsid w:val="0053148D"/>
    <w:rsid w:val="00531784"/>
    <w:rsid w:val="00532817"/>
    <w:rsid w:val="00532987"/>
    <w:rsid w:val="0053356B"/>
    <w:rsid w:val="00533EAE"/>
    <w:rsid w:val="00534DC3"/>
    <w:rsid w:val="00534E71"/>
    <w:rsid w:val="005352A6"/>
    <w:rsid w:val="00535BD2"/>
    <w:rsid w:val="00535C7A"/>
    <w:rsid w:val="0053609D"/>
    <w:rsid w:val="00537140"/>
    <w:rsid w:val="0053724C"/>
    <w:rsid w:val="0053F60D"/>
    <w:rsid w:val="00541272"/>
    <w:rsid w:val="00541C7C"/>
    <w:rsid w:val="0054295D"/>
    <w:rsid w:val="00543659"/>
    <w:rsid w:val="0054389A"/>
    <w:rsid w:val="00543CC2"/>
    <w:rsid w:val="00543DA1"/>
    <w:rsid w:val="00544468"/>
    <w:rsid w:val="0054449A"/>
    <w:rsid w:val="00544D2F"/>
    <w:rsid w:val="00545333"/>
    <w:rsid w:val="005461D4"/>
    <w:rsid w:val="005506CB"/>
    <w:rsid w:val="00550E93"/>
    <w:rsid w:val="0055135C"/>
    <w:rsid w:val="00551848"/>
    <w:rsid w:val="00551C3C"/>
    <w:rsid w:val="00552462"/>
    <w:rsid w:val="00552E77"/>
    <w:rsid w:val="00553FB2"/>
    <w:rsid w:val="00553FCD"/>
    <w:rsid w:val="0055436A"/>
    <w:rsid w:val="005550B6"/>
    <w:rsid w:val="005566E0"/>
    <w:rsid w:val="00557953"/>
    <w:rsid w:val="005605D8"/>
    <w:rsid w:val="005609E7"/>
    <w:rsid w:val="005611C6"/>
    <w:rsid w:val="00561479"/>
    <w:rsid w:val="00561521"/>
    <w:rsid w:val="00561DB0"/>
    <w:rsid w:val="00561ECA"/>
    <w:rsid w:val="005627CF"/>
    <w:rsid w:val="00564404"/>
    <w:rsid w:val="00564EC6"/>
    <w:rsid w:val="0056508E"/>
    <w:rsid w:val="00565E12"/>
    <w:rsid w:val="0056640F"/>
    <w:rsid w:val="00566742"/>
    <w:rsid w:val="005668C9"/>
    <w:rsid w:val="00566AA4"/>
    <w:rsid w:val="00566E2B"/>
    <w:rsid w:val="00567294"/>
    <w:rsid w:val="00567AAB"/>
    <w:rsid w:val="00567C21"/>
    <w:rsid w:val="00570414"/>
    <w:rsid w:val="00570E08"/>
    <w:rsid w:val="00571813"/>
    <w:rsid w:val="005718AA"/>
    <w:rsid w:val="00573D1A"/>
    <w:rsid w:val="00574649"/>
    <w:rsid w:val="005756DB"/>
    <w:rsid w:val="0057586B"/>
    <w:rsid w:val="00575B5D"/>
    <w:rsid w:val="0057677C"/>
    <w:rsid w:val="005771D0"/>
    <w:rsid w:val="005774C2"/>
    <w:rsid w:val="005775FB"/>
    <w:rsid w:val="00577EA4"/>
    <w:rsid w:val="005804E9"/>
    <w:rsid w:val="00580660"/>
    <w:rsid w:val="00580A8F"/>
    <w:rsid w:val="005812CE"/>
    <w:rsid w:val="005826D1"/>
    <w:rsid w:val="00582999"/>
    <w:rsid w:val="00583366"/>
    <w:rsid w:val="005842B7"/>
    <w:rsid w:val="005846BA"/>
    <w:rsid w:val="00584AB4"/>
    <w:rsid w:val="00584BB1"/>
    <w:rsid w:val="00585CB6"/>
    <w:rsid w:val="00586E25"/>
    <w:rsid w:val="00586E3B"/>
    <w:rsid w:val="00587E2D"/>
    <w:rsid w:val="00590028"/>
    <w:rsid w:val="00590281"/>
    <w:rsid w:val="00590FCC"/>
    <w:rsid w:val="005915B6"/>
    <w:rsid w:val="005915DC"/>
    <w:rsid w:val="0059238D"/>
    <w:rsid w:val="00592A84"/>
    <w:rsid w:val="00593E43"/>
    <w:rsid w:val="005941FA"/>
    <w:rsid w:val="00594396"/>
    <w:rsid w:val="005947C5"/>
    <w:rsid w:val="00594F88"/>
    <w:rsid w:val="00595133"/>
    <w:rsid w:val="00595591"/>
    <w:rsid w:val="00595A16"/>
    <w:rsid w:val="00595CE2"/>
    <w:rsid w:val="00595E52"/>
    <w:rsid w:val="00595FE2"/>
    <w:rsid w:val="00596498"/>
    <w:rsid w:val="00596764"/>
    <w:rsid w:val="005979A8"/>
    <w:rsid w:val="005A0AEC"/>
    <w:rsid w:val="005A0B15"/>
    <w:rsid w:val="005A0DDE"/>
    <w:rsid w:val="005A1B89"/>
    <w:rsid w:val="005A2822"/>
    <w:rsid w:val="005A32C9"/>
    <w:rsid w:val="005A39F0"/>
    <w:rsid w:val="005A40BE"/>
    <w:rsid w:val="005A428C"/>
    <w:rsid w:val="005A4E3B"/>
    <w:rsid w:val="005A548B"/>
    <w:rsid w:val="005A61D7"/>
    <w:rsid w:val="005A7AFE"/>
    <w:rsid w:val="005A7EFD"/>
    <w:rsid w:val="005B101E"/>
    <w:rsid w:val="005B1A11"/>
    <w:rsid w:val="005B1DEC"/>
    <w:rsid w:val="005B1E1C"/>
    <w:rsid w:val="005B2160"/>
    <w:rsid w:val="005B21FB"/>
    <w:rsid w:val="005B24F7"/>
    <w:rsid w:val="005B2C24"/>
    <w:rsid w:val="005B48F7"/>
    <w:rsid w:val="005B4AC6"/>
    <w:rsid w:val="005B4CF8"/>
    <w:rsid w:val="005B5C09"/>
    <w:rsid w:val="005B5C6F"/>
    <w:rsid w:val="005B6087"/>
    <w:rsid w:val="005B6332"/>
    <w:rsid w:val="005B6BF3"/>
    <w:rsid w:val="005B6EC9"/>
    <w:rsid w:val="005B719E"/>
    <w:rsid w:val="005C0056"/>
    <w:rsid w:val="005C0DEE"/>
    <w:rsid w:val="005C138D"/>
    <w:rsid w:val="005C24AA"/>
    <w:rsid w:val="005C2F2C"/>
    <w:rsid w:val="005C351E"/>
    <w:rsid w:val="005C3B95"/>
    <w:rsid w:val="005C3C64"/>
    <w:rsid w:val="005C4215"/>
    <w:rsid w:val="005C4510"/>
    <w:rsid w:val="005C5B36"/>
    <w:rsid w:val="005C64E5"/>
    <w:rsid w:val="005C7347"/>
    <w:rsid w:val="005C788D"/>
    <w:rsid w:val="005C7C7E"/>
    <w:rsid w:val="005D0AA7"/>
    <w:rsid w:val="005D1241"/>
    <w:rsid w:val="005D24C9"/>
    <w:rsid w:val="005D27BB"/>
    <w:rsid w:val="005D33E6"/>
    <w:rsid w:val="005D3E41"/>
    <w:rsid w:val="005D401E"/>
    <w:rsid w:val="005D417B"/>
    <w:rsid w:val="005D4563"/>
    <w:rsid w:val="005D4E55"/>
    <w:rsid w:val="005D52CC"/>
    <w:rsid w:val="005D5D75"/>
    <w:rsid w:val="005D651E"/>
    <w:rsid w:val="005D682D"/>
    <w:rsid w:val="005D7155"/>
    <w:rsid w:val="005D7B21"/>
    <w:rsid w:val="005E0211"/>
    <w:rsid w:val="005E060C"/>
    <w:rsid w:val="005E08D9"/>
    <w:rsid w:val="005E09DF"/>
    <w:rsid w:val="005E13BB"/>
    <w:rsid w:val="005E1E63"/>
    <w:rsid w:val="005E27AF"/>
    <w:rsid w:val="005E2DDC"/>
    <w:rsid w:val="005E37E1"/>
    <w:rsid w:val="005E4B40"/>
    <w:rsid w:val="005E52AE"/>
    <w:rsid w:val="005E59AF"/>
    <w:rsid w:val="005E5DAD"/>
    <w:rsid w:val="005E63AB"/>
    <w:rsid w:val="005E6FC5"/>
    <w:rsid w:val="005E72BB"/>
    <w:rsid w:val="005E77B6"/>
    <w:rsid w:val="005E798D"/>
    <w:rsid w:val="005F00AD"/>
    <w:rsid w:val="005F05F0"/>
    <w:rsid w:val="005F0BFF"/>
    <w:rsid w:val="005F2A4A"/>
    <w:rsid w:val="005F3273"/>
    <w:rsid w:val="005F3456"/>
    <w:rsid w:val="005F3915"/>
    <w:rsid w:val="005F4A9F"/>
    <w:rsid w:val="005F4C65"/>
    <w:rsid w:val="005F5807"/>
    <w:rsid w:val="005F616F"/>
    <w:rsid w:val="005F62E2"/>
    <w:rsid w:val="005F77BE"/>
    <w:rsid w:val="00600FF9"/>
    <w:rsid w:val="00601416"/>
    <w:rsid w:val="00601BD5"/>
    <w:rsid w:val="006024AD"/>
    <w:rsid w:val="006025A8"/>
    <w:rsid w:val="00602883"/>
    <w:rsid w:val="00603A96"/>
    <w:rsid w:val="0060531D"/>
    <w:rsid w:val="00606090"/>
    <w:rsid w:val="006062C0"/>
    <w:rsid w:val="0060660E"/>
    <w:rsid w:val="006069BE"/>
    <w:rsid w:val="00606A17"/>
    <w:rsid w:val="00607468"/>
    <w:rsid w:val="00607EFD"/>
    <w:rsid w:val="00610306"/>
    <w:rsid w:val="00610381"/>
    <w:rsid w:val="006104BA"/>
    <w:rsid w:val="00611314"/>
    <w:rsid w:val="006122B3"/>
    <w:rsid w:val="00612AA6"/>
    <w:rsid w:val="00613314"/>
    <w:rsid w:val="006135E0"/>
    <w:rsid w:val="006139A7"/>
    <w:rsid w:val="0061405D"/>
    <w:rsid w:val="006156BF"/>
    <w:rsid w:val="00615C64"/>
    <w:rsid w:val="006169EC"/>
    <w:rsid w:val="00616F05"/>
    <w:rsid w:val="00617251"/>
    <w:rsid w:val="00617AA8"/>
    <w:rsid w:val="00617AD8"/>
    <w:rsid w:val="00617DF8"/>
    <w:rsid w:val="00620049"/>
    <w:rsid w:val="006203EE"/>
    <w:rsid w:val="006212FB"/>
    <w:rsid w:val="00621549"/>
    <w:rsid w:val="00622570"/>
    <w:rsid w:val="00622AB7"/>
    <w:rsid w:val="00624BEB"/>
    <w:rsid w:val="006254B8"/>
    <w:rsid w:val="00625711"/>
    <w:rsid w:val="00625D18"/>
    <w:rsid w:val="0062622D"/>
    <w:rsid w:val="00626842"/>
    <w:rsid w:val="00627149"/>
    <w:rsid w:val="00627DAA"/>
    <w:rsid w:val="00631249"/>
    <w:rsid w:val="00631303"/>
    <w:rsid w:val="00632998"/>
    <w:rsid w:val="00632C98"/>
    <w:rsid w:val="00633A3E"/>
    <w:rsid w:val="0063463D"/>
    <w:rsid w:val="0063539D"/>
    <w:rsid w:val="0063561B"/>
    <w:rsid w:val="0063582B"/>
    <w:rsid w:val="00635D09"/>
    <w:rsid w:val="00636417"/>
    <w:rsid w:val="00637458"/>
    <w:rsid w:val="00640C37"/>
    <w:rsid w:val="00641078"/>
    <w:rsid w:val="00641977"/>
    <w:rsid w:val="0064293E"/>
    <w:rsid w:val="00642B31"/>
    <w:rsid w:val="00643521"/>
    <w:rsid w:val="00643B86"/>
    <w:rsid w:val="00643F87"/>
    <w:rsid w:val="00644625"/>
    <w:rsid w:val="00644A50"/>
    <w:rsid w:val="00646408"/>
    <w:rsid w:val="00646529"/>
    <w:rsid w:val="0065071D"/>
    <w:rsid w:val="0065216C"/>
    <w:rsid w:val="00652181"/>
    <w:rsid w:val="006522C7"/>
    <w:rsid w:val="00654A54"/>
    <w:rsid w:val="00654F64"/>
    <w:rsid w:val="00655049"/>
    <w:rsid w:val="0065530C"/>
    <w:rsid w:val="0065638F"/>
    <w:rsid w:val="00656DE2"/>
    <w:rsid w:val="00656F33"/>
    <w:rsid w:val="006600D7"/>
    <w:rsid w:val="0066067E"/>
    <w:rsid w:val="00660AD2"/>
    <w:rsid w:val="00660DB7"/>
    <w:rsid w:val="00661068"/>
    <w:rsid w:val="006618E2"/>
    <w:rsid w:val="00661A70"/>
    <w:rsid w:val="00661B80"/>
    <w:rsid w:val="00662705"/>
    <w:rsid w:val="00663194"/>
    <w:rsid w:val="00663232"/>
    <w:rsid w:val="0066369C"/>
    <w:rsid w:val="0066391E"/>
    <w:rsid w:val="00663EDB"/>
    <w:rsid w:val="006642BA"/>
    <w:rsid w:val="006642CF"/>
    <w:rsid w:val="00664BB4"/>
    <w:rsid w:val="0066562A"/>
    <w:rsid w:val="0066692D"/>
    <w:rsid w:val="0066783F"/>
    <w:rsid w:val="006678B7"/>
    <w:rsid w:val="00667B3C"/>
    <w:rsid w:val="00670837"/>
    <w:rsid w:val="006713D2"/>
    <w:rsid w:val="006714F5"/>
    <w:rsid w:val="00671780"/>
    <w:rsid w:val="00671A23"/>
    <w:rsid w:val="00671B17"/>
    <w:rsid w:val="00671CF1"/>
    <w:rsid w:val="006727F1"/>
    <w:rsid w:val="00673B70"/>
    <w:rsid w:val="00674E6C"/>
    <w:rsid w:val="00676040"/>
    <w:rsid w:val="006765B3"/>
    <w:rsid w:val="00676BF8"/>
    <w:rsid w:val="00677BDA"/>
    <w:rsid w:val="006802E1"/>
    <w:rsid w:val="00680578"/>
    <w:rsid w:val="0068260C"/>
    <w:rsid w:val="006829A7"/>
    <w:rsid w:val="00682EA7"/>
    <w:rsid w:val="00683399"/>
    <w:rsid w:val="00683975"/>
    <w:rsid w:val="00683C71"/>
    <w:rsid w:val="00684B8A"/>
    <w:rsid w:val="00684CDE"/>
    <w:rsid w:val="00684D97"/>
    <w:rsid w:val="006855D5"/>
    <w:rsid w:val="00685F46"/>
    <w:rsid w:val="006862F1"/>
    <w:rsid w:val="006864ED"/>
    <w:rsid w:val="0068653B"/>
    <w:rsid w:val="00690C93"/>
    <w:rsid w:val="00691369"/>
    <w:rsid w:val="00691483"/>
    <w:rsid w:val="00691AB8"/>
    <w:rsid w:val="00691D0B"/>
    <w:rsid w:val="006925CB"/>
    <w:rsid w:val="00692B0B"/>
    <w:rsid w:val="00692C8B"/>
    <w:rsid w:val="006931EE"/>
    <w:rsid w:val="006933DE"/>
    <w:rsid w:val="00693D2D"/>
    <w:rsid w:val="00695AF6"/>
    <w:rsid w:val="00695F27"/>
    <w:rsid w:val="0069783E"/>
    <w:rsid w:val="00697EA5"/>
    <w:rsid w:val="006A1898"/>
    <w:rsid w:val="006A25CF"/>
    <w:rsid w:val="006A2CE5"/>
    <w:rsid w:val="006A2DAE"/>
    <w:rsid w:val="006A2E83"/>
    <w:rsid w:val="006A2F8C"/>
    <w:rsid w:val="006A3048"/>
    <w:rsid w:val="006A31C3"/>
    <w:rsid w:val="006A34DB"/>
    <w:rsid w:val="006A396B"/>
    <w:rsid w:val="006A3A93"/>
    <w:rsid w:val="006A3C4F"/>
    <w:rsid w:val="006A4949"/>
    <w:rsid w:val="006A516D"/>
    <w:rsid w:val="006A5420"/>
    <w:rsid w:val="006A5561"/>
    <w:rsid w:val="006A5BB1"/>
    <w:rsid w:val="006A7D10"/>
    <w:rsid w:val="006A7F4D"/>
    <w:rsid w:val="006B0A26"/>
    <w:rsid w:val="006B0A9A"/>
    <w:rsid w:val="006B0CC1"/>
    <w:rsid w:val="006B1702"/>
    <w:rsid w:val="006B2C41"/>
    <w:rsid w:val="006B2C9D"/>
    <w:rsid w:val="006B2DB3"/>
    <w:rsid w:val="006B3005"/>
    <w:rsid w:val="006B33AD"/>
    <w:rsid w:val="006B34DF"/>
    <w:rsid w:val="006B39C7"/>
    <w:rsid w:val="006B452E"/>
    <w:rsid w:val="006B48BD"/>
    <w:rsid w:val="006B4A83"/>
    <w:rsid w:val="006B4CC3"/>
    <w:rsid w:val="006B4F8A"/>
    <w:rsid w:val="006B5AFE"/>
    <w:rsid w:val="006B5DBB"/>
    <w:rsid w:val="006B755C"/>
    <w:rsid w:val="006B7640"/>
    <w:rsid w:val="006B79CF"/>
    <w:rsid w:val="006B7C4D"/>
    <w:rsid w:val="006C04EE"/>
    <w:rsid w:val="006C1F70"/>
    <w:rsid w:val="006C33E3"/>
    <w:rsid w:val="006C387D"/>
    <w:rsid w:val="006C39A8"/>
    <w:rsid w:val="006C3B4E"/>
    <w:rsid w:val="006C5163"/>
    <w:rsid w:val="006C5F5E"/>
    <w:rsid w:val="006C6DDC"/>
    <w:rsid w:val="006C7672"/>
    <w:rsid w:val="006D0EB6"/>
    <w:rsid w:val="006D1BA8"/>
    <w:rsid w:val="006D30C7"/>
    <w:rsid w:val="006D3207"/>
    <w:rsid w:val="006D3581"/>
    <w:rsid w:val="006D3B4A"/>
    <w:rsid w:val="006D488F"/>
    <w:rsid w:val="006D4D00"/>
    <w:rsid w:val="006D5D64"/>
    <w:rsid w:val="006D5EDA"/>
    <w:rsid w:val="006D66EF"/>
    <w:rsid w:val="006D7225"/>
    <w:rsid w:val="006E14EA"/>
    <w:rsid w:val="006E19F3"/>
    <w:rsid w:val="006E19F9"/>
    <w:rsid w:val="006E1B14"/>
    <w:rsid w:val="006E2470"/>
    <w:rsid w:val="006E280A"/>
    <w:rsid w:val="006E2968"/>
    <w:rsid w:val="006E3D1A"/>
    <w:rsid w:val="006E51A5"/>
    <w:rsid w:val="006E6274"/>
    <w:rsid w:val="006E6408"/>
    <w:rsid w:val="006E6573"/>
    <w:rsid w:val="006E6D50"/>
    <w:rsid w:val="006E6ECC"/>
    <w:rsid w:val="006E73DE"/>
    <w:rsid w:val="006F0566"/>
    <w:rsid w:val="006F0882"/>
    <w:rsid w:val="006F0A13"/>
    <w:rsid w:val="006F1A0F"/>
    <w:rsid w:val="006F22A0"/>
    <w:rsid w:val="006F2954"/>
    <w:rsid w:val="006F3DF5"/>
    <w:rsid w:val="006F3FED"/>
    <w:rsid w:val="006F5D4F"/>
    <w:rsid w:val="006F6495"/>
    <w:rsid w:val="006F682A"/>
    <w:rsid w:val="006F6B1B"/>
    <w:rsid w:val="006F7674"/>
    <w:rsid w:val="006F7834"/>
    <w:rsid w:val="006F78C3"/>
    <w:rsid w:val="006F797F"/>
    <w:rsid w:val="006F7E23"/>
    <w:rsid w:val="00700992"/>
    <w:rsid w:val="007011F2"/>
    <w:rsid w:val="00702C09"/>
    <w:rsid w:val="00702DA2"/>
    <w:rsid w:val="00703A03"/>
    <w:rsid w:val="007044EB"/>
    <w:rsid w:val="00704BE4"/>
    <w:rsid w:val="0070527B"/>
    <w:rsid w:val="007056B7"/>
    <w:rsid w:val="0070576B"/>
    <w:rsid w:val="00706042"/>
    <w:rsid w:val="00706B43"/>
    <w:rsid w:val="007109DB"/>
    <w:rsid w:val="00711191"/>
    <w:rsid w:val="00712372"/>
    <w:rsid w:val="007123AA"/>
    <w:rsid w:val="00713134"/>
    <w:rsid w:val="007142D6"/>
    <w:rsid w:val="00714E54"/>
    <w:rsid w:val="00715EDD"/>
    <w:rsid w:val="00716A98"/>
    <w:rsid w:val="00716D88"/>
    <w:rsid w:val="00717604"/>
    <w:rsid w:val="0071778D"/>
    <w:rsid w:val="00717F24"/>
    <w:rsid w:val="007206BD"/>
    <w:rsid w:val="00720F8D"/>
    <w:rsid w:val="00721C21"/>
    <w:rsid w:val="00722608"/>
    <w:rsid w:val="00722FC9"/>
    <w:rsid w:val="00723863"/>
    <w:rsid w:val="007238CD"/>
    <w:rsid w:val="00723D83"/>
    <w:rsid w:val="00723F42"/>
    <w:rsid w:val="007248B4"/>
    <w:rsid w:val="007255CE"/>
    <w:rsid w:val="00726BFC"/>
    <w:rsid w:val="007276BE"/>
    <w:rsid w:val="00727E15"/>
    <w:rsid w:val="00727EC8"/>
    <w:rsid w:val="0073012F"/>
    <w:rsid w:val="00730A9B"/>
    <w:rsid w:val="00730BDB"/>
    <w:rsid w:val="00731759"/>
    <w:rsid w:val="007318EF"/>
    <w:rsid w:val="00731967"/>
    <w:rsid w:val="00731F6F"/>
    <w:rsid w:val="00732560"/>
    <w:rsid w:val="00732612"/>
    <w:rsid w:val="0073321B"/>
    <w:rsid w:val="0073363D"/>
    <w:rsid w:val="00734AC6"/>
    <w:rsid w:val="00734B17"/>
    <w:rsid w:val="00734B75"/>
    <w:rsid w:val="00735B53"/>
    <w:rsid w:val="00735B95"/>
    <w:rsid w:val="00735C2E"/>
    <w:rsid w:val="007361EF"/>
    <w:rsid w:val="00736359"/>
    <w:rsid w:val="007370C7"/>
    <w:rsid w:val="0073713E"/>
    <w:rsid w:val="00737764"/>
    <w:rsid w:val="0074055B"/>
    <w:rsid w:val="00741029"/>
    <w:rsid w:val="00741293"/>
    <w:rsid w:val="00741D64"/>
    <w:rsid w:val="00741DEC"/>
    <w:rsid w:val="00742357"/>
    <w:rsid w:val="00742D35"/>
    <w:rsid w:val="00742F42"/>
    <w:rsid w:val="00743639"/>
    <w:rsid w:val="0074485A"/>
    <w:rsid w:val="00744B19"/>
    <w:rsid w:val="007450AC"/>
    <w:rsid w:val="007455A8"/>
    <w:rsid w:val="00745982"/>
    <w:rsid w:val="00745FFE"/>
    <w:rsid w:val="007464F3"/>
    <w:rsid w:val="0074684C"/>
    <w:rsid w:val="00746E69"/>
    <w:rsid w:val="007470FB"/>
    <w:rsid w:val="007519C3"/>
    <w:rsid w:val="00751B0A"/>
    <w:rsid w:val="00751D85"/>
    <w:rsid w:val="00751F5C"/>
    <w:rsid w:val="00752260"/>
    <w:rsid w:val="007535FB"/>
    <w:rsid w:val="007543C6"/>
    <w:rsid w:val="00754417"/>
    <w:rsid w:val="00754433"/>
    <w:rsid w:val="007546C9"/>
    <w:rsid w:val="00755AD9"/>
    <w:rsid w:val="007578AE"/>
    <w:rsid w:val="00757A4C"/>
    <w:rsid w:val="00757EBB"/>
    <w:rsid w:val="007609BA"/>
    <w:rsid w:val="007611CC"/>
    <w:rsid w:val="007613B9"/>
    <w:rsid w:val="007614BF"/>
    <w:rsid w:val="00761735"/>
    <w:rsid w:val="0076179B"/>
    <w:rsid w:val="00761B21"/>
    <w:rsid w:val="0076286F"/>
    <w:rsid w:val="00763D2E"/>
    <w:rsid w:val="007659B9"/>
    <w:rsid w:val="00765B65"/>
    <w:rsid w:val="007663A7"/>
    <w:rsid w:val="00766836"/>
    <w:rsid w:val="007672F3"/>
    <w:rsid w:val="007678CD"/>
    <w:rsid w:val="0077185E"/>
    <w:rsid w:val="00772F5A"/>
    <w:rsid w:val="007730B2"/>
    <w:rsid w:val="00774215"/>
    <w:rsid w:val="0077499C"/>
    <w:rsid w:val="00780055"/>
    <w:rsid w:val="00780A18"/>
    <w:rsid w:val="0078265E"/>
    <w:rsid w:val="00783124"/>
    <w:rsid w:val="00783D49"/>
    <w:rsid w:val="0078427E"/>
    <w:rsid w:val="007843AA"/>
    <w:rsid w:val="00784873"/>
    <w:rsid w:val="00784ECC"/>
    <w:rsid w:val="00786BB7"/>
    <w:rsid w:val="00787196"/>
    <w:rsid w:val="007876A7"/>
    <w:rsid w:val="00787E66"/>
    <w:rsid w:val="007906DF"/>
    <w:rsid w:val="0079165D"/>
    <w:rsid w:val="00793168"/>
    <w:rsid w:val="0079321D"/>
    <w:rsid w:val="0079373C"/>
    <w:rsid w:val="00794770"/>
    <w:rsid w:val="0079493C"/>
    <w:rsid w:val="00796FEF"/>
    <w:rsid w:val="007972B2"/>
    <w:rsid w:val="00797EDD"/>
    <w:rsid w:val="007A000B"/>
    <w:rsid w:val="007A170C"/>
    <w:rsid w:val="007A1823"/>
    <w:rsid w:val="007A238D"/>
    <w:rsid w:val="007A30BD"/>
    <w:rsid w:val="007A4309"/>
    <w:rsid w:val="007A48D8"/>
    <w:rsid w:val="007A4F94"/>
    <w:rsid w:val="007A504C"/>
    <w:rsid w:val="007A5E2D"/>
    <w:rsid w:val="007A623E"/>
    <w:rsid w:val="007A648C"/>
    <w:rsid w:val="007A65E9"/>
    <w:rsid w:val="007A6C04"/>
    <w:rsid w:val="007A6F6E"/>
    <w:rsid w:val="007A712F"/>
    <w:rsid w:val="007A7356"/>
    <w:rsid w:val="007A7D6F"/>
    <w:rsid w:val="007B17FD"/>
    <w:rsid w:val="007B2015"/>
    <w:rsid w:val="007B256B"/>
    <w:rsid w:val="007B32B3"/>
    <w:rsid w:val="007B4235"/>
    <w:rsid w:val="007B4749"/>
    <w:rsid w:val="007B4A34"/>
    <w:rsid w:val="007B4CCB"/>
    <w:rsid w:val="007B5883"/>
    <w:rsid w:val="007B5D66"/>
    <w:rsid w:val="007B7217"/>
    <w:rsid w:val="007B738E"/>
    <w:rsid w:val="007B784B"/>
    <w:rsid w:val="007B78DF"/>
    <w:rsid w:val="007B7A05"/>
    <w:rsid w:val="007C063F"/>
    <w:rsid w:val="007C1F1F"/>
    <w:rsid w:val="007C2B67"/>
    <w:rsid w:val="007C4631"/>
    <w:rsid w:val="007C50C2"/>
    <w:rsid w:val="007C5D91"/>
    <w:rsid w:val="007C6429"/>
    <w:rsid w:val="007C6D43"/>
    <w:rsid w:val="007C7D94"/>
    <w:rsid w:val="007C7EB3"/>
    <w:rsid w:val="007D0366"/>
    <w:rsid w:val="007D049D"/>
    <w:rsid w:val="007D0506"/>
    <w:rsid w:val="007D19CA"/>
    <w:rsid w:val="007D43A6"/>
    <w:rsid w:val="007D4509"/>
    <w:rsid w:val="007D51E7"/>
    <w:rsid w:val="007D5B42"/>
    <w:rsid w:val="007D5D84"/>
    <w:rsid w:val="007D6703"/>
    <w:rsid w:val="007D6CAD"/>
    <w:rsid w:val="007D7056"/>
    <w:rsid w:val="007E034C"/>
    <w:rsid w:val="007E03AD"/>
    <w:rsid w:val="007E0836"/>
    <w:rsid w:val="007E0946"/>
    <w:rsid w:val="007E09F7"/>
    <w:rsid w:val="007E2561"/>
    <w:rsid w:val="007E27DD"/>
    <w:rsid w:val="007E2C06"/>
    <w:rsid w:val="007E3179"/>
    <w:rsid w:val="007E4775"/>
    <w:rsid w:val="007E491C"/>
    <w:rsid w:val="007E4F4D"/>
    <w:rsid w:val="007E5098"/>
    <w:rsid w:val="007E621F"/>
    <w:rsid w:val="007E6C92"/>
    <w:rsid w:val="007E716E"/>
    <w:rsid w:val="007F00E3"/>
    <w:rsid w:val="007F0B9D"/>
    <w:rsid w:val="007F19B9"/>
    <w:rsid w:val="007F1C83"/>
    <w:rsid w:val="007F2540"/>
    <w:rsid w:val="007F5419"/>
    <w:rsid w:val="007F57D8"/>
    <w:rsid w:val="007F5FE6"/>
    <w:rsid w:val="007F6A15"/>
    <w:rsid w:val="007F7AB0"/>
    <w:rsid w:val="00800130"/>
    <w:rsid w:val="0080119B"/>
    <w:rsid w:val="008014BE"/>
    <w:rsid w:val="008018B1"/>
    <w:rsid w:val="0080226D"/>
    <w:rsid w:val="00802C35"/>
    <w:rsid w:val="00802D18"/>
    <w:rsid w:val="00803139"/>
    <w:rsid w:val="008032F5"/>
    <w:rsid w:val="00804013"/>
    <w:rsid w:val="008048D4"/>
    <w:rsid w:val="0080595B"/>
    <w:rsid w:val="00806687"/>
    <w:rsid w:val="00806856"/>
    <w:rsid w:val="00807A91"/>
    <w:rsid w:val="00810C7C"/>
    <w:rsid w:val="00810D24"/>
    <w:rsid w:val="00811169"/>
    <w:rsid w:val="008113C6"/>
    <w:rsid w:val="008119C6"/>
    <w:rsid w:val="00811EFD"/>
    <w:rsid w:val="00812952"/>
    <w:rsid w:val="00813679"/>
    <w:rsid w:val="008139A2"/>
    <w:rsid w:val="00813BCC"/>
    <w:rsid w:val="0081450C"/>
    <w:rsid w:val="00814C38"/>
    <w:rsid w:val="008157C7"/>
    <w:rsid w:val="00815C0A"/>
    <w:rsid w:val="00817259"/>
    <w:rsid w:val="00822EDA"/>
    <w:rsid w:val="00823CAA"/>
    <w:rsid w:val="00823EED"/>
    <w:rsid w:val="00823EF5"/>
    <w:rsid w:val="008243F6"/>
    <w:rsid w:val="008244D2"/>
    <w:rsid w:val="00824A52"/>
    <w:rsid w:val="00824F79"/>
    <w:rsid w:val="00825295"/>
    <w:rsid w:val="0082654B"/>
    <w:rsid w:val="00827765"/>
    <w:rsid w:val="00830776"/>
    <w:rsid w:val="008327C2"/>
    <w:rsid w:val="00833C54"/>
    <w:rsid w:val="008340FD"/>
    <w:rsid w:val="00835BEA"/>
    <w:rsid w:val="00835C07"/>
    <w:rsid w:val="00836630"/>
    <w:rsid w:val="00836BD9"/>
    <w:rsid w:val="00842350"/>
    <w:rsid w:val="0084244A"/>
    <w:rsid w:val="00842BDE"/>
    <w:rsid w:val="0084327B"/>
    <w:rsid w:val="008441FC"/>
    <w:rsid w:val="008447A9"/>
    <w:rsid w:val="00844C54"/>
    <w:rsid w:val="00845233"/>
    <w:rsid w:val="00846FE4"/>
    <w:rsid w:val="008470FD"/>
    <w:rsid w:val="008479D9"/>
    <w:rsid w:val="00852252"/>
    <w:rsid w:val="00853FA3"/>
    <w:rsid w:val="008567C2"/>
    <w:rsid w:val="00856D79"/>
    <w:rsid w:val="008577B8"/>
    <w:rsid w:val="00857C43"/>
    <w:rsid w:val="008600B8"/>
    <w:rsid w:val="008601CE"/>
    <w:rsid w:val="00860C76"/>
    <w:rsid w:val="00860C8D"/>
    <w:rsid w:val="008626A3"/>
    <w:rsid w:val="00863078"/>
    <w:rsid w:val="00865ABC"/>
    <w:rsid w:val="0086708D"/>
    <w:rsid w:val="00867343"/>
    <w:rsid w:val="0087042A"/>
    <w:rsid w:val="0087069A"/>
    <w:rsid w:val="008710B0"/>
    <w:rsid w:val="00871632"/>
    <w:rsid w:val="008725E3"/>
    <w:rsid w:val="00872A72"/>
    <w:rsid w:val="00872B58"/>
    <w:rsid w:val="00872C4F"/>
    <w:rsid w:val="008732B2"/>
    <w:rsid w:val="00873650"/>
    <w:rsid w:val="008749CA"/>
    <w:rsid w:val="00875708"/>
    <w:rsid w:val="00875776"/>
    <w:rsid w:val="008767A7"/>
    <w:rsid w:val="008776E0"/>
    <w:rsid w:val="008800FD"/>
    <w:rsid w:val="008806D5"/>
    <w:rsid w:val="008806F5"/>
    <w:rsid w:val="00880E3B"/>
    <w:rsid w:val="008816FB"/>
    <w:rsid w:val="00881984"/>
    <w:rsid w:val="00881DBD"/>
    <w:rsid w:val="00881DE3"/>
    <w:rsid w:val="00881E93"/>
    <w:rsid w:val="00883A0D"/>
    <w:rsid w:val="00884F34"/>
    <w:rsid w:val="00886290"/>
    <w:rsid w:val="00887019"/>
    <w:rsid w:val="00890013"/>
    <w:rsid w:val="00890D63"/>
    <w:rsid w:val="00891252"/>
    <w:rsid w:val="00891284"/>
    <w:rsid w:val="00891B3C"/>
    <w:rsid w:val="008924A1"/>
    <w:rsid w:val="00892DAD"/>
    <w:rsid w:val="0089380A"/>
    <w:rsid w:val="00893A1C"/>
    <w:rsid w:val="00893EA2"/>
    <w:rsid w:val="00893F84"/>
    <w:rsid w:val="008945F8"/>
    <w:rsid w:val="008946BE"/>
    <w:rsid w:val="00895F6F"/>
    <w:rsid w:val="008964CA"/>
    <w:rsid w:val="00896DB6"/>
    <w:rsid w:val="008976E6"/>
    <w:rsid w:val="008A04A7"/>
    <w:rsid w:val="008A074F"/>
    <w:rsid w:val="008A1FBC"/>
    <w:rsid w:val="008A2871"/>
    <w:rsid w:val="008A299E"/>
    <w:rsid w:val="008A34AD"/>
    <w:rsid w:val="008A447A"/>
    <w:rsid w:val="008A509B"/>
    <w:rsid w:val="008A5C39"/>
    <w:rsid w:val="008A5F1E"/>
    <w:rsid w:val="008A7060"/>
    <w:rsid w:val="008A7536"/>
    <w:rsid w:val="008A75FD"/>
    <w:rsid w:val="008A76A1"/>
    <w:rsid w:val="008A7CFB"/>
    <w:rsid w:val="008B0484"/>
    <w:rsid w:val="008B092E"/>
    <w:rsid w:val="008B09FB"/>
    <w:rsid w:val="008B0A61"/>
    <w:rsid w:val="008B15DE"/>
    <w:rsid w:val="008B1B6C"/>
    <w:rsid w:val="008B21EF"/>
    <w:rsid w:val="008B2AFC"/>
    <w:rsid w:val="008B331C"/>
    <w:rsid w:val="008B43C6"/>
    <w:rsid w:val="008B4EEE"/>
    <w:rsid w:val="008B50DE"/>
    <w:rsid w:val="008B5731"/>
    <w:rsid w:val="008B5775"/>
    <w:rsid w:val="008B7E79"/>
    <w:rsid w:val="008C0795"/>
    <w:rsid w:val="008C0CDE"/>
    <w:rsid w:val="008C0D03"/>
    <w:rsid w:val="008C12AF"/>
    <w:rsid w:val="008C164A"/>
    <w:rsid w:val="008C1D9E"/>
    <w:rsid w:val="008C2305"/>
    <w:rsid w:val="008C2625"/>
    <w:rsid w:val="008C2A2B"/>
    <w:rsid w:val="008C2C21"/>
    <w:rsid w:val="008C3D1B"/>
    <w:rsid w:val="008C3D1D"/>
    <w:rsid w:val="008C4F1B"/>
    <w:rsid w:val="008C53BD"/>
    <w:rsid w:val="008C68DC"/>
    <w:rsid w:val="008C7AA4"/>
    <w:rsid w:val="008D003B"/>
    <w:rsid w:val="008D014B"/>
    <w:rsid w:val="008D0E79"/>
    <w:rsid w:val="008D19C4"/>
    <w:rsid w:val="008D2737"/>
    <w:rsid w:val="008D32EC"/>
    <w:rsid w:val="008D3FAE"/>
    <w:rsid w:val="008D4089"/>
    <w:rsid w:val="008D4BE0"/>
    <w:rsid w:val="008D5017"/>
    <w:rsid w:val="008D5759"/>
    <w:rsid w:val="008D5872"/>
    <w:rsid w:val="008D5A12"/>
    <w:rsid w:val="008D5D0D"/>
    <w:rsid w:val="008D5D56"/>
    <w:rsid w:val="008D6065"/>
    <w:rsid w:val="008D6A51"/>
    <w:rsid w:val="008D7929"/>
    <w:rsid w:val="008E08B3"/>
    <w:rsid w:val="008E0EDB"/>
    <w:rsid w:val="008E144A"/>
    <w:rsid w:val="008E18BB"/>
    <w:rsid w:val="008E1E9A"/>
    <w:rsid w:val="008E20F5"/>
    <w:rsid w:val="008E21AB"/>
    <w:rsid w:val="008E225E"/>
    <w:rsid w:val="008E22FA"/>
    <w:rsid w:val="008E269E"/>
    <w:rsid w:val="008E33C9"/>
    <w:rsid w:val="008E33F0"/>
    <w:rsid w:val="008E4937"/>
    <w:rsid w:val="008E5528"/>
    <w:rsid w:val="008E5E87"/>
    <w:rsid w:val="008E66B8"/>
    <w:rsid w:val="008E6AA7"/>
    <w:rsid w:val="008E6C94"/>
    <w:rsid w:val="008E6E71"/>
    <w:rsid w:val="008E77AD"/>
    <w:rsid w:val="008F05A7"/>
    <w:rsid w:val="008F05D4"/>
    <w:rsid w:val="008F0D2C"/>
    <w:rsid w:val="008F1A46"/>
    <w:rsid w:val="008F1B3E"/>
    <w:rsid w:val="008F20D9"/>
    <w:rsid w:val="008F39A7"/>
    <w:rsid w:val="008F3C21"/>
    <w:rsid w:val="008F4379"/>
    <w:rsid w:val="008F4553"/>
    <w:rsid w:val="008F4A12"/>
    <w:rsid w:val="008F520F"/>
    <w:rsid w:val="008F5284"/>
    <w:rsid w:val="008F59E6"/>
    <w:rsid w:val="008F5B84"/>
    <w:rsid w:val="008F6423"/>
    <w:rsid w:val="008F783C"/>
    <w:rsid w:val="008F7924"/>
    <w:rsid w:val="008F7A73"/>
    <w:rsid w:val="008F7AD2"/>
    <w:rsid w:val="008F7E59"/>
    <w:rsid w:val="00900D90"/>
    <w:rsid w:val="009012E4"/>
    <w:rsid w:val="00901989"/>
    <w:rsid w:val="00901F61"/>
    <w:rsid w:val="009021BD"/>
    <w:rsid w:val="00902AE1"/>
    <w:rsid w:val="0090320F"/>
    <w:rsid w:val="009033F2"/>
    <w:rsid w:val="009035F8"/>
    <w:rsid w:val="0090502D"/>
    <w:rsid w:val="009050CB"/>
    <w:rsid w:val="0090513D"/>
    <w:rsid w:val="00905460"/>
    <w:rsid w:val="00905BBF"/>
    <w:rsid w:val="00907116"/>
    <w:rsid w:val="00907BFC"/>
    <w:rsid w:val="00907DF8"/>
    <w:rsid w:val="00910120"/>
    <w:rsid w:val="009103BF"/>
    <w:rsid w:val="00911485"/>
    <w:rsid w:val="00911B27"/>
    <w:rsid w:val="009124E7"/>
    <w:rsid w:val="0091278B"/>
    <w:rsid w:val="00914C78"/>
    <w:rsid w:val="00914EF7"/>
    <w:rsid w:val="0091564E"/>
    <w:rsid w:val="00915F02"/>
    <w:rsid w:val="00916D2D"/>
    <w:rsid w:val="00917257"/>
    <w:rsid w:val="00920243"/>
    <w:rsid w:val="0092051E"/>
    <w:rsid w:val="0092125E"/>
    <w:rsid w:val="0092178E"/>
    <w:rsid w:val="0092223B"/>
    <w:rsid w:val="009226CC"/>
    <w:rsid w:val="009236A8"/>
    <w:rsid w:val="00923E75"/>
    <w:rsid w:val="00924020"/>
    <w:rsid w:val="0092404E"/>
    <w:rsid w:val="009243AE"/>
    <w:rsid w:val="009300AA"/>
    <w:rsid w:val="00930129"/>
    <w:rsid w:val="009309F5"/>
    <w:rsid w:val="0093168C"/>
    <w:rsid w:val="00931B0E"/>
    <w:rsid w:val="00932747"/>
    <w:rsid w:val="00932F0A"/>
    <w:rsid w:val="00932FE4"/>
    <w:rsid w:val="00933350"/>
    <w:rsid w:val="00933A91"/>
    <w:rsid w:val="00933AE6"/>
    <w:rsid w:val="00933FD1"/>
    <w:rsid w:val="009343B5"/>
    <w:rsid w:val="00934CD8"/>
    <w:rsid w:val="009356F7"/>
    <w:rsid w:val="0093646E"/>
    <w:rsid w:val="00936ADF"/>
    <w:rsid w:val="00936B2C"/>
    <w:rsid w:val="00941207"/>
    <w:rsid w:val="00941783"/>
    <w:rsid w:val="009424F2"/>
    <w:rsid w:val="009428F7"/>
    <w:rsid w:val="00942B90"/>
    <w:rsid w:val="00942D1F"/>
    <w:rsid w:val="00944CDC"/>
    <w:rsid w:val="00945251"/>
    <w:rsid w:val="00945B31"/>
    <w:rsid w:val="00946821"/>
    <w:rsid w:val="00946BA5"/>
    <w:rsid w:val="00947011"/>
    <w:rsid w:val="009473BD"/>
    <w:rsid w:val="00950EE5"/>
    <w:rsid w:val="00950F0B"/>
    <w:rsid w:val="00951B0E"/>
    <w:rsid w:val="00951C00"/>
    <w:rsid w:val="00952188"/>
    <w:rsid w:val="009525EA"/>
    <w:rsid w:val="009535AC"/>
    <w:rsid w:val="009538B2"/>
    <w:rsid w:val="00954B55"/>
    <w:rsid w:val="00957741"/>
    <w:rsid w:val="0096024B"/>
    <w:rsid w:val="00960451"/>
    <w:rsid w:val="009605A6"/>
    <w:rsid w:val="00960E9D"/>
    <w:rsid w:val="00961205"/>
    <w:rsid w:val="009612F3"/>
    <w:rsid w:val="0096183A"/>
    <w:rsid w:val="00961988"/>
    <w:rsid w:val="00961C8A"/>
    <w:rsid w:val="00961E1D"/>
    <w:rsid w:val="00962A3A"/>
    <w:rsid w:val="00962AB4"/>
    <w:rsid w:val="00963F68"/>
    <w:rsid w:val="0096576A"/>
    <w:rsid w:val="00966203"/>
    <w:rsid w:val="0096673B"/>
    <w:rsid w:val="0096757D"/>
    <w:rsid w:val="0096786A"/>
    <w:rsid w:val="00971F18"/>
    <w:rsid w:val="00972882"/>
    <w:rsid w:val="00972C1B"/>
    <w:rsid w:val="00973A77"/>
    <w:rsid w:val="00975095"/>
    <w:rsid w:val="00975403"/>
    <w:rsid w:val="00976511"/>
    <w:rsid w:val="00976A3D"/>
    <w:rsid w:val="00977277"/>
    <w:rsid w:val="009774E1"/>
    <w:rsid w:val="00977B29"/>
    <w:rsid w:val="00977CA9"/>
    <w:rsid w:val="00980C79"/>
    <w:rsid w:val="009812CF"/>
    <w:rsid w:val="00981651"/>
    <w:rsid w:val="00982361"/>
    <w:rsid w:val="00982480"/>
    <w:rsid w:val="00982DE2"/>
    <w:rsid w:val="0098353F"/>
    <w:rsid w:val="009836D2"/>
    <w:rsid w:val="0098378B"/>
    <w:rsid w:val="00983811"/>
    <w:rsid w:val="00984000"/>
    <w:rsid w:val="009844D1"/>
    <w:rsid w:val="00984CBB"/>
    <w:rsid w:val="00984E37"/>
    <w:rsid w:val="00985B18"/>
    <w:rsid w:val="00985F1F"/>
    <w:rsid w:val="009862AF"/>
    <w:rsid w:val="00986AC6"/>
    <w:rsid w:val="00986AE5"/>
    <w:rsid w:val="00986C17"/>
    <w:rsid w:val="00986DAB"/>
    <w:rsid w:val="00987B29"/>
    <w:rsid w:val="00990371"/>
    <w:rsid w:val="009909D6"/>
    <w:rsid w:val="00990DEF"/>
    <w:rsid w:val="0099224B"/>
    <w:rsid w:val="00992856"/>
    <w:rsid w:val="00993A27"/>
    <w:rsid w:val="0099409A"/>
    <w:rsid w:val="00994BE3"/>
    <w:rsid w:val="00994C90"/>
    <w:rsid w:val="009955B4"/>
    <w:rsid w:val="009955BD"/>
    <w:rsid w:val="00995B9F"/>
    <w:rsid w:val="0099601A"/>
    <w:rsid w:val="0099602E"/>
    <w:rsid w:val="00996966"/>
    <w:rsid w:val="00996C98"/>
    <w:rsid w:val="00996E9D"/>
    <w:rsid w:val="009A0892"/>
    <w:rsid w:val="009A112F"/>
    <w:rsid w:val="009A191B"/>
    <w:rsid w:val="009A1EE6"/>
    <w:rsid w:val="009A207E"/>
    <w:rsid w:val="009A2315"/>
    <w:rsid w:val="009A2448"/>
    <w:rsid w:val="009A2C9B"/>
    <w:rsid w:val="009A30BA"/>
    <w:rsid w:val="009A3B87"/>
    <w:rsid w:val="009A3C74"/>
    <w:rsid w:val="009A3D27"/>
    <w:rsid w:val="009A5319"/>
    <w:rsid w:val="009A6DA5"/>
    <w:rsid w:val="009B0867"/>
    <w:rsid w:val="009B0A1A"/>
    <w:rsid w:val="009B11D4"/>
    <w:rsid w:val="009B13EB"/>
    <w:rsid w:val="009B2C88"/>
    <w:rsid w:val="009B3E49"/>
    <w:rsid w:val="009B3E4D"/>
    <w:rsid w:val="009B422F"/>
    <w:rsid w:val="009B4A51"/>
    <w:rsid w:val="009B4E70"/>
    <w:rsid w:val="009B544F"/>
    <w:rsid w:val="009B5B8B"/>
    <w:rsid w:val="009B612D"/>
    <w:rsid w:val="009B6440"/>
    <w:rsid w:val="009B69FB"/>
    <w:rsid w:val="009B6AEF"/>
    <w:rsid w:val="009B6FA3"/>
    <w:rsid w:val="009B72F2"/>
    <w:rsid w:val="009C072F"/>
    <w:rsid w:val="009C0D08"/>
    <w:rsid w:val="009C13AE"/>
    <w:rsid w:val="009C21D8"/>
    <w:rsid w:val="009C225C"/>
    <w:rsid w:val="009C2868"/>
    <w:rsid w:val="009C288B"/>
    <w:rsid w:val="009C4930"/>
    <w:rsid w:val="009C5915"/>
    <w:rsid w:val="009C75C0"/>
    <w:rsid w:val="009C771B"/>
    <w:rsid w:val="009C7B69"/>
    <w:rsid w:val="009D05CF"/>
    <w:rsid w:val="009D067F"/>
    <w:rsid w:val="009D06A4"/>
    <w:rsid w:val="009D06AC"/>
    <w:rsid w:val="009D0740"/>
    <w:rsid w:val="009D07C1"/>
    <w:rsid w:val="009D0C7A"/>
    <w:rsid w:val="009D110C"/>
    <w:rsid w:val="009D2A63"/>
    <w:rsid w:val="009D340E"/>
    <w:rsid w:val="009D3CD2"/>
    <w:rsid w:val="009D3D6A"/>
    <w:rsid w:val="009D4944"/>
    <w:rsid w:val="009D5795"/>
    <w:rsid w:val="009D6C75"/>
    <w:rsid w:val="009D70A1"/>
    <w:rsid w:val="009D7242"/>
    <w:rsid w:val="009D7746"/>
    <w:rsid w:val="009D77F5"/>
    <w:rsid w:val="009D7A54"/>
    <w:rsid w:val="009D7B28"/>
    <w:rsid w:val="009E01CC"/>
    <w:rsid w:val="009E068A"/>
    <w:rsid w:val="009E097A"/>
    <w:rsid w:val="009E171B"/>
    <w:rsid w:val="009E1F01"/>
    <w:rsid w:val="009E2E30"/>
    <w:rsid w:val="009E3918"/>
    <w:rsid w:val="009E4930"/>
    <w:rsid w:val="009E4B2F"/>
    <w:rsid w:val="009E4B9C"/>
    <w:rsid w:val="009E4F43"/>
    <w:rsid w:val="009E5F60"/>
    <w:rsid w:val="009E67B5"/>
    <w:rsid w:val="009E6DB8"/>
    <w:rsid w:val="009E7938"/>
    <w:rsid w:val="009E7F93"/>
    <w:rsid w:val="009F0218"/>
    <w:rsid w:val="009F0357"/>
    <w:rsid w:val="009F04D3"/>
    <w:rsid w:val="009F0928"/>
    <w:rsid w:val="009F0D54"/>
    <w:rsid w:val="009F0E71"/>
    <w:rsid w:val="009F0EC8"/>
    <w:rsid w:val="009F10B1"/>
    <w:rsid w:val="009F127F"/>
    <w:rsid w:val="009F17CC"/>
    <w:rsid w:val="009F212A"/>
    <w:rsid w:val="009F2A62"/>
    <w:rsid w:val="009F2BB8"/>
    <w:rsid w:val="009F36C1"/>
    <w:rsid w:val="009F3C28"/>
    <w:rsid w:val="009F3EA2"/>
    <w:rsid w:val="009F43F5"/>
    <w:rsid w:val="009F4987"/>
    <w:rsid w:val="009F4AC3"/>
    <w:rsid w:val="009F5494"/>
    <w:rsid w:val="009F5769"/>
    <w:rsid w:val="009F602B"/>
    <w:rsid w:val="009F6AF6"/>
    <w:rsid w:val="009F6F73"/>
    <w:rsid w:val="00A004BE"/>
    <w:rsid w:val="00A0118A"/>
    <w:rsid w:val="00A01A83"/>
    <w:rsid w:val="00A029A9"/>
    <w:rsid w:val="00A04741"/>
    <w:rsid w:val="00A055F6"/>
    <w:rsid w:val="00A059D7"/>
    <w:rsid w:val="00A06658"/>
    <w:rsid w:val="00A067AD"/>
    <w:rsid w:val="00A070B3"/>
    <w:rsid w:val="00A0733A"/>
    <w:rsid w:val="00A078BF"/>
    <w:rsid w:val="00A078F1"/>
    <w:rsid w:val="00A10B24"/>
    <w:rsid w:val="00A10B97"/>
    <w:rsid w:val="00A10D7E"/>
    <w:rsid w:val="00A111DC"/>
    <w:rsid w:val="00A116D7"/>
    <w:rsid w:val="00A11BCF"/>
    <w:rsid w:val="00A11D71"/>
    <w:rsid w:val="00A12DE4"/>
    <w:rsid w:val="00A164E7"/>
    <w:rsid w:val="00A16B7E"/>
    <w:rsid w:val="00A16D8A"/>
    <w:rsid w:val="00A16F36"/>
    <w:rsid w:val="00A17206"/>
    <w:rsid w:val="00A179E5"/>
    <w:rsid w:val="00A21979"/>
    <w:rsid w:val="00A23D83"/>
    <w:rsid w:val="00A23DCC"/>
    <w:rsid w:val="00A23FB5"/>
    <w:rsid w:val="00A24E06"/>
    <w:rsid w:val="00A25379"/>
    <w:rsid w:val="00A25CA5"/>
    <w:rsid w:val="00A26167"/>
    <w:rsid w:val="00A26337"/>
    <w:rsid w:val="00A267C2"/>
    <w:rsid w:val="00A26FC0"/>
    <w:rsid w:val="00A272C7"/>
    <w:rsid w:val="00A27800"/>
    <w:rsid w:val="00A27C47"/>
    <w:rsid w:val="00A31830"/>
    <w:rsid w:val="00A338CF"/>
    <w:rsid w:val="00A354C4"/>
    <w:rsid w:val="00A35D84"/>
    <w:rsid w:val="00A35DF0"/>
    <w:rsid w:val="00A3646E"/>
    <w:rsid w:val="00A36A15"/>
    <w:rsid w:val="00A408E2"/>
    <w:rsid w:val="00A40959"/>
    <w:rsid w:val="00A412DA"/>
    <w:rsid w:val="00A419C1"/>
    <w:rsid w:val="00A41C0E"/>
    <w:rsid w:val="00A43DBC"/>
    <w:rsid w:val="00A43FE0"/>
    <w:rsid w:val="00A44CE1"/>
    <w:rsid w:val="00A452DC"/>
    <w:rsid w:val="00A45408"/>
    <w:rsid w:val="00A469F6"/>
    <w:rsid w:val="00A46AD7"/>
    <w:rsid w:val="00A46F39"/>
    <w:rsid w:val="00A4739B"/>
    <w:rsid w:val="00A504DC"/>
    <w:rsid w:val="00A505D2"/>
    <w:rsid w:val="00A50B1E"/>
    <w:rsid w:val="00A5235D"/>
    <w:rsid w:val="00A52FC2"/>
    <w:rsid w:val="00A5519A"/>
    <w:rsid w:val="00A55704"/>
    <w:rsid w:val="00A55A8E"/>
    <w:rsid w:val="00A56A79"/>
    <w:rsid w:val="00A57288"/>
    <w:rsid w:val="00A576E6"/>
    <w:rsid w:val="00A57D74"/>
    <w:rsid w:val="00A57DEF"/>
    <w:rsid w:val="00A60263"/>
    <w:rsid w:val="00A60588"/>
    <w:rsid w:val="00A60B8F"/>
    <w:rsid w:val="00A61024"/>
    <w:rsid w:val="00A611E2"/>
    <w:rsid w:val="00A615E9"/>
    <w:rsid w:val="00A6179E"/>
    <w:rsid w:val="00A65467"/>
    <w:rsid w:val="00A660AB"/>
    <w:rsid w:val="00A66B5C"/>
    <w:rsid w:val="00A7007E"/>
    <w:rsid w:val="00A70403"/>
    <w:rsid w:val="00A720E9"/>
    <w:rsid w:val="00A72B85"/>
    <w:rsid w:val="00A72E97"/>
    <w:rsid w:val="00A72EC3"/>
    <w:rsid w:val="00A73282"/>
    <w:rsid w:val="00A732EF"/>
    <w:rsid w:val="00A739FC"/>
    <w:rsid w:val="00A73BDA"/>
    <w:rsid w:val="00A74C93"/>
    <w:rsid w:val="00A74D0F"/>
    <w:rsid w:val="00A74FA8"/>
    <w:rsid w:val="00A755C7"/>
    <w:rsid w:val="00A75842"/>
    <w:rsid w:val="00A75A42"/>
    <w:rsid w:val="00A75B12"/>
    <w:rsid w:val="00A75E88"/>
    <w:rsid w:val="00A75F6E"/>
    <w:rsid w:val="00A75FD7"/>
    <w:rsid w:val="00A762D4"/>
    <w:rsid w:val="00A77D23"/>
    <w:rsid w:val="00A80825"/>
    <w:rsid w:val="00A80F21"/>
    <w:rsid w:val="00A83F36"/>
    <w:rsid w:val="00A83FF6"/>
    <w:rsid w:val="00A8474D"/>
    <w:rsid w:val="00A84D61"/>
    <w:rsid w:val="00A84E84"/>
    <w:rsid w:val="00A86376"/>
    <w:rsid w:val="00A86701"/>
    <w:rsid w:val="00A86BDC"/>
    <w:rsid w:val="00A872B3"/>
    <w:rsid w:val="00A87327"/>
    <w:rsid w:val="00A8758F"/>
    <w:rsid w:val="00A87EB4"/>
    <w:rsid w:val="00A9035E"/>
    <w:rsid w:val="00A90370"/>
    <w:rsid w:val="00A90762"/>
    <w:rsid w:val="00A90792"/>
    <w:rsid w:val="00A90E9C"/>
    <w:rsid w:val="00A91077"/>
    <w:rsid w:val="00A92632"/>
    <w:rsid w:val="00A928C1"/>
    <w:rsid w:val="00A92C6C"/>
    <w:rsid w:val="00A936D6"/>
    <w:rsid w:val="00A93FF9"/>
    <w:rsid w:val="00A94714"/>
    <w:rsid w:val="00A9482C"/>
    <w:rsid w:val="00A94A66"/>
    <w:rsid w:val="00A95367"/>
    <w:rsid w:val="00A95454"/>
    <w:rsid w:val="00A95C98"/>
    <w:rsid w:val="00A961F7"/>
    <w:rsid w:val="00A9762E"/>
    <w:rsid w:val="00A97F92"/>
    <w:rsid w:val="00AA0B07"/>
    <w:rsid w:val="00AA174D"/>
    <w:rsid w:val="00AA2D3C"/>
    <w:rsid w:val="00AA42AF"/>
    <w:rsid w:val="00AA4C3E"/>
    <w:rsid w:val="00AA5A72"/>
    <w:rsid w:val="00AA5E72"/>
    <w:rsid w:val="00AA75A1"/>
    <w:rsid w:val="00AA7734"/>
    <w:rsid w:val="00AB0111"/>
    <w:rsid w:val="00AB08CE"/>
    <w:rsid w:val="00AB1440"/>
    <w:rsid w:val="00AB19E4"/>
    <w:rsid w:val="00AB2155"/>
    <w:rsid w:val="00AB2439"/>
    <w:rsid w:val="00AB2781"/>
    <w:rsid w:val="00AB27E0"/>
    <w:rsid w:val="00AB2877"/>
    <w:rsid w:val="00AB2A13"/>
    <w:rsid w:val="00AB2A2B"/>
    <w:rsid w:val="00AB2F7D"/>
    <w:rsid w:val="00AB3635"/>
    <w:rsid w:val="00AB3C52"/>
    <w:rsid w:val="00AB3D11"/>
    <w:rsid w:val="00AB403C"/>
    <w:rsid w:val="00AB6B57"/>
    <w:rsid w:val="00AB6CF3"/>
    <w:rsid w:val="00AB6D80"/>
    <w:rsid w:val="00AB6F50"/>
    <w:rsid w:val="00AB7ADA"/>
    <w:rsid w:val="00AB7E0E"/>
    <w:rsid w:val="00AC0498"/>
    <w:rsid w:val="00AC1288"/>
    <w:rsid w:val="00AC166C"/>
    <w:rsid w:val="00AC1A74"/>
    <w:rsid w:val="00AC2138"/>
    <w:rsid w:val="00AC2723"/>
    <w:rsid w:val="00AC2C34"/>
    <w:rsid w:val="00AC35D1"/>
    <w:rsid w:val="00AC3DE8"/>
    <w:rsid w:val="00AC3FC0"/>
    <w:rsid w:val="00AC4AB2"/>
    <w:rsid w:val="00AC4FDD"/>
    <w:rsid w:val="00AC634C"/>
    <w:rsid w:val="00AC6B3F"/>
    <w:rsid w:val="00AC6C4E"/>
    <w:rsid w:val="00AC6C96"/>
    <w:rsid w:val="00AC71A1"/>
    <w:rsid w:val="00AC79A3"/>
    <w:rsid w:val="00AC7AD3"/>
    <w:rsid w:val="00AC7E86"/>
    <w:rsid w:val="00AD03AA"/>
    <w:rsid w:val="00AD0CF1"/>
    <w:rsid w:val="00AD1034"/>
    <w:rsid w:val="00AD1393"/>
    <w:rsid w:val="00AD14BC"/>
    <w:rsid w:val="00AD350C"/>
    <w:rsid w:val="00AD35D7"/>
    <w:rsid w:val="00AD461F"/>
    <w:rsid w:val="00AD4CE1"/>
    <w:rsid w:val="00AD4EB2"/>
    <w:rsid w:val="00AD5E62"/>
    <w:rsid w:val="00AD67F1"/>
    <w:rsid w:val="00AD7412"/>
    <w:rsid w:val="00AD7AAA"/>
    <w:rsid w:val="00AE02BD"/>
    <w:rsid w:val="00AE1CE1"/>
    <w:rsid w:val="00AE2102"/>
    <w:rsid w:val="00AE25D9"/>
    <w:rsid w:val="00AE2F9C"/>
    <w:rsid w:val="00AE3749"/>
    <w:rsid w:val="00AE53CA"/>
    <w:rsid w:val="00AE5412"/>
    <w:rsid w:val="00AE5446"/>
    <w:rsid w:val="00AE54C4"/>
    <w:rsid w:val="00AE5709"/>
    <w:rsid w:val="00AE6395"/>
    <w:rsid w:val="00AF0511"/>
    <w:rsid w:val="00AF055F"/>
    <w:rsid w:val="00AF13AD"/>
    <w:rsid w:val="00AF1CE6"/>
    <w:rsid w:val="00AF1DAF"/>
    <w:rsid w:val="00AF1E87"/>
    <w:rsid w:val="00AF255A"/>
    <w:rsid w:val="00AF319D"/>
    <w:rsid w:val="00AF3C7A"/>
    <w:rsid w:val="00AF5D52"/>
    <w:rsid w:val="00B00C55"/>
    <w:rsid w:val="00B011CB"/>
    <w:rsid w:val="00B016EC"/>
    <w:rsid w:val="00B01ADA"/>
    <w:rsid w:val="00B0208F"/>
    <w:rsid w:val="00B023D1"/>
    <w:rsid w:val="00B02813"/>
    <w:rsid w:val="00B02E0D"/>
    <w:rsid w:val="00B038DD"/>
    <w:rsid w:val="00B054ED"/>
    <w:rsid w:val="00B06A90"/>
    <w:rsid w:val="00B07406"/>
    <w:rsid w:val="00B07EE8"/>
    <w:rsid w:val="00B117FD"/>
    <w:rsid w:val="00B131A5"/>
    <w:rsid w:val="00B14A93"/>
    <w:rsid w:val="00B15A50"/>
    <w:rsid w:val="00B16253"/>
    <w:rsid w:val="00B165DB"/>
    <w:rsid w:val="00B16DF6"/>
    <w:rsid w:val="00B17835"/>
    <w:rsid w:val="00B178C0"/>
    <w:rsid w:val="00B200C7"/>
    <w:rsid w:val="00B20685"/>
    <w:rsid w:val="00B20CAD"/>
    <w:rsid w:val="00B214E0"/>
    <w:rsid w:val="00B220CB"/>
    <w:rsid w:val="00B22EC9"/>
    <w:rsid w:val="00B237F7"/>
    <w:rsid w:val="00B23FF0"/>
    <w:rsid w:val="00B254B2"/>
    <w:rsid w:val="00B2624F"/>
    <w:rsid w:val="00B27DED"/>
    <w:rsid w:val="00B31677"/>
    <w:rsid w:val="00B32615"/>
    <w:rsid w:val="00B32C65"/>
    <w:rsid w:val="00B3526E"/>
    <w:rsid w:val="00B35430"/>
    <w:rsid w:val="00B35564"/>
    <w:rsid w:val="00B35672"/>
    <w:rsid w:val="00B36820"/>
    <w:rsid w:val="00B36F16"/>
    <w:rsid w:val="00B374BE"/>
    <w:rsid w:val="00B37681"/>
    <w:rsid w:val="00B37D7B"/>
    <w:rsid w:val="00B402F1"/>
    <w:rsid w:val="00B40396"/>
    <w:rsid w:val="00B404A9"/>
    <w:rsid w:val="00B40634"/>
    <w:rsid w:val="00B40A61"/>
    <w:rsid w:val="00B41D43"/>
    <w:rsid w:val="00B426DB"/>
    <w:rsid w:val="00B42851"/>
    <w:rsid w:val="00B43BEB"/>
    <w:rsid w:val="00B44AEE"/>
    <w:rsid w:val="00B44CFB"/>
    <w:rsid w:val="00B45258"/>
    <w:rsid w:val="00B462C9"/>
    <w:rsid w:val="00B4676D"/>
    <w:rsid w:val="00B469E1"/>
    <w:rsid w:val="00B474E9"/>
    <w:rsid w:val="00B5024C"/>
    <w:rsid w:val="00B503E8"/>
    <w:rsid w:val="00B523D4"/>
    <w:rsid w:val="00B532D5"/>
    <w:rsid w:val="00B53444"/>
    <w:rsid w:val="00B538E2"/>
    <w:rsid w:val="00B53B9A"/>
    <w:rsid w:val="00B541FC"/>
    <w:rsid w:val="00B55076"/>
    <w:rsid w:val="00B56969"/>
    <w:rsid w:val="00B56AD3"/>
    <w:rsid w:val="00B56BF8"/>
    <w:rsid w:val="00B56E70"/>
    <w:rsid w:val="00B57854"/>
    <w:rsid w:val="00B579B3"/>
    <w:rsid w:val="00B57C01"/>
    <w:rsid w:val="00B6026F"/>
    <w:rsid w:val="00B614E7"/>
    <w:rsid w:val="00B61B98"/>
    <w:rsid w:val="00B61C5E"/>
    <w:rsid w:val="00B62090"/>
    <w:rsid w:val="00B62242"/>
    <w:rsid w:val="00B625B9"/>
    <w:rsid w:val="00B62EE5"/>
    <w:rsid w:val="00B63A34"/>
    <w:rsid w:val="00B63B15"/>
    <w:rsid w:val="00B64595"/>
    <w:rsid w:val="00B658FA"/>
    <w:rsid w:val="00B65912"/>
    <w:rsid w:val="00B6620F"/>
    <w:rsid w:val="00B66807"/>
    <w:rsid w:val="00B66FF6"/>
    <w:rsid w:val="00B6757E"/>
    <w:rsid w:val="00B67709"/>
    <w:rsid w:val="00B678DE"/>
    <w:rsid w:val="00B67B53"/>
    <w:rsid w:val="00B70FE7"/>
    <w:rsid w:val="00B71718"/>
    <w:rsid w:val="00B717B8"/>
    <w:rsid w:val="00B71850"/>
    <w:rsid w:val="00B71EED"/>
    <w:rsid w:val="00B71FE9"/>
    <w:rsid w:val="00B720AB"/>
    <w:rsid w:val="00B72392"/>
    <w:rsid w:val="00B72AB0"/>
    <w:rsid w:val="00B72F7B"/>
    <w:rsid w:val="00B73115"/>
    <w:rsid w:val="00B746C3"/>
    <w:rsid w:val="00B74C12"/>
    <w:rsid w:val="00B7538B"/>
    <w:rsid w:val="00B76ED9"/>
    <w:rsid w:val="00B77566"/>
    <w:rsid w:val="00B80A62"/>
    <w:rsid w:val="00B81188"/>
    <w:rsid w:val="00B813A7"/>
    <w:rsid w:val="00B817F1"/>
    <w:rsid w:val="00B83C6E"/>
    <w:rsid w:val="00B9034B"/>
    <w:rsid w:val="00B913E1"/>
    <w:rsid w:val="00B91AA3"/>
    <w:rsid w:val="00B91B22"/>
    <w:rsid w:val="00B921D2"/>
    <w:rsid w:val="00B93AD0"/>
    <w:rsid w:val="00B94A1C"/>
    <w:rsid w:val="00B955DF"/>
    <w:rsid w:val="00B957A6"/>
    <w:rsid w:val="00B9682D"/>
    <w:rsid w:val="00B96E0C"/>
    <w:rsid w:val="00B9718A"/>
    <w:rsid w:val="00B971C0"/>
    <w:rsid w:val="00B97256"/>
    <w:rsid w:val="00B97612"/>
    <w:rsid w:val="00B976EA"/>
    <w:rsid w:val="00BA0954"/>
    <w:rsid w:val="00BA1C89"/>
    <w:rsid w:val="00BA1F4D"/>
    <w:rsid w:val="00BA1FAE"/>
    <w:rsid w:val="00BA24D7"/>
    <w:rsid w:val="00BA2A83"/>
    <w:rsid w:val="00BA5036"/>
    <w:rsid w:val="00BA52C3"/>
    <w:rsid w:val="00BA57DA"/>
    <w:rsid w:val="00BA69D6"/>
    <w:rsid w:val="00BA6A75"/>
    <w:rsid w:val="00BA6C6A"/>
    <w:rsid w:val="00BA765D"/>
    <w:rsid w:val="00BB073F"/>
    <w:rsid w:val="00BB0FFD"/>
    <w:rsid w:val="00BB4189"/>
    <w:rsid w:val="00BB4244"/>
    <w:rsid w:val="00BB5BB7"/>
    <w:rsid w:val="00BB63D8"/>
    <w:rsid w:val="00BB6C80"/>
    <w:rsid w:val="00BB7E2D"/>
    <w:rsid w:val="00BC0952"/>
    <w:rsid w:val="00BC1638"/>
    <w:rsid w:val="00BC16CB"/>
    <w:rsid w:val="00BC1D9E"/>
    <w:rsid w:val="00BC2039"/>
    <w:rsid w:val="00BC2519"/>
    <w:rsid w:val="00BC2FB5"/>
    <w:rsid w:val="00BC3E85"/>
    <w:rsid w:val="00BC568C"/>
    <w:rsid w:val="00BC59C7"/>
    <w:rsid w:val="00BC663D"/>
    <w:rsid w:val="00BC6DBF"/>
    <w:rsid w:val="00BC6EDF"/>
    <w:rsid w:val="00BC7296"/>
    <w:rsid w:val="00BC7A59"/>
    <w:rsid w:val="00BC7F20"/>
    <w:rsid w:val="00BD09C0"/>
    <w:rsid w:val="00BD0DE9"/>
    <w:rsid w:val="00BD1FEF"/>
    <w:rsid w:val="00BD23F9"/>
    <w:rsid w:val="00BD2724"/>
    <w:rsid w:val="00BD2835"/>
    <w:rsid w:val="00BD2D31"/>
    <w:rsid w:val="00BD3495"/>
    <w:rsid w:val="00BD3AA5"/>
    <w:rsid w:val="00BD3B08"/>
    <w:rsid w:val="00BD4103"/>
    <w:rsid w:val="00BD5551"/>
    <w:rsid w:val="00BD5D51"/>
    <w:rsid w:val="00BD68CA"/>
    <w:rsid w:val="00BD6E31"/>
    <w:rsid w:val="00BD7CB0"/>
    <w:rsid w:val="00BD8219"/>
    <w:rsid w:val="00BE00ED"/>
    <w:rsid w:val="00BE021B"/>
    <w:rsid w:val="00BE03B7"/>
    <w:rsid w:val="00BE042B"/>
    <w:rsid w:val="00BE0DFC"/>
    <w:rsid w:val="00BE1A3C"/>
    <w:rsid w:val="00BE272E"/>
    <w:rsid w:val="00BE381C"/>
    <w:rsid w:val="00BE387F"/>
    <w:rsid w:val="00BE4BE4"/>
    <w:rsid w:val="00BE4D98"/>
    <w:rsid w:val="00BE4E60"/>
    <w:rsid w:val="00BE50E3"/>
    <w:rsid w:val="00BE530A"/>
    <w:rsid w:val="00BE54E8"/>
    <w:rsid w:val="00BE5CB4"/>
    <w:rsid w:val="00BE731D"/>
    <w:rsid w:val="00BE7B51"/>
    <w:rsid w:val="00BF10A0"/>
    <w:rsid w:val="00BF10CB"/>
    <w:rsid w:val="00BF2683"/>
    <w:rsid w:val="00BF2CDE"/>
    <w:rsid w:val="00BF2D90"/>
    <w:rsid w:val="00BF2E26"/>
    <w:rsid w:val="00BF3A6C"/>
    <w:rsid w:val="00BF4748"/>
    <w:rsid w:val="00BF52F0"/>
    <w:rsid w:val="00BF5CC2"/>
    <w:rsid w:val="00BF690A"/>
    <w:rsid w:val="00BF6D4B"/>
    <w:rsid w:val="00BF6DE8"/>
    <w:rsid w:val="00BF7EA2"/>
    <w:rsid w:val="00C00521"/>
    <w:rsid w:val="00C00833"/>
    <w:rsid w:val="00C01339"/>
    <w:rsid w:val="00C01824"/>
    <w:rsid w:val="00C01A4A"/>
    <w:rsid w:val="00C01CCD"/>
    <w:rsid w:val="00C02206"/>
    <w:rsid w:val="00C02E12"/>
    <w:rsid w:val="00C033C0"/>
    <w:rsid w:val="00C03BE4"/>
    <w:rsid w:val="00C04AED"/>
    <w:rsid w:val="00C0536B"/>
    <w:rsid w:val="00C0568F"/>
    <w:rsid w:val="00C05F24"/>
    <w:rsid w:val="00C0613A"/>
    <w:rsid w:val="00C074CA"/>
    <w:rsid w:val="00C07F5C"/>
    <w:rsid w:val="00C108D2"/>
    <w:rsid w:val="00C10C06"/>
    <w:rsid w:val="00C10D07"/>
    <w:rsid w:val="00C115EA"/>
    <w:rsid w:val="00C12DEE"/>
    <w:rsid w:val="00C130B6"/>
    <w:rsid w:val="00C13881"/>
    <w:rsid w:val="00C14023"/>
    <w:rsid w:val="00C14789"/>
    <w:rsid w:val="00C15179"/>
    <w:rsid w:val="00C1567E"/>
    <w:rsid w:val="00C15709"/>
    <w:rsid w:val="00C1635A"/>
    <w:rsid w:val="00C1652A"/>
    <w:rsid w:val="00C16E45"/>
    <w:rsid w:val="00C175C9"/>
    <w:rsid w:val="00C17D81"/>
    <w:rsid w:val="00C17F2B"/>
    <w:rsid w:val="00C210D8"/>
    <w:rsid w:val="00C211CE"/>
    <w:rsid w:val="00C2151F"/>
    <w:rsid w:val="00C21B32"/>
    <w:rsid w:val="00C22157"/>
    <w:rsid w:val="00C2215C"/>
    <w:rsid w:val="00C229D9"/>
    <w:rsid w:val="00C22E36"/>
    <w:rsid w:val="00C23753"/>
    <w:rsid w:val="00C2452D"/>
    <w:rsid w:val="00C24A3D"/>
    <w:rsid w:val="00C25AB4"/>
    <w:rsid w:val="00C261E7"/>
    <w:rsid w:val="00C26876"/>
    <w:rsid w:val="00C26D38"/>
    <w:rsid w:val="00C27520"/>
    <w:rsid w:val="00C27A70"/>
    <w:rsid w:val="00C3167A"/>
    <w:rsid w:val="00C3236E"/>
    <w:rsid w:val="00C32E8A"/>
    <w:rsid w:val="00C32F37"/>
    <w:rsid w:val="00C33444"/>
    <w:rsid w:val="00C349BD"/>
    <w:rsid w:val="00C35BC9"/>
    <w:rsid w:val="00C35DB8"/>
    <w:rsid w:val="00C376C6"/>
    <w:rsid w:val="00C41962"/>
    <w:rsid w:val="00C41D6B"/>
    <w:rsid w:val="00C422D8"/>
    <w:rsid w:val="00C424BD"/>
    <w:rsid w:val="00C42719"/>
    <w:rsid w:val="00C4320F"/>
    <w:rsid w:val="00C439CE"/>
    <w:rsid w:val="00C44592"/>
    <w:rsid w:val="00C44C61"/>
    <w:rsid w:val="00C4592C"/>
    <w:rsid w:val="00C45D81"/>
    <w:rsid w:val="00C46394"/>
    <w:rsid w:val="00C46CAC"/>
    <w:rsid w:val="00C4729D"/>
    <w:rsid w:val="00C47DAC"/>
    <w:rsid w:val="00C5030B"/>
    <w:rsid w:val="00C50310"/>
    <w:rsid w:val="00C508E1"/>
    <w:rsid w:val="00C50F24"/>
    <w:rsid w:val="00C51980"/>
    <w:rsid w:val="00C51F32"/>
    <w:rsid w:val="00C51FB8"/>
    <w:rsid w:val="00C521A4"/>
    <w:rsid w:val="00C52B4B"/>
    <w:rsid w:val="00C5354C"/>
    <w:rsid w:val="00C53ED4"/>
    <w:rsid w:val="00C543EE"/>
    <w:rsid w:val="00C5519E"/>
    <w:rsid w:val="00C55FCF"/>
    <w:rsid w:val="00C56887"/>
    <w:rsid w:val="00C56A75"/>
    <w:rsid w:val="00C5796A"/>
    <w:rsid w:val="00C57CCA"/>
    <w:rsid w:val="00C60E21"/>
    <w:rsid w:val="00C60EFF"/>
    <w:rsid w:val="00C6189E"/>
    <w:rsid w:val="00C61B2E"/>
    <w:rsid w:val="00C61CC0"/>
    <w:rsid w:val="00C62063"/>
    <w:rsid w:val="00C6247B"/>
    <w:rsid w:val="00C62C37"/>
    <w:rsid w:val="00C639A2"/>
    <w:rsid w:val="00C63B60"/>
    <w:rsid w:val="00C648EC"/>
    <w:rsid w:val="00C649C4"/>
    <w:rsid w:val="00C656A8"/>
    <w:rsid w:val="00C65C8F"/>
    <w:rsid w:val="00C66571"/>
    <w:rsid w:val="00C67095"/>
    <w:rsid w:val="00C7000E"/>
    <w:rsid w:val="00C70084"/>
    <w:rsid w:val="00C709D5"/>
    <w:rsid w:val="00C70A04"/>
    <w:rsid w:val="00C70D89"/>
    <w:rsid w:val="00C7302C"/>
    <w:rsid w:val="00C737A7"/>
    <w:rsid w:val="00C75413"/>
    <w:rsid w:val="00C754E2"/>
    <w:rsid w:val="00C7586C"/>
    <w:rsid w:val="00C75C16"/>
    <w:rsid w:val="00C770C0"/>
    <w:rsid w:val="00C77CF4"/>
    <w:rsid w:val="00C77D2F"/>
    <w:rsid w:val="00C80691"/>
    <w:rsid w:val="00C81517"/>
    <w:rsid w:val="00C81A47"/>
    <w:rsid w:val="00C826C0"/>
    <w:rsid w:val="00C829C1"/>
    <w:rsid w:val="00C82BD5"/>
    <w:rsid w:val="00C8337F"/>
    <w:rsid w:val="00C840FF"/>
    <w:rsid w:val="00C847D8"/>
    <w:rsid w:val="00C8568E"/>
    <w:rsid w:val="00C85961"/>
    <w:rsid w:val="00C85B12"/>
    <w:rsid w:val="00C871C5"/>
    <w:rsid w:val="00C87A22"/>
    <w:rsid w:val="00C87A57"/>
    <w:rsid w:val="00C87BB6"/>
    <w:rsid w:val="00C902B5"/>
    <w:rsid w:val="00C91237"/>
    <w:rsid w:val="00C92AC8"/>
    <w:rsid w:val="00C92DBB"/>
    <w:rsid w:val="00C92F89"/>
    <w:rsid w:val="00C9369A"/>
    <w:rsid w:val="00C93920"/>
    <w:rsid w:val="00C93CC0"/>
    <w:rsid w:val="00C93D69"/>
    <w:rsid w:val="00C95397"/>
    <w:rsid w:val="00C97683"/>
    <w:rsid w:val="00C97705"/>
    <w:rsid w:val="00C97C96"/>
    <w:rsid w:val="00C97EA6"/>
    <w:rsid w:val="00C97F5D"/>
    <w:rsid w:val="00CA050F"/>
    <w:rsid w:val="00CA2697"/>
    <w:rsid w:val="00CA2D82"/>
    <w:rsid w:val="00CA3B4D"/>
    <w:rsid w:val="00CA3D7F"/>
    <w:rsid w:val="00CA43A0"/>
    <w:rsid w:val="00CA46A0"/>
    <w:rsid w:val="00CA4B56"/>
    <w:rsid w:val="00CA5368"/>
    <w:rsid w:val="00CA53D9"/>
    <w:rsid w:val="00CA6A14"/>
    <w:rsid w:val="00CA771A"/>
    <w:rsid w:val="00CA7B83"/>
    <w:rsid w:val="00CA7B87"/>
    <w:rsid w:val="00CB0285"/>
    <w:rsid w:val="00CB21CF"/>
    <w:rsid w:val="00CB2EF5"/>
    <w:rsid w:val="00CB31B9"/>
    <w:rsid w:val="00CB4666"/>
    <w:rsid w:val="00CB47F7"/>
    <w:rsid w:val="00CB5018"/>
    <w:rsid w:val="00CB5755"/>
    <w:rsid w:val="00CB58DE"/>
    <w:rsid w:val="00CB5A0A"/>
    <w:rsid w:val="00CB5C34"/>
    <w:rsid w:val="00CB5EE5"/>
    <w:rsid w:val="00CB627E"/>
    <w:rsid w:val="00CB78F2"/>
    <w:rsid w:val="00CB7B8C"/>
    <w:rsid w:val="00CB7DAB"/>
    <w:rsid w:val="00CC0565"/>
    <w:rsid w:val="00CC0976"/>
    <w:rsid w:val="00CC0A26"/>
    <w:rsid w:val="00CC14C1"/>
    <w:rsid w:val="00CC19BA"/>
    <w:rsid w:val="00CC1D79"/>
    <w:rsid w:val="00CC2A53"/>
    <w:rsid w:val="00CC3012"/>
    <w:rsid w:val="00CC3042"/>
    <w:rsid w:val="00CC3179"/>
    <w:rsid w:val="00CC38E8"/>
    <w:rsid w:val="00CC3EB3"/>
    <w:rsid w:val="00CC4696"/>
    <w:rsid w:val="00CC58D9"/>
    <w:rsid w:val="00CC7C82"/>
    <w:rsid w:val="00CD0641"/>
    <w:rsid w:val="00CD0DD7"/>
    <w:rsid w:val="00CD164D"/>
    <w:rsid w:val="00CD1AA3"/>
    <w:rsid w:val="00CD1B82"/>
    <w:rsid w:val="00CD1CF2"/>
    <w:rsid w:val="00CD2DF0"/>
    <w:rsid w:val="00CD4225"/>
    <w:rsid w:val="00CD5126"/>
    <w:rsid w:val="00CD56D8"/>
    <w:rsid w:val="00CD5972"/>
    <w:rsid w:val="00CD635A"/>
    <w:rsid w:val="00CD70E8"/>
    <w:rsid w:val="00CE066E"/>
    <w:rsid w:val="00CE11F4"/>
    <w:rsid w:val="00CE2635"/>
    <w:rsid w:val="00CE3BD7"/>
    <w:rsid w:val="00CE3E4D"/>
    <w:rsid w:val="00CE42F0"/>
    <w:rsid w:val="00CE471D"/>
    <w:rsid w:val="00CE4FD2"/>
    <w:rsid w:val="00CE5193"/>
    <w:rsid w:val="00CE63BA"/>
    <w:rsid w:val="00CE66B5"/>
    <w:rsid w:val="00CE68C0"/>
    <w:rsid w:val="00CF05B3"/>
    <w:rsid w:val="00CF08FA"/>
    <w:rsid w:val="00CF12A7"/>
    <w:rsid w:val="00CF1E23"/>
    <w:rsid w:val="00CF2A3B"/>
    <w:rsid w:val="00CF2BAF"/>
    <w:rsid w:val="00CF2F19"/>
    <w:rsid w:val="00CF4BA5"/>
    <w:rsid w:val="00CF4EA6"/>
    <w:rsid w:val="00CF5A4C"/>
    <w:rsid w:val="00CF5EC0"/>
    <w:rsid w:val="00CF6088"/>
    <w:rsid w:val="00CF613F"/>
    <w:rsid w:val="00CF630D"/>
    <w:rsid w:val="00CF6739"/>
    <w:rsid w:val="00CF6AAA"/>
    <w:rsid w:val="00CF6BCD"/>
    <w:rsid w:val="00CF7D2D"/>
    <w:rsid w:val="00D010A0"/>
    <w:rsid w:val="00D01278"/>
    <w:rsid w:val="00D02563"/>
    <w:rsid w:val="00D049B1"/>
    <w:rsid w:val="00D060F0"/>
    <w:rsid w:val="00D0656D"/>
    <w:rsid w:val="00D06C36"/>
    <w:rsid w:val="00D06C98"/>
    <w:rsid w:val="00D11722"/>
    <w:rsid w:val="00D124B2"/>
    <w:rsid w:val="00D12A0E"/>
    <w:rsid w:val="00D12D58"/>
    <w:rsid w:val="00D13A05"/>
    <w:rsid w:val="00D13A9C"/>
    <w:rsid w:val="00D14559"/>
    <w:rsid w:val="00D152F5"/>
    <w:rsid w:val="00D164F5"/>
    <w:rsid w:val="00D16CD4"/>
    <w:rsid w:val="00D205B4"/>
    <w:rsid w:val="00D20B97"/>
    <w:rsid w:val="00D20C39"/>
    <w:rsid w:val="00D21875"/>
    <w:rsid w:val="00D23672"/>
    <w:rsid w:val="00D236D2"/>
    <w:rsid w:val="00D23D08"/>
    <w:rsid w:val="00D245D6"/>
    <w:rsid w:val="00D24D31"/>
    <w:rsid w:val="00D260A0"/>
    <w:rsid w:val="00D261C3"/>
    <w:rsid w:val="00D26773"/>
    <w:rsid w:val="00D26AAE"/>
    <w:rsid w:val="00D26DF0"/>
    <w:rsid w:val="00D3244E"/>
    <w:rsid w:val="00D351CF"/>
    <w:rsid w:val="00D36B83"/>
    <w:rsid w:val="00D36BB6"/>
    <w:rsid w:val="00D40161"/>
    <w:rsid w:val="00D40EFB"/>
    <w:rsid w:val="00D4129D"/>
    <w:rsid w:val="00D41BDE"/>
    <w:rsid w:val="00D42339"/>
    <w:rsid w:val="00D4276E"/>
    <w:rsid w:val="00D42965"/>
    <w:rsid w:val="00D429BF"/>
    <w:rsid w:val="00D431A8"/>
    <w:rsid w:val="00D43502"/>
    <w:rsid w:val="00D439F9"/>
    <w:rsid w:val="00D43D6E"/>
    <w:rsid w:val="00D43DB2"/>
    <w:rsid w:val="00D4498D"/>
    <w:rsid w:val="00D451E7"/>
    <w:rsid w:val="00D45C2B"/>
    <w:rsid w:val="00D45E1A"/>
    <w:rsid w:val="00D46835"/>
    <w:rsid w:val="00D46CF6"/>
    <w:rsid w:val="00D46E34"/>
    <w:rsid w:val="00D5085F"/>
    <w:rsid w:val="00D50CFB"/>
    <w:rsid w:val="00D50E31"/>
    <w:rsid w:val="00D5198D"/>
    <w:rsid w:val="00D5216D"/>
    <w:rsid w:val="00D52639"/>
    <w:rsid w:val="00D53015"/>
    <w:rsid w:val="00D53D60"/>
    <w:rsid w:val="00D54981"/>
    <w:rsid w:val="00D55EA2"/>
    <w:rsid w:val="00D56390"/>
    <w:rsid w:val="00D56D42"/>
    <w:rsid w:val="00D56D5E"/>
    <w:rsid w:val="00D579E1"/>
    <w:rsid w:val="00D607B0"/>
    <w:rsid w:val="00D608A1"/>
    <w:rsid w:val="00D6174B"/>
    <w:rsid w:val="00D61A88"/>
    <w:rsid w:val="00D62355"/>
    <w:rsid w:val="00D62EC9"/>
    <w:rsid w:val="00D63CC9"/>
    <w:rsid w:val="00D63FA9"/>
    <w:rsid w:val="00D64787"/>
    <w:rsid w:val="00D6503E"/>
    <w:rsid w:val="00D655F1"/>
    <w:rsid w:val="00D657B1"/>
    <w:rsid w:val="00D65800"/>
    <w:rsid w:val="00D65ABB"/>
    <w:rsid w:val="00D6648E"/>
    <w:rsid w:val="00D6778D"/>
    <w:rsid w:val="00D70207"/>
    <w:rsid w:val="00D70C0F"/>
    <w:rsid w:val="00D70D69"/>
    <w:rsid w:val="00D711F6"/>
    <w:rsid w:val="00D71C4B"/>
    <w:rsid w:val="00D71CAF"/>
    <w:rsid w:val="00D73D6D"/>
    <w:rsid w:val="00D74987"/>
    <w:rsid w:val="00D749AA"/>
    <w:rsid w:val="00D75738"/>
    <w:rsid w:val="00D76203"/>
    <w:rsid w:val="00D76887"/>
    <w:rsid w:val="00D76E75"/>
    <w:rsid w:val="00D77323"/>
    <w:rsid w:val="00D80429"/>
    <w:rsid w:val="00D81E75"/>
    <w:rsid w:val="00D81E7A"/>
    <w:rsid w:val="00D82A32"/>
    <w:rsid w:val="00D8343C"/>
    <w:rsid w:val="00D837F5"/>
    <w:rsid w:val="00D845DB"/>
    <w:rsid w:val="00D8483E"/>
    <w:rsid w:val="00D85151"/>
    <w:rsid w:val="00D851F4"/>
    <w:rsid w:val="00D85C10"/>
    <w:rsid w:val="00D868A7"/>
    <w:rsid w:val="00D86923"/>
    <w:rsid w:val="00D86A4F"/>
    <w:rsid w:val="00D86D2C"/>
    <w:rsid w:val="00D870B1"/>
    <w:rsid w:val="00D871FC"/>
    <w:rsid w:val="00D87310"/>
    <w:rsid w:val="00D87447"/>
    <w:rsid w:val="00D87731"/>
    <w:rsid w:val="00D877BA"/>
    <w:rsid w:val="00D87849"/>
    <w:rsid w:val="00D90C26"/>
    <w:rsid w:val="00D916A2"/>
    <w:rsid w:val="00D91B77"/>
    <w:rsid w:val="00D91F98"/>
    <w:rsid w:val="00D91FE0"/>
    <w:rsid w:val="00D92032"/>
    <w:rsid w:val="00D92310"/>
    <w:rsid w:val="00D92311"/>
    <w:rsid w:val="00D92D00"/>
    <w:rsid w:val="00D931CB"/>
    <w:rsid w:val="00D93E50"/>
    <w:rsid w:val="00D9407A"/>
    <w:rsid w:val="00D9508A"/>
    <w:rsid w:val="00D96052"/>
    <w:rsid w:val="00D968C8"/>
    <w:rsid w:val="00D9690A"/>
    <w:rsid w:val="00D976A4"/>
    <w:rsid w:val="00D97D26"/>
    <w:rsid w:val="00D97EF8"/>
    <w:rsid w:val="00DA0FB5"/>
    <w:rsid w:val="00DA1504"/>
    <w:rsid w:val="00DA18AC"/>
    <w:rsid w:val="00DA1B14"/>
    <w:rsid w:val="00DA2401"/>
    <w:rsid w:val="00DA24E6"/>
    <w:rsid w:val="00DA25DA"/>
    <w:rsid w:val="00DA25F7"/>
    <w:rsid w:val="00DA29A9"/>
    <w:rsid w:val="00DA33B7"/>
    <w:rsid w:val="00DA3619"/>
    <w:rsid w:val="00DA457C"/>
    <w:rsid w:val="00DA47AC"/>
    <w:rsid w:val="00DA509D"/>
    <w:rsid w:val="00DA545F"/>
    <w:rsid w:val="00DA78B0"/>
    <w:rsid w:val="00DB0877"/>
    <w:rsid w:val="00DB2902"/>
    <w:rsid w:val="00DB29F7"/>
    <w:rsid w:val="00DB4DCC"/>
    <w:rsid w:val="00DB5410"/>
    <w:rsid w:val="00DB5658"/>
    <w:rsid w:val="00DB5734"/>
    <w:rsid w:val="00DB5857"/>
    <w:rsid w:val="00DB5A79"/>
    <w:rsid w:val="00DB5AF5"/>
    <w:rsid w:val="00DB5CFD"/>
    <w:rsid w:val="00DB7350"/>
    <w:rsid w:val="00DC03CF"/>
    <w:rsid w:val="00DC0C11"/>
    <w:rsid w:val="00DC32E6"/>
    <w:rsid w:val="00DC352F"/>
    <w:rsid w:val="00DC3754"/>
    <w:rsid w:val="00DC3F77"/>
    <w:rsid w:val="00DC650B"/>
    <w:rsid w:val="00DC6B08"/>
    <w:rsid w:val="00DC6D52"/>
    <w:rsid w:val="00DC70BD"/>
    <w:rsid w:val="00DD1066"/>
    <w:rsid w:val="00DD15D6"/>
    <w:rsid w:val="00DD160C"/>
    <w:rsid w:val="00DD1701"/>
    <w:rsid w:val="00DD32F6"/>
    <w:rsid w:val="00DD3B21"/>
    <w:rsid w:val="00DD5009"/>
    <w:rsid w:val="00DD53DA"/>
    <w:rsid w:val="00DD5462"/>
    <w:rsid w:val="00DD55CC"/>
    <w:rsid w:val="00DD7467"/>
    <w:rsid w:val="00DE0C24"/>
    <w:rsid w:val="00DE1D7F"/>
    <w:rsid w:val="00DE2F8E"/>
    <w:rsid w:val="00DE2FEE"/>
    <w:rsid w:val="00DE4B61"/>
    <w:rsid w:val="00DE5231"/>
    <w:rsid w:val="00DE5280"/>
    <w:rsid w:val="00DE55E2"/>
    <w:rsid w:val="00DE6414"/>
    <w:rsid w:val="00DE6E1A"/>
    <w:rsid w:val="00DE7803"/>
    <w:rsid w:val="00DF0302"/>
    <w:rsid w:val="00DF07C1"/>
    <w:rsid w:val="00DF0F7A"/>
    <w:rsid w:val="00DF1031"/>
    <w:rsid w:val="00DF20D7"/>
    <w:rsid w:val="00DF3073"/>
    <w:rsid w:val="00DF536E"/>
    <w:rsid w:val="00DF5BED"/>
    <w:rsid w:val="00DF672A"/>
    <w:rsid w:val="00DF76D7"/>
    <w:rsid w:val="00DF7C2E"/>
    <w:rsid w:val="00E002C0"/>
    <w:rsid w:val="00E007B7"/>
    <w:rsid w:val="00E0103B"/>
    <w:rsid w:val="00E0121D"/>
    <w:rsid w:val="00E03050"/>
    <w:rsid w:val="00E039BE"/>
    <w:rsid w:val="00E048FF"/>
    <w:rsid w:val="00E04AD9"/>
    <w:rsid w:val="00E04C4B"/>
    <w:rsid w:val="00E057D5"/>
    <w:rsid w:val="00E057E3"/>
    <w:rsid w:val="00E05AA4"/>
    <w:rsid w:val="00E06406"/>
    <w:rsid w:val="00E074BC"/>
    <w:rsid w:val="00E07547"/>
    <w:rsid w:val="00E078B5"/>
    <w:rsid w:val="00E10871"/>
    <w:rsid w:val="00E10E24"/>
    <w:rsid w:val="00E111B6"/>
    <w:rsid w:val="00E11279"/>
    <w:rsid w:val="00E11956"/>
    <w:rsid w:val="00E11E62"/>
    <w:rsid w:val="00E13609"/>
    <w:rsid w:val="00E13D25"/>
    <w:rsid w:val="00E1449C"/>
    <w:rsid w:val="00E14785"/>
    <w:rsid w:val="00E14939"/>
    <w:rsid w:val="00E15BCB"/>
    <w:rsid w:val="00E15D43"/>
    <w:rsid w:val="00E16ABD"/>
    <w:rsid w:val="00E20852"/>
    <w:rsid w:val="00E2181A"/>
    <w:rsid w:val="00E21A04"/>
    <w:rsid w:val="00E21FD6"/>
    <w:rsid w:val="00E22085"/>
    <w:rsid w:val="00E22A11"/>
    <w:rsid w:val="00E2357C"/>
    <w:rsid w:val="00E2367B"/>
    <w:rsid w:val="00E2402F"/>
    <w:rsid w:val="00E24BA8"/>
    <w:rsid w:val="00E24D54"/>
    <w:rsid w:val="00E25F02"/>
    <w:rsid w:val="00E2614D"/>
    <w:rsid w:val="00E26722"/>
    <w:rsid w:val="00E268A2"/>
    <w:rsid w:val="00E26B45"/>
    <w:rsid w:val="00E26BE3"/>
    <w:rsid w:val="00E274DF"/>
    <w:rsid w:val="00E30D07"/>
    <w:rsid w:val="00E31CD1"/>
    <w:rsid w:val="00E33883"/>
    <w:rsid w:val="00E33A90"/>
    <w:rsid w:val="00E33C4F"/>
    <w:rsid w:val="00E34DC0"/>
    <w:rsid w:val="00E36767"/>
    <w:rsid w:val="00E37C8A"/>
    <w:rsid w:val="00E40171"/>
    <w:rsid w:val="00E403B3"/>
    <w:rsid w:val="00E41194"/>
    <w:rsid w:val="00E419DB"/>
    <w:rsid w:val="00E41F37"/>
    <w:rsid w:val="00E431D0"/>
    <w:rsid w:val="00E44158"/>
    <w:rsid w:val="00E44CC0"/>
    <w:rsid w:val="00E506C6"/>
    <w:rsid w:val="00E50A76"/>
    <w:rsid w:val="00E50C89"/>
    <w:rsid w:val="00E51A22"/>
    <w:rsid w:val="00E51AF1"/>
    <w:rsid w:val="00E526CC"/>
    <w:rsid w:val="00E52F38"/>
    <w:rsid w:val="00E5338D"/>
    <w:rsid w:val="00E54A23"/>
    <w:rsid w:val="00E54F02"/>
    <w:rsid w:val="00E5595D"/>
    <w:rsid w:val="00E5666D"/>
    <w:rsid w:val="00E56A39"/>
    <w:rsid w:val="00E57BCD"/>
    <w:rsid w:val="00E57CBC"/>
    <w:rsid w:val="00E6014F"/>
    <w:rsid w:val="00E60A18"/>
    <w:rsid w:val="00E60FF0"/>
    <w:rsid w:val="00E6121D"/>
    <w:rsid w:val="00E6169A"/>
    <w:rsid w:val="00E62693"/>
    <w:rsid w:val="00E62E34"/>
    <w:rsid w:val="00E653D6"/>
    <w:rsid w:val="00E65D32"/>
    <w:rsid w:val="00E65F4B"/>
    <w:rsid w:val="00E66177"/>
    <w:rsid w:val="00E6643A"/>
    <w:rsid w:val="00E67B3B"/>
    <w:rsid w:val="00E67F87"/>
    <w:rsid w:val="00E700F3"/>
    <w:rsid w:val="00E709F2"/>
    <w:rsid w:val="00E7114A"/>
    <w:rsid w:val="00E71B6D"/>
    <w:rsid w:val="00E71CE4"/>
    <w:rsid w:val="00E722BE"/>
    <w:rsid w:val="00E73A77"/>
    <w:rsid w:val="00E73E07"/>
    <w:rsid w:val="00E749F4"/>
    <w:rsid w:val="00E75B9E"/>
    <w:rsid w:val="00E75E74"/>
    <w:rsid w:val="00E7634A"/>
    <w:rsid w:val="00E767C0"/>
    <w:rsid w:val="00E76D10"/>
    <w:rsid w:val="00E770F3"/>
    <w:rsid w:val="00E77D52"/>
    <w:rsid w:val="00E77E02"/>
    <w:rsid w:val="00E80268"/>
    <w:rsid w:val="00E83BAF"/>
    <w:rsid w:val="00E83D83"/>
    <w:rsid w:val="00E85DA3"/>
    <w:rsid w:val="00E861D2"/>
    <w:rsid w:val="00E8649D"/>
    <w:rsid w:val="00E913EB"/>
    <w:rsid w:val="00E91541"/>
    <w:rsid w:val="00E91E5B"/>
    <w:rsid w:val="00E92A25"/>
    <w:rsid w:val="00E92B71"/>
    <w:rsid w:val="00E93E20"/>
    <w:rsid w:val="00E93F11"/>
    <w:rsid w:val="00E94FE9"/>
    <w:rsid w:val="00E95443"/>
    <w:rsid w:val="00E954D1"/>
    <w:rsid w:val="00E956FE"/>
    <w:rsid w:val="00E95ACC"/>
    <w:rsid w:val="00E96A67"/>
    <w:rsid w:val="00E96C6E"/>
    <w:rsid w:val="00EA0681"/>
    <w:rsid w:val="00EA10D8"/>
    <w:rsid w:val="00EA16FB"/>
    <w:rsid w:val="00EA17D8"/>
    <w:rsid w:val="00EA1D65"/>
    <w:rsid w:val="00EA2D50"/>
    <w:rsid w:val="00EA38B5"/>
    <w:rsid w:val="00EA3F2C"/>
    <w:rsid w:val="00EA4BF1"/>
    <w:rsid w:val="00EA532A"/>
    <w:rsid w:val="00EA6246"/>
    <w:rsid w:val="00EA6920"/>
    <w:rsid w:val="00EA6952"/>
    <w:rsid w:val="00EB053A"/>
    <w:rsid w:val="00EB0685"/>
    <w:rsid w:val="00EB0D0B"/>
    <w:rsid w:val="00EB1104"/>
    <w:rsid w:val="00EB11F3"/>
    <w:rsid w:val="00EB1AF1"/>
    <w:rsid w:val="00EB2798"/>
    <w:rsid w:val="00EB3177"/>
    <w:rsid w:val="00EB3BC7"/>
    <w:rsid w:val="00EB4CED"/>
    <w:rsid w:val="00EB56A5"/>
    <w:rsid w:val="00EB6141"/>
    <w:rsid w:val="00EB6D11"/>
    <w:rsid w:val="00EC0C94"/>
    <w:rsid w:val="00EC1475"/>
    <w:rsid w:val="00EC23BC"/>
    <w:rsid w:val="00EC2EF8"/>
    <w:rsid w:val="00EC37FE"/>
    <w:rsid w:val="00EC4A32"/>
    <w:rsid w:val="00EC5456"/>
    <w:rsid w:val="00EC553B"/>
    <w:rsid w:val="00EC5613"/>
    <w:rsid w:val="00EC68A0"/>
    <w:rsid w:val="00EC7016"/>
    <w:rsid w:val="00EC72E7"/>
    <w:rsid w:val="00EC7764"/>
    <w:rsid w:val="00EC7D60"/>
    <w:rsid w:val="00ED0353"/>
    <w:rsid w:val="00ED11C5"/>
    <w:rsid w:val="00ED1D79"/>
    <w:rsid w:val="00ED20A6"/>
    <w:rsid w:val="00ED232B"/>
    <w:rsid w:val="00ED25E4"/>
    <w:rsid w:val="00ED2EB0"/>
    <w:rsid w:val="00ED338C"/>
    <w:rsid w:val="00ED374D"/>
    <w:rsid w:val="00ED3932"/>
    <w:rsid w:val="00ED4148"/>
    <w:rsid w:val="00ED4B91"/>
    <w:rsid w:val="00ED4CE9"/>
    <w:rsid w:val="00ED51AE"/>
    <w:rsid w:val="00ED520A"/>
    <w:rsid w:val="00ED5673"/>
    <w:rsid w:val="00ED58D4"/>
    <w:rsid w:val="00ED58DA"/>
    <w:rsid w:val="00ED5928"/>
    <w:rsid w:val="00ED5C99"/>
    <w:rsid w:val="00ED68A3"/>
    <w:rsid w:val="00ED69B5"/>
    <w:rsid w:val="00ED75CB"/>
    <w:rsid w:val="00ED75DE"/>
    <w:rsid w:val="00ED7B5F"/>
    <w:rsid w:val="00EE092D"/>
    <w:rsid w:val="00EE0DC4"/>
    <w:rsid w:val="00EE1447"/>
    <w:rsid w:val="00EE1D0C"/>
    <w:rsid w:val="00EE278D"/>
    <w:rsid w:val="00EE2B6E"/>
    <w:rsid w:val="00EE3159"/>
    <w:rsid w:val="00EE3619"/>
    <w:rsid w:val="00EE3959"/>
    <w:rsid w:val="00EE561F"/>
    <w:rsid w:val="00EE624C"/>
    <w:rsid w:val="00EE6575"/>
    <w:rsid w:val="00EE6C58"/>
    <w:rsid w:val="00EE7009"/>
    <w:rsid w:val="00EE7205"/>
    <w:rsid w:val="00EE7765"/>
    <w:rsid w:val="00EE7C05"/>
    <w:rsid w:val="00EF01F5"/>
    <w:rsid w:val="00EF099F"/>
    <w:rsid w:val="00EF0BF4"/>
    <w:rsid w:val="00EF0D7D"/>
    <w:rsid w:val="00EF17D1"/>
    <w:rsid w:val="00EF1873"/>
    <w:rsid w:val="00EF1964"/>
    <w:rsid w:val="00EF216F"/>
    <w:rsid w:val="00EF240B"/>
    <w:rsid w:val="00EF2741"/>
    <w:rsid w:val="00EF2857"/>
    <w:rsid w:val="00EF2C1B"/>
    <w:rsid w:val="00EF3193"/>
    <w:rsid w:val="00EF3C99"/>
    <w:rsid w:val="00EF4281"/>
    <w:rsid w:val="00EF599D"/>
    <w:rsid w:val="00EF5B6E"/>
    <w:rsid w:val="00EF6C33"/>
    <w:rsid w:val="00EF6C88"/>
    <w:rsid w:val="00EF6F5D"/>
    <w:rsid w:val="00F001E8"/>
    <w:rsid w:val="00F01126"/>
    <w:rsid w:val="00F013B9"/>
    <w:rsid w:val="00F0267D"/>
    <w:rsid w:val="00F026AA"/>
    <w:rsid w:val="00F0358A"/>
    <w:rsid w:val="00F041B5"/>
    <w:rsid w:val="00F04375"/>
    <w:rsid w:val="00F04BE1"/>
    <w:rsid w:val="00F05656"/>
    <w:rsid w:val="00F05CEA"/>
    <w:rsid w:val="00F06CAE"/>
    <w:rsid w:val="00F0730D"/>
    <w:rsid w:val="00F07EB5"/>
    <w:rsid w:val="00F103A6"/>
    <w:rsid w:val="00F1057E"/>
    <w:rsid w:val="00F11310"/>
    <w:rsid w:val="00F11320"/>
    <w:rsid w:val="00F11801"/>
    <w:rsid w:val="00F12430"/>
    <w:rsid w:val="00F15285"/>
    <w:rsid w:val="00F153D4"/>
    <w:rsid w:val="00F156A5"/>
    <w:rsid w:val="00F15FB2"/>
    <w:rsid w:val="00F16239"/>
    <w:rsid w:val="00F16F61"/>
    <w:rsid w:val="00F171C1"/>
    <w:rsid w:val="00F177F0"/>
    <w:rsid w:val="00F17E4A"/>
    <w:rsid w:val="00F17F75"/>
    <w:rsid w:val="00F2132F"/>
    <w:rsid w:val="00F23DC7"/>
    <w:rsid w:val="00F252E7"/>
    <w:rsid w:val="00F2741A"/>
    <w:rsid w:val="00F278AA"/>
    <w:rsid w:val="00F27CAA"/>
    <w:rsid w:val="00F30B5A"/>
    <w:rsid w:val="00F31AEB"/>
    <w:rsid w:val="00F323C2"/>
    <w:rsid w:val="00F32918"/>
    <w:rsid w:val="00F348DF"/>
    <w:rsid w:val="00F34C74"/>
    <w:rsid w:val="00F35A8D"/>
    <w:rsid w:val="00F35D94"/>
    <w:rsid w:val="00F368A3"/>
    <w:rsid w:val="00F37EA9"/>
    <w:rsid w:val="00F413A8"/>
    <w:rsid w:val="00F4178C"/>
    <w:rsid w:val="00F418A8"/>
    <w:rsid w:val="00F41BD9"/>
    <w:rsid w:val="00F41EC3"/>
    <w:rsid w:val="00F42925"/>
    <w:rsid w:val="00F42CDA"/>
    <w:rsid w:val="00F430BF"/>
    <w:rsid w:val="00F43942"/>
    <w:rsid w:val="00F43F60"/>
    <w:rsid w:val="00F44321"/>
    <w:rsid w:val="00F4470D"/>
    <w:rsid w:val="00F45167"/>
    <w:rsid w:val="00F4609D"/>
    <w:rsid w:val="00F46D32"/>
    <w:rsid w:val="00F47F71"/>
    <w:rsid w:val="00F51BAC"/>
    <w:rsid w:val="00F52643"/>
    <w:rsid w:val="00F53155"/>
    <w:rsid w:val="00F54988"/>
    <w:rsid w:val="00F54C8F"/>
    <w:rsid w:val="00F5556D"/>
    <w:rsid w:val="00F5589E"/>
    <w:rsid w:val="00F55952"/>
    <w:rsid w:val="00F55B5D"/>
    <w:rsid w:val="00F55CEE"/>
    <w:rsid w:val="00F56261"/>
    <w:rsid w:val="00F56F85"/>
    <w:rsid w:val="00F57910"/>
    <w:rsid w:val="00F6005A"/>
    <w:rsid w:val="00F6069B"/>
    <w:rsid w:val="00F6173E"/>
    <w:rsid w:val="00F62578"/>
    <w:rsid w:val="00F62926"/>
    <w:rsid w:val="00F6296B"/>
    <w:rsid w:val="00F62D1E"/>
    <w:rsid w:val="00F62D67"/>
    <w:rsid w:val="00F62E49"/>
    <w:rsid w:val="00F62F4E"/>
    <w:rsid w:val="00F63411"/>
    <w:rsid w:val="00F643F9"/>
    <w:rsid w:val="00F64C23"/>
    <w:rsid w:val="00F6500D"/>
    <w:rsid w:val="00F65426"/>
    <w:rsid w:val="00F657AA"/>
    <w:rsid w:val="00F664F6"/>
    <w:rsid w:val="00F66C47"/>
    <w:rsid w:val="00F671A8"/>
    <w:rsid w:val="00F6776E"/>
    <w:rsid w:val="00F70524"/>
    <w:rsid w:val="00F70EC1"/>
    <w:rsid w:val="00F71362"/>
    <w:rsid w:val="00F71FBC"/>
    <w:rsid w:val="00F730AB"/>
    <w:rsid w:val="00F732FE"/>
    <w:rsid w:val="00F736BC"/>
    <w:rsid w:val="00F73D78"/>
    <w:rsid w:val="00F73F15"/>
    <w:rsid w:val="00F746D7"/>
    <w:rsid w:val="00F74C55"/>
    <w:rsid w:val="00F7534F"/>
    <w:rsid w:val="00F75ADD"/>
    <w:rsid w:val="00F76390"/>
    <w:rsid w:val="00F76572"/>
    <w:rsid w:val="00F76A70"/>
    <w:rsid w:val="00F80BD9"/>
    <w:rsid w:val="00F83816"/>
    <w:rsid w:val="00F85666"/>
    <w:rsid w:val="00F85C91"/>
    <w:rsid w:val="00F8642D"/>
    <w:rsid w:val="00F86D19"/>
    <w:rsid w:val="00F8708C"/>
    <w:rsid w:val="00F900F0"/>
    <w:rsid w:val="00F9047C"/>
    <w:rsid w:val="00F90B52"/>
    <w:rsid w:val="00F91899"/>
    <w:rsid w:val="00F91BB9"/>
    <w:rsid w:val="00F9438A"/>
    <w:rsid w:val="00F944C1"/>
    <w:rsid w:val="00F947AC"/>
    <w:rsid w:val="00F9697A"/>
    <w:rsid w:val="00F96AFD"/>
    <w:rsid w:val="00F974B1"/>
    <w:rsid w:val="00FA0C0A"/>
    <w:rsid w:val="00FA0C9E"/>
    <w:rsid w:val="00FA1268"/>
    <w:rsid w:val="00FA1458"/>
    <w:rsid w:val="00FA1CD9"/>
    <w:rsid w:val="00FA298B"/>
    <w:rsid w:val="00FA3A44"/>
    <w:rsid w:val="00FA3C2A"/>
    <w:rsid w:val="00FA3CD5"/>
    <w:rsid w:val="00FA3DDA"/>
    <w:rsid w:val="00FA4E75"/>
    <w:rsid w:val="00FA518B"/>
    <w:rsid w:val="00FA565E"/>
    <w:rsid w:val="00FA5909"/>
    <w:rsid w:val="00FA78E6"/>
    <w:rsid w:val="00FB038F"/>
    <w:rsid w:val="00FB07C5"/>
    <w:rsid w:val="00FB1050"/>
    <w:rsid w:val="00FB119C"/>
    <w:rsid w:val="00FB1311"/>
    <w:rsid w:val="00FB1685"/>
    <w:rsid w:val="00FB202C"/>
    <w:rsid w:val="00FB25ED"/>
    <w:rsid w:val="00FB2931"/>
    <w:rsid w:val="00FB3538"/>
    <w:rsid w:val="00FB4485"/>
    <w:rsid w:val="00FB4934"/>
    <w:rsid w:val="00FB4A9E"/>
    <w:rsid w:val="00FB5AC1"/>
    <w:rsid w:val="00FB7362"/>
    <w:rsid w:val="00FC0317"/>
    <w:rsid w:val="00FC0440"/>
    <w:rsid w:val="00FC07F9"/>
    <w:rsid w:val="00FC275B"/>
    <w:rsid w:val="00FC2A27"/>
    <w:rsid w:val="00FC2C3D"/>
    <w:rsid w:val="00FC3385"/>
    <w:rsid w:val="00FC33AA"/>
    <w:rsid w:val="00FC35DE"/>
    <w:rsid w:val="00FC386D"/>
    <w:rsid w:val="00FC3BFF"/>
    <w:rsid w:val="00FC4964"/>
    <w:rsid w:val="00FC4DE4"/>
    <w:rsid w:val="00FD0AA2"/>
    <w:rsid w:val="00FD0FF6"/>
    <w:rsid w:val="00FD1C57"/>
    <w:rsid w:val="00FD213C"/>
    <w:rsid w:val="00FD21AD"/>
    <w:rsid w:val="00FD2CD8"/>
    <w:rsid w:val="00FD4044"/>
    <w:rsid w:val="00FD5B18"/>
    <w:rsid w:val="00FD693F"/>
    <w:rsid w:val="00FD79CB"/>
    <w:rsid w:val="00FD7BFB"/>
    <w:rsid w:val="00FD7EAF"/>
    <w:rsid w:val="00FE051C"/>
    <w:rsid w:val="00FE1034"/>
    <w:rsid w:val="00FE1349"/>
    <w:rsid w:val="00FE1501"/>
    <w:rsid w:val="00FE1B88"/>
    <w:rsid w:val="00FE2A30"/>
    <w:rsid w:val="00FE336F"/>
    <w:rsid w:val="00FE47F6"/>
    <w:rsid w:val="00FE4E67"/>
    <w:rsid w:val="00FE4EA7"/>
    <w:rsid w:val="00FE58AA"/>
    <w:rsid w:val="00FE63A0"/>
    <w:rsid w:val="00FE664E"/>
    <w:rsid w:val="00FE6DE6"/>
    <w:rsid w:val="00FF09A5"/>
    <w:rsid w:val="00FF11A0"/>
    <w:rsid w:val="00FF14F1"/>
    <w:rsid w:val="00FF14FE"/>
    <w:rsid w:val="00FF1BD3"/>
    <w:rsid w:val="00FF26F4"/>
    <w:rsid w:val="00FF2A1B"/>
    <w:rsid w:val="00FF390A"/>
    <w:rsid w:val="00FF457D"/>
    <w:rsid w:val="00FF4E23"/>
    <w:rsid w:val="00FF670C"/>
    <w:rsid w:val="00FF78D3"/>
    <w:rsid w:val="00FF79A4"/>
    <w:rsid w:val="013766F6"/>
    <w:rsid w:val="018ADD49"/>
    <w:rsid w:val="02806587"/>
    <w:rsid w:val="03062C6C"/>
    <w:rsid w:val="0323C31B"/>
    <w:rsid w:val="034F8F7B"/>
    <w:rsid w:val="036D0693"/>
    <w:rsid w:val="038C4985"/>
    <w:rsid w:val="03CAF2C1"/>
    <w:rsid w:val="04F1D2F8"/>
    <w:rsid w:val="05191280"/>
    <w:rsid w:val="051B50DA"/>
    <w:rsid w:val="059A1BFB"/>
    <w:rsid w:val="05A793B6"/>
    <w:rsid w:val="05C6C3F7"/>
    <w:rsid w:val="05D6873F"/>
    <w:rsid w:val="0609AF52"/>
    <w:rsid w:val="0639D3A0"/>
    <w:rsid w:val="067DEBEF"/>
    <w:rsid w:val="0734E3A3"/>
    <w:rsid w:val="07B1C7E8"/>
    <w:rsid w:val="07F178C9"/>
    <w:rsid w:val="08D2E42E"/>
    <w:rsid w:val="08FD135D"/>
    <w:rsid w:val="09AD71A9"/>
    <w:rsid w:val="09D6410C"/>
    <w:rsid w:val="0A7F126A"/>
    <w:rsid w:val="0AB64040"/>
    <w:rsid w:val="0ADA9066"/>
    <w:rsid w:val="0ADD475E"/>
    <w:rsid w:val="0B7722D0"/>
    <w:rsid w:val="0BC20277"/>
    <w:rsid w:val="0C6CEEAC"/>
    <w:rsid w:val="0D79F2A4"/>
    <w:rsid w:val="0DE2A33A"/>
    <w:rsid w:val="0E1C8EFA"/>
    <w:rsid w:val="0EF001A3"/>
    <w:rsid w:val="0F06D191"/>
    <w:rsid w:val="102FA384"/>
    <w:rsid w:val="105CC10A"/>
    <w:rsid w:val="109F02BB"/>
    <w:rsid w:val="10D6E43F"/>
    <w:rsid w:val="11265567"/>
    <w:rsid w:val="11417ACB"/>
    <w:rsid w:val="115223A6"/>
    <w:rsid w:val="1172F696"/>
    <w:rsid w:val="11954CD1"/>
    <w:rsid w:val="12128893"/>
    <w:rsid w:val="122E0176"/>
    <w:rsid w:val="1250C9E2"/>
    <w:rsid w:val="12E26701"/>
    <w:rsid w:val="1398028A"/>
    <w:rsid w:val="13E4189F"/>
    <w:rsid w:val="142217BD"/>
    <w:rsid w:val="145248C0"/>
    <w:rsid w:val="1515DE98"/>
    <w:rsid w:val="15802A61"/>
    <w:rsid w:val="15C8A385"/>
    <w:rsid w:val="15E08FB1"/>
    <w:rsid w:val="166B70EB"/>
    <w:rsid w:val="174C7837"/>
    <w:rsid w:val="1757B2C4"/>
    <w:rsid w:val="1773FB7C"/>
    <w:rsid w:val="178EA236"/>
    <w:rsid w:val="180E1F2B"/>
    <w:rsid w:val="1846C4F1"/>
    <w:rsid w:val="188260C6"/>
    <w:rsid w:val="18948153"/>
    <w:rsid w:val="189AE116"/>
    <w:rsid w:val="18BF5F1D"/>
    <w:rsid w:val="18CFE1CE"/>
    <w:rsid w:val="192932EB"/>
    <w:rsid w:val="19C17E99"/>
    <w:rsid w:val="1A13233C"/>
    <w:rsid w:val="1A21C433"/>
    <w:rsid w:val="1A4310A6"/>
    <w:rsid w:val="1BAAA210"/>
    <w:rsid w:val="1C1D2ADA"/>
    <w:rsid w:val="1CBA6D0D"/>
    <w:rsid w:val="1D0349F0"/>
    <w:rsid w:val="1D083C0A"/>
    <w:rsid w:val="1D1A4A61"/>
    <w:rsid w:val="1DB80874"/>
    <w:rsid w:val="1E4E2B83"/>
    <w:rsid w:val="1E59A48C"/>
    <w:rsid w:val="1EE9585E"/>
    <w:rsid w:val="1F2BFC1E"/>
    <w:rsid w:val="1F39D39E"/>
    <w:rsid w:val="1F49B02D"/>
    <w:rsid w:val="1FAE7984"/>
    <w:rsid w:val="1FC8159D"/>
    <w:rsid w:val="20481F58"/>
    <w:rsid w:val="2052CC12"/>
    <w:rsid w:val="20FB3056"/>
    <w:rsid w:val="2107F486"/>
    <w:rsid w:val="217A04EB"/>
    <w:rsid w:val="217B7288"/>
    <w:rsid w:val="219FDA6A"/>
    <w:rsid w:val="21D9FDBA"/>
    <w:rsid w:val="21FF4087"/>
    <w:rsid w:val="22262CDD"/>
    <w:rsid w:val="22B9BDDC"/>
    <w:rsid w:val="25095D21"/>
    <w:rsid w:val="254A674D"/>
    <w:rsid w:val="258130BA"/>
    <w:rsid w:val="264BBBD9"/>
    <w:rsid w:val="2656D71A"/>
    <w:rsid w:val="2659E216"/>
    <w:rsid w:val="26B3613F"/>
    <w:rsid w:val="27409C6F"/>
    <w:rsid w:val="27ECA3C3"/>
    <w:rsid w:val="28307660"/>
    <w:rsid w:val="285B41A3"/>
    <w:rsid w:val="2896397F"/>
    <w:rsid w:val="296CED92"/>
    <w:rsid w:val="29E88616"/>
    <w:rsid w:val="2B1DB6EB"/>
    <w:rsid w:val="2BBC43BE"/>
    <w:rsid w:val="2BD4F329"/>
    <w:rsid w:val="2BF03C8A"/>
    <w:rsid w:val="2CA7921C"/>
    <w:rsid w:val="2CFA788E"/>
    <w:rsid w:val="2D67AA4F"/>
    <w:rsid w:val="2D7C1C7B"/>
    <w:rsid w:val="2D826C94"/>
    <w:rsid w:val="2DA4EEAF"/>
    <w:rsid w:val="2DB3E22A"/>
    <w:rsid w:val="2DEB82F9"/>
    <w:rsid w:val="2E2CEA3A"/>
    <w:rsid w:val="2F17FE5C"/>
    <w:rsid w:val="2FC6DED9"/>
    <w:rsid w:val="2FE42E08"/>
    <w:rsid w:val="3031D0D9"/>
    <w:rsid w:val="3049C382"/>
    <w:rsid w:val="30DF1220"/>
    <w:rsid w:val="31B48EF1"/>
    <w:rsid w:val="325CE604"/>
    <w:rsid w:val="32BEDE67"/>
    <w:rsid w:val="32C5A194"/>
    <w:rsid w:val="32DE6F07"/>
    <w:rsid w:val="33025BA7"/>
    <w:rsid w:val="3379E013"/>
    <w:rsid w:val="3391CBB3"/>
    <w:rsid w:val="340A2E0B"/>
    <w:rsid w:val="341E90BB"/>
    <w:rsid w:val="34D1D3C0"/>
    <w:rsid w:val="34F25874"/>
    <w:rsid w:val="35D1467C"/>
    <w:rsid w:val="367641A7"/>
    <w:rsid w:val="3774595D"/>
    <w:rsid w:val="3776D1A1"/>
    <w:rsid w:val="37C1DE69"/>
    <w:rsid w:val="3842C218"/>
    <w:rsid w:val="3871E525"/>
    <w:rsid w:val="3900919D"/>
    <w:rsid w:val="3938AE65"/>
    <w:rsid w:val="396C09D2"/>
    <w:rsid w:val="398B3860"/>
    <w:rsid w:val="398B7D7C"/>
    <w:rsid w:val="39D1E74D"/>
    <w:rsid w:val="3A571659"/>
    <w:rsid w:val="3A923362"/>
    <w:rsid w:val="3AA6706F"/>
    <w:rsid w:val="3AC2BA3B"/>
    <w:rsid w:val="3BF36259"/>
    <w:rsid w:val="3CC839FF"/>
    <w:rsid w:val="3CFDB9DC"/>
    <w:rsid w:val="3D41346A"/>
    <w:rsid w:val="3D65D57A"/>
    <w:rsid w:val="3D957AC8"/>
    <w:rsid w:val="3E4811E2"/>
    <w:rsid w:val="3EAFC49C"/>
    <w:rsid w:val="3ED1DC85"/>
    <w:rsid w:val="3F6CA2AA"/>
    <w:rsid w:val="3FEAD8A7"/>
    <w:rsid w:val="401E172A"/>
    <w:rsid w:val="40354B31"/>
    <w:rsid w:val="404F42BD"/>
    <w:rsid w:val="40C69A9B"/>
    <w:rsid w:val="4215455F"/>
    <w:rsid w:val="42317E4D"/>
    <w:rsid w:val="4233F110"/>
    <w:rsid w:val="428BCC99"/>
    <w:rsid w:val="42E03CB5"/>
    <w:rsid w:val="43305111"/>
    <w:rsid w:val="4386F561"/>
    <w:rsid w:val="43A98A03"/>
    <w:rsid w:val="44B905B9"/>
    <w:rsid w:val="44BF88B5"/>
    <w:rsid w:val="45275483"/>
    <w:rsid w:val="45AAEC42"/>
    <w:rsid w:val="45B88E63"/>
    <w:rsid w:val="45F30D93"/>
    <w:rsid w:val="45FD3761"/>
    <w:rsid w:val="472ED164"/>
    <w:rsid w:val="4746CABD"/>
    <w:rsid w:val="4851D0A6"/>
    <w:rsid w:val="4887E38F"/>
    <w:rsid w:val="4945621B"/>
    <w:rsid w:val="497A1404"/>
    <w:rsid w:val="4A173E6A"/>
    <w:rsid w:val="4B471DB9"/>
    <w:rsid w:val="4B86CB9F"/>
    <w:rsid w:val="4BFF47C4"/>
    <w:rsid w:val="4C1A59B7"/>
    <w:rsid w:val="4C2F119A"/>
    <w:rsid w:val="4C338609"/>
    <w:rsid w:val="4C814944"/>
    <w:rsid w:val="4D7B7989"/>
    <w:rsid w:val="4D93C28D"/>
    <w:rsid w:val="4EA65502"/>
    <w:rsid w:val="4F286723"/>
    <w:rsid w:val="4F7249A3"/>
    <w:rsid w:val="4F956634"/>
    <w:rsid w:val="4FC662EF"/>
    <w:rsid w:val="508748E8"/>
    <w:rsid w:val="50E0273D"/>
    <w:rsid w:val="50F014E4"/>
    <w:rsid w:val="511A075D"/>
    <w:rsid w:val="512BD1F6"/>
    <w:rsid w:val="5148FCF2"/>
    <w:rsid w:val="51975440"/>
    <w:rsid w:val="51BBACFC"/>
    <w:rsid w:val="528D9424"/>
    <w:rsid w:val="52CCDF05"/>
    <w:rsid w:val="53037843"/>
    <w:rsid w:val="53222AE4"/>
    <w:rsid w:val="543088B7"/>
    <w:rsid w:val="54D7B8C3"/>
    <w:rsid w:val="54FD382E"/>
    <w:rsid w:val="551C31A9"/>
    <w:rsid w:val="555F089E"/>
    <w:rsid w:val="561BC4F7"/>
    <w:rsid w:val="5633FACF"/>
    <w:rsid w:val="573B1945"/>
    <w:rsid w:val="57CB12B5"/>
    <w:rsid w:val="57D8F0D1"/>
    <w:rsid w:val="58134430"/>
    <w:rsid w:val="58A04B6A"/>
    <w:rsid w:val="5997DB84"/>
    <w:rsid w:val="5AC372C3"/>
    <w:rsid w:val="5B174CDB"/>
    <w:rsid w:val="5B39704D"/>
    <w:rsid w:val="5B5CE5F9"/>
    <w:rsid w:val="5BEC7D80"/>
    <w:rsid w:val="5CCF0301"/>
    <w:rsid w:val="5D42E9AE"/>
    <w:rsid w:val="5D681844"/>
    <w:rsid w:val="5E00B6B0"/>
    <w:rsid w:val="5E18CE95"/>
    <w:rsid w:val="5E36BA5C"/>
    <w:rsid w:val="5E7E1236"/>
    <w:rsid w:val="5E91B4A5"/>
    <w:rsid w:val="5F4CCDC1"/>
    <w:rsid w:val="5F51EF95"/>
    <w:rsid w:val="5F65FB71"/>
    <w:rsid w:val="5F6A0BB9"/>
    <w:rsid w:val="5F885AE4"/>
    <w:rsid w:val="5FCAD332"/>
    <w:rsid w:val="611EC810"/>
    <w:rsid w:val="6133403B"/>
    <w:rsid w:val="6156D411"/>
    <w:rsid w:val="62661FE8"/>
    <w:rsid w:val="62BB73CC"/>
    <w:rsid w:val="62C19C3A"/>
    <w:rsid w:val="62ECE151"/>
    <w:rsid w:val="62FE230F"/>
    <w:rsid w:val="631B9713"/>
    <w:rsid w:val="6349A557"/>
    <w:rsid w:val="63751FB7"/>
    <w:rsid w:val="63AC9EF7"/>
    <w:rsid w:val="63D7D94C"/>
    <w:rsid w:val="64774DD8"/>
    <w:rsid w:val="647A218C"/>
    <w:rsid w:val="64ACA17F"/>
    <w:rsid w:val="651FDB26"/>
    <w:rsid w:val="65409C6E"/>
    <w:rsid w:val="65620B32"/>
    <w:rsid w:val="665E69C1"/>
    <w:rsid w:val="66FCA29C"/>
    <w:rsid w:val="676F2499"/>
    <w:rsid w:val="680F5046"/>
    <w:rsid w:val="681B986C"/>
    <w:rsid w:val="6828B004"/>
    <w:rsid w:val="691E5B28"/>
    <w:rsid w:val="69854C01"/>
    <w:rsid w:val="69A5D65E"/>
    <w:rsid w:val="69CEB997"/>
    <w:rsid w:val="6AABF58A"/>
    <w:rsid w:val="6B00191E"/>
    <w:rsid w:val="6B4AC743"/>
    <w:rsid w:val="6B81B5C1"/>
    <w:rsid w:val="6BCB32DD"/>
    <w:rsid w:val="6D040044"/>
    <w:rsid w:val="6D39E65B"/>
    <w:rsid w:val="6DB02DA7"/>
    <w:rsid w:val="6DDE2705"/>
    <w:rsid w:val="6DE504B4"/>
    <w:rsid w:val="6E40BA6E"/>
    <w:rsid w:val="6E528545"/>
    <w:rsid w:val="6E72A5EB"/>
    <w:rsid w:val="6E95507D"/>
    <w:rsid w:val="6EA7EAF6"/>
    <w:rsid w:val="6EDDA651"/>
    <w:rsid w:val="6F001856"/>
    <w:rsid w:val="6FB16A12"/>
    <w:rsid w:val="706673D1"/>
    <w:rsid w:val="70BE9ED6"/>
    <w:rsid w:val="71128822"/>
    <w:rsid w:val="7181A8DF"/>
    <w:rsid w:val="71C810F2"/>
    <w:rsid w:val="71F292BE"/>
    <w:rsid w:val="72819B31"/>
    <w:rsid w:val="72D82E08"/>
    <w:rsid w:val="733EDE49"/>
    <w:rsid w:val="734555D5"/>
    <w:rsid w:val="742B35D8"/>
    <w:rsid w:val="743C0FAA"/>
    <w:rsid w:val="74A3BC9E"/>
    <w:rsid w:val="74FC3091"/>
    <w:rsid w:val="7523145A"/>
    <w:rsid w:val="756C90B3"/>
    <w:rsid w:val="76B5D13F"/>
    <w:rsid w:val="76F32ED1"/>
    <w:rsid w:val="77221489"/>
    <w:rsid w:val="77AC80B9"/>
    <w:rsid w:val="77C4D344"/>
    <w:rsid w:val="77DC5388"/>
    <w:rsid w:val="7847F843"/>
    <w:rsid w:val="7878509C"/>
    <w:rsid w:val="7912F740"/>
    <w:rsid w:val="7935CBDB"/>
    <w:rsid w:val="79605A96"/>
    <w:rsid w:val="79B16BF1"/>
    <w:rsid w:val="79FC283E"/>
    <w:rsid w:val="7A0418D8"/>
    <w:rsid w:val="7A85540C"/>
    <w:rsid w:val="7AA24926"/>
    <w:rsid w:val="7B183638"/>
    <w:rsid w:val="7B741FA4"/>
    <w:rsid w:val="7BB16EB3"/>
    <w:rsid w:val="7C253837"/>
    <w:rsid w:val="7C8D9AD6"/>
    <w:rsid w:val="7CC9445D"/>
    <w:rsid w:val="7CF4CC1C"/>
    <w:rsid w:val="7D83F05C"/>
    <w:rsid w:val="7DE37CE3"/>
    <w:rsid w:val="7E12A103"/>
    <w:rsid w:val="7EBAF247"/>
    <w:rsid w:val="7EE00802"/>
    <w:rsid w:val="7F293C73"/>
    <w:rsid w:val="7F71CA66"/>
    <w:rsid w:val="7F9D47C2"/>
    <w:rsid w:val="7FB059A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08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E624C"/>
    <w:rPr>
      <w:color w:val="0000FF"/>
      <w:shd w:val="clear" w:color="auto" w:fill="auto"/>
    </w:rPr>
  </w:style>
  <w:style w:type="paragraph" w:styleId="Header">
    <w:name w:val="header"/>
    <w:basedOn w:val="Normal"/>
    <w:link w:val="HeaderChar"/>
    <w:uiPriority w:val="99"/>
    <w:unhideWhenUsed/>
    <w:rsid w:val="00EE6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4C"/>
  </w:style>
  <w:style w:type="paragraph" w:styleId="Footer">
    <w:name w:val="footer"/>
    <w:basedOn w:val="Normal"/>
    <w:link w:val="FooterChar"/>
    <w:uiPriority w:val="99"/>
    <w:unhideWhenUsed/>
    <w:rsid w:val="00EE6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4C"/>
  </w:style>
  <w:style w:type="paragraph" w:customStyle="1" w:styleId="Pagedecouverture">
    <w:name w:val="Page de couverture"/>
    <w:basedOn w:val="Normal"/>
    <w:next w:val="Normal"/>
    <w:rsid w:val="00EE624C"/>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EE624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E624C"/>
    <w:rPr>
      <w:rFonts w:ascii="Times New Roman" w:hAnsi="Times New Roman" w:cs="Times New Roman"/>
      <w:sz w:val="24"/>
    </w:rPr>
  </w:style>
  <w:style w:type="paragraph" w:customStyle="1" w:styleId="FooterSensitivity">
    <w:name w:val="Footer Sensitivity"/>
    <w:basedOn w:val="Normal"/>
    <w:link w:val="FooterSensitivityChar"/>
    <w:rsid w:val="00EE624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E624C"/>
    <w:rPr>
      <w:rFonts w:ascii="Times New Roman" w:hAnsi="Times New Roman" w:cs="Times New Roman"/>
      <w:b/>
      <w:sz w:val="32"/>
    </w:rPr>
  </w:style>
  <w:style w:type="paragraph" w:customStyle="1" w:styleId="HeaderCoverPage">
    <w:name w:val="Header Cover Page"/>
    <w:basedOn w:val="Normal"/>
    <w:link w:val="HeaderCoverPageChar"/>
    <w:rsid w:val="00EE624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E624C"/>
    <w:rPr>
      <w:rFonts w:ascii="Times New Roman" w:hAnsi="Times New Roman" w:cs="Times New Roman"/>
      <w:sz w:val="24"/>
    </w:rPr>
  </w:style>
  <w:style w:type="paragraph" w:customStyle="1" w:styleId="HeaderSensitivity">
    <w:name w:val="Header Sensitivity"/>
    <w:basedOn w:val="Normal"/>
    <w:link w:val="HeaderSensitivityChar"/>
    <w:rsid w:val="00EE624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E624C"/>
    <w:rPr>
      <w:rFonts w:ascii="Times New Roman" w:hAnsi="Times New Roman" w:cs="Times New Roman"/>
      <w:b/>
      <w:sz w:val="32"/>
    </w:rPr>
  </w:style>
  <w:style w:type="paragraph" w:customStyle="1" w:styleId="HeaderSensitivityRight">
    <w:name w:val="Header Sensitivity Right"/>
    <w:basedOn w:val="Normal"/>
    <w:link w:val="HeaderSensitivityRightChar"/>
    <w:rsid w:val="00EE624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E624C"/>
    <w:rPr>
      <w:rFonts w:ascii="Times New Roman" w:hAnsi="Times New Roman" w:cs="Times New Roman"/>
      <w:sz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ußnotentextf"/>
    <w:basedOn w:val="Normal"/>
    <w:link w:val="FootnoteTextChar"/>
    <w:uiPriority w:val="99"/>
    <w:unhideWhenUsed/>
    <w:qFormat/>
    <w:rsid w:val="00EE624C"/>
    <w:pPr>
      <w:spacing w:before="120" w:after="0" w:line="240" w:lineRule="auto"/>
    </w:pPr>
    <w:rPr>
      <w:kern w:val="0"/>
      <w:sz w:val="20"/>
      <w:szCs w:val="20"/>
      <w14:ligatures w14:val="none"/>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0EE624C"/>
    <w:rPr>
      <w:kern w:val="0"/>
      <w:sz w:val="20"/>
      <w:szCs w:val="20"/>
      <w:lang w:val="hu-HU"/>
      <w14:ligatures w14:val="none"/>
    </w:rPr>
  </w:style>
  <w:style w:type="paragraph" w:customStyle="1" w:styleId="FooterLine">
    <w:name w:val="Footer Line"/>
    <w:basedOn w:val="Footer"/>
    <w:next w:val="Footer"/>
    <w:uiPriority w:val="99"/>
    <w:rsid w:val="00EE624C"/>
    <w:pPr>
      <w:tabs>
        <w:tab w:val="clear" w:pos="4513"/>
        <w:tab w:val="clear" w:pos="9026"/>
        <w:tab w:val="center" w:pos="4535"/>
        <w:tab w:val="right" w:pos="8646"/>
        <w:tab w:val="right" w:pos="9071"/>
        <w:tab w:val="right" w:pos="9921"/>
      </w:tabs>
      <w:spacing w:before="360" w:line="264" w:lineRule="auto"/>
      <w:ind w:left="-850" w:right="-850"/>
      <w:jc w:val="both"/>
    </w:pPr>
    <w:rPr>
      <w:rFonts w:ascii="Times New Roman" w:eastAsia="Times New Roman" w:hAnsi="Times New Roman" w:cs="Times New Roman"/>
      <w:kern w:val="0"/>
      <w:sz w:val="16"/>
      <w:szCs w:val="20"/>
      <w14:ligatures w14:val="none"/>
    </w:rPr>
  </w:style>
  <w:style w:type="character" w:styleId="CommentReference">
    <w:name w:val="annotation reference"/>
    <w:basedOn w:val="DefaultParagraphFont"/>
    <w:uiPriority w:val="99"/>
    <w:unhideWhenUsed/>
    <w:rsid w:val="00EE624C"/>
    <w:rPr>
      <w:sz w:val="16"/>
      <w:szCs w:val="16"/>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EE624C"/>
    <w:rPr>
      <w:vertAlign w:val="superscript"/>
    </w:rPr>
  </w:style>
  <w:style w:type="character" w:styleId="Hyperlink">
    <w:name w:val="Hyperlink"/>
    <w:basedOn w:val="DefaultParagraphFont"/>
    <w:uiPriority w:val="99"/>
    <w:unhideWhenUsed/>
    <w:rsid w:val="00EE624C"/>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EE624C"/>
    <w:pPr>
      <w:spacing w:before="120" w:after="120" w:line="240" w:lineRule="auto"/>
      <w:ind w:left="720"/>
      <w:contextualSpacing/>
    </w:pPr>
    <w:rPr>
      <w:kern w:val="0"/>
      <w14:ligatures w14:val="none"/>
    </w:rPr>
  </w:style>
  <w:style w:type="paragraph" w:customStyle="1" w:styleId="CharCharChar1">
    <w:name w:val="Char Char Char1"/>
    <w:basedOn w:val="Normal"/>
    <w:link w:val="FootnoteReference"/>
    <w:uiPriority w:val="99"/>
    <w:rsid w:val="00EE624C"/>
    <w:pPr>
      <w:spacing w:line="240" w:lineRule="exact"/>
      <w:jc w:val="both"/>
    </w:pPr>
    <w:rPr>
      <w:vertAlign w:val="superscript"/>
    </w:rPr>
  </w:style>
  <w:style w:type="paragraph" w:customStyle="1" w:styleId="Text1">
    <w:name w:val="Text 1"/>
    <w:basedOn w:val="Normal"/>
    <w:rsid w:val="00EE624C"/>
    <w:pPr>
      <w:spacing w:after="240" w:line="240" w:lineRule="auto"/>
      <w:ind w:left="482"/>
      <w:jc w:val="both"/>
    </w:pPr>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uiPriority w:val="99"/>
    <w:semiHidden/>
    <w:unhideWhenUsed/>
    <w:rsid w:val="00EE624C"/>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E624C"/>
    <w:rPr>
      <w:rFonts w:ascii="Segoe UI" w:hAnsi="Segoe UI" w:cs="Segoe UI"/>
      <w:kern w:val="0"/>
      <w:sz w:val="18"/>
      <w:szCs w:val="18"/>
      <w:lang w:val="hu-HU"/>
      <w14:ligatures w14:val="none"/>
    </w:rPr>
  </w:style>
  <w:style w:type="paragraph" w:styleId="CommentText">
    <w:name w:val="annotation text"/>
    <w:basedOn w:val="Normal"/>
    <w:link w:val="CommentTextChar"/>
    <w:uiPriority w:val="99"/>
    <w:unhideWhenUsed/>
    <w:rsid w:val="00EE624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E624C"/>
    <w:rPr>
      <w:kern w:val="0"/>
      <w:sz w:val="20"/>
      <w:szCs w:val="20"/>
      <w:lang w:val="hu-HU"/>
      <w14:ligatures w14:val="none"/>
    </w:rPr>
  </w:style>
  <w:style w:type="paragraph" w:styleId="CommentSubject">
    <w:name w:val="annotation subject"/>
    <w:basedOn w:val="CommentText"/>
    <w:next w:val="CommentText"/>
    <w:link w:val="CommentSubjectChar"/>
    <w:uiPriority w:val="99"/>
    <w:semiHidden/>
    <w:unhideWhenUsed/>
    <w:rsid w:val="00EE624C"/>
    <w:rPr>
      <w:b/>
      <w:bCs/>
    </w:rPr>
  </w:style>
  <w:style w:type="character" w:customStyle="1" w:styleId="CommentSubjectChar">
    <w:name w:val="Comment Subject Char"/>
    <w:basedOn w:val="CommentTextChar"/>
    <w:link w:val="CommentSubject"/>
    <w:uiPriority w:val="99"/>
    <w:semiHidden/>
    <w:rsid w:val="00EE624C"/>
    <w:rPr>
      <w:b/>
      <w:bCs/>
      <w:kern w:val="0"/>
      <w:sz w:val="20"/>
      <w:szCs w:val="20"/>
      <w:lang w:val="hu-HU"/>
      <w14:ligatures w14:val="none"/>
    </w:rPr>
  </w:style>
  <w:style w:type="character" w:styleId="FollowedHyperlink">
    <w:name w:val="FollowedHyperlink"/>
    <w:basedOn w:val="DefaultParagraphFont"/>
    <w:uiPriority w:val="99"/>
    <w:semiHidden/>
    <w:unhideWhenUsed/>
    <w:rsid w:val="00EE624C"/>
    <w:rPr>
      <w:color w:val="954F72" w:themeColor="followedHyperlink"/>
      <w:u w:val="single"/>
    </w:rPr>
  </w:style>
  <w:style w:type="paragraph" w:styleId="Revision">
    <w:name w:val="Revision"/>
    <w:hidden/>
    <w:uiPriority w:val="99"/>
    <w:semiHidden/>
    <w:rsid w:val="00EE624C"/>
    <w:pPr>
      <w:spacing w:after="0" w:line="240" w:lineRule="auto"/>
    </w:pPr>
    <w:rPr>
      <w:kern w:val="0"/>
      <w14:ligatures w14:val="none"/>
    </w:rPr>
  </w:style>
  <w:style w:type="paragraph" w:customStyle="1" w:styleId="Normal1">
    <w:name w:val="Normal1"/>
    <w:basedOn w:val="Normal"/>
    <w:rsid w:val="00EE624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footnotereference0">
    <w:name w:val="footnotereference"/>
    <w:basedOn w:val="DefaultParagraphFont"/>
    <w:rsid w:val="00EE624C"/>
  </w:style>
  <w:style w:type="paragraph" w:styleId="NormalWeb">
    <w:name w:val="Normal (Web)"/>
    <w:basedOn w:val="Normal"/>
    <w:uiPriority w:val="99"/>
    <w:unhideWhenUsed/>
    <w:rsid w:val="00EE624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Emphasis">
    <w:name w:val="Emphasis"/>
    <w:basedOn w:val="DefaultParagraphFont"/>
    <w:uiPriority w:val="20"/>
    <w:qFormat/>
    <w:rsid w:val="00EE624C"/>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EE624C"/>
    <w:rPr>
      <w:kern w:val="0"/>
      <w:lang w:val="hu-HU"/>
      <w14:ligatures w14:val="non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qFormat/>
    <w:rsid w:val="00EE624C"/>
    <w:pPr>
      <w:spacing w:before="60" w:line="240" w:lineRule="exact"/>
      <w:jc w:val="both"/>
    </w:pPr>
    <w:rPr>
      <w:rFonts w:ascii="Verdana" w:eastAsia="Calibri" w:hAnsi="Verdana"/>
      <w:vertAlign w:val="superscript"/>
    </w:rPr>
  </w:style>
  <w:style w:type="character" w:styleId="Strong">
    <w:name w:val="Strong"/>
    <w:basedOn w:val="DefaultParagraphFont"/>
    <w:uiPriority w:val="22"/>
    <w:qFormat/>
    <w:rsid w:val="00EE624C"/>
    <w:rPr>
      <w:b/>
      <w:bCs/>
    </w:rPr>
  </w:style>
  <w:style w:type="paragraph" w:customStyle="1" w:styleId="Text2">
    <w:name w:val="Text 2"/>
    <w:basedOn w:val="Normal"/>
    <w:link w:val="Text2Char1"/>
    <w:uiPriority w:val="99"/>
    <w:qFormat/>
    <w:rsid w:val="00EE624C"/>
    <w:pPr>
      <w:tabs>
        <w:tab w:val="left" w:pos="2160"/>
      </w:tabs>
      <w:spacing w:after="200" w:line="276" w:lineRule="auto"/>
      <w:ind w:left="1077"/>
    </w:pPr>
    <w:rPr>
      <w:rFonts w:eastAsiaTheme="minorEastAsia"/>
      <w:kern w:val="0"/>
      <w14:ligatures w14:val="none"/>
    </w:rPr>
  </w:style>
  <w:style w:type="character" w:customStyle="1" w:styleId="Text2Char1">
    <w:name w:val="Text 2 Char1"/>
    <w:link w:val="Text2"/>
    <w:uiPriority w:val="99"/>
    <w:qFormat/>
    <w:rsid w:val="00EE624C"/>
    <w:rPr>
      <w:rFonts w:eastAsiaTheme="minorEastAsia"/>
      <w:kern w:val="0"/>
      <w:lang w:val="hu-HU"/>
      <w14:ligatures w14:val="none"/>
    </w:rPr>
  </w:style>
  <w:style w:type="paragraph" w:customStyle="1" w:styleId="CharCharChar">
    <w:name w:val="Char Char Char"/>
    <w:basedOn w:val="Normal"/>
    <w:rsid w:val="00EE624C"/>
    <w:pPr>
      <w:spacing w:after="0" w:line="240" w:lineRule="exact"/>
    </w:pPr>
    <w:rPr>
      <w:kern w:val="0"/>
      <w:vertAlign w:val="superscript"/>
      <w14:ligatures w14:val="none"/>
    </w:rPr>
  </w:style>
  <w:style w:type="paragraph" w:customStyle="1" w:styleId="title-bold">
    <w:name w:val="title-bold"/>
    <w:basedOn w:val="Normal"/>
    <w:rsid w:val="00EE624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IntenseEmphasis">
    <w:name w:val="Intense Emphasis"/>
    <w:uiPriority w:val="21"/>
    <w:qFormat/>
    <w:rsid w:val="00EE624C"/>
    <w:rPr>
      <w:b/>
      <w:bCs/>
      <w:i/>
      <w:iCs/>
      <w:color w:val="4F81BD"/>
    </w:rPr>
  </w:style>
  <w:style w:type="paragraph" w:customStyle="1" w:styleId="ELABody">
    <w:name w:val="ELA Body"/>
    <w:link w:val="ELABodyChar"/>
    <w:qFormat/>
    <w:rsid w:val="00EE624C"/>
    <w:pPr>
      <w:spacing w:after="180" w:line="300" w:lineRule="auto"/>
      <w:jc w:val="both"/>
    </w:pPr>
    <w:rPr>
      <w:rFonts w:ascii="Arial" w:hAnsi="Arial" w:cs="Open Sans Light"/>
      <w:color w:val="000000" w:themeColor="text1"/>
      <w:kern w:val="0"/>
      <w:szCs w:val="20"/>
      <w14:ligatures w14:val="none"/>
    </w:rPr>
  </w:style>
  <w:style w:type="character" w:customStyle="1" w:styleId="ELABodyChar">
    <w:name w:val="ELA Body Char"/>
    <w:basedOn w:val="DefaultParagraphFont"/>
    <w:link w:val="ELABody"/>
    <w:rsid w:val="00EE624C"/>
    <w:rPr>
      <w:rFonts w:ascii="Arial" w:hAnsi="Arial" w:cs="Open Sans Light"/>
      <w:color w:val="000000" w:themeColor="text1"/>
      <w:kern w:val="0"/>
      <w:szCs w:val="20"/>
      <w:lang w:val="hu-HU"/>
      <w14:ligatures w14:val="none"/>
    </w:rPr>
  </w:style>
  <w:style w:type="paragraph" w:customStyle="1" w:styleId="Normal2">
    <w:name w:val="Normal2"/>
    <w:basedOn w:val="Normal"/>
    <w:rsid w:val="00EE624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eu-LISAformaltext">
    <w:name w:val="eu-LISA_formal text"/>
    <w:link w:val="eu-LISAformaltextChar"/>
    <w:rsid w:val="00EE624C"/>
    <w:pPr>
      <w:autoSpaceDE w:val="0"/>
      <w:autoSpaceDN w:val="0"/>
      <w:spacing w:after="120" w:line="260" w:lineRule="exact"/>
      <w:ind w:left="737" w:right="737"/>
      <w:jc w:val="both"/>
    </w:pPr>
    <w:rPr>
      <w:rFonts w:ascii="Roboto" w:eastAsia="Times New Roman" w:hAnsi="Roboto" w:cs="LucidaBright"/>
      <w:color w:val="44546A" w:themeColor="text2"/>
      <w:kern w:val="0"/>
      <w:sz w:val="18"/>
      <w:szCs w:val="18"/>
      <w14:ligatures w14:val="none"/>
    </w:rPr>
  </w:style>
  <w:style w:type="character" w:customStyle="1" w:styleId="eu-LISAformaltextChar">
    <w:name w:val="eu-LISA_formal text Char"/>
    <w:link w:val="eu-LISAformaltext"/>
    <w:rsid w:val="00EE624C"/>
    <w:rPr>
      <w:rFonts w:ascii="Roboto" w:eastAsia="Times New Roman" w:hAnsi="Roboto" w:cs="LucidaBright"/>
      <w:color w:val="44546A" w:themeColor="text2"/>
      <w:kern w:val="0"/>
      <w:sz w:val="18"/>
      <w:szCs w:val="18"/>
      <w:lang w:val="hu-HU"/>
      <w14:ligatures w14:val="none"/>
    </w:rPr>
  </w:style>
  <w:style w:type="character" w:customStyle="1" w:styleId="Mention">
    <w:name w:val="Mention"/>
    <w:basedOn w:val="DefaultParagraphFont"/>
    <w:uiPriority w:val="99"/>
    <w:unhideWhenUsed/>
    <w:rsid w:val="00EE624C"/>
    <w:rPr>
      <w:color w:val="2B579A"/>
      <w:shd w:val="clear" w:color="auto" w:fill="E1DFDD"/>
    </w:rPr>
  </w:style>
  <w:style w:type="paragraph" w:customStyle="1" w:styleId="pf0">
    <w:name w:val="pf0"/>
    <w:basedOn w:val="Normal"/>
    <w:rsid w:val="00EE624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DefaultParagraphFont"/>
    <w:rsid w:val="00EE624C"/>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A0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936">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505899278">
      <w:bodyDiv w:val="1"/>
      <w:marLeft w:val="0"/>
      <w:marRight w:val="0"/>
      <w:marTop w:val="0"/>
      <w:marBottom w:val="0"/>
      <w:divBdr>
        <w:top w:val="none" w:sz="0" w:space="0" w:color="auto"/>
        <w:left w:val="none" w:sz="0" w:space="0" w:color="auto"/>
        <w:bottom w:val="none" w:sz="0" w:space="0" w:color="auto"/>
        <w:right w:val="none" w:sz="0" w:space="0" w:color="auto"/>
      </w:divBdr>
    </w:div>
    <w:div w:id="944843905">
      <w:bodyDiv w:val="1"/>
      <w:marLeft w:val="0"/>
      <w:marRight w:val="0"/>
      <w:marTop w:val="0"/>
      <w:marBottom w:val="0"/>
      <w:divBdr>
        <w:top w:val="none" w:sz="0" w:space="0" w:color="auto"/>
        <w:left w:val="none" w:sz="0" w:space="0" w:color="auto"/>
        <w:bottom w:val="none" w:sz="0" w:space="0" w:color="auto"/>
        <w:right w:val="none" w:sz="0" w:space="0" w:color="auto"/>
      </w:divBdr>
    </w:div>
    <w:div w:id="12941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ome-affairs.ec.europa.eu/system/files/2023-11/Call-to-action-global-alliance-to-counter-migrant-smuggling_en_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esscorner/detail/hu/ip_23_608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posts/european-labour-authority_euantitraffickingday-eulabourauthority-labourexploitation-activity-7120388378377760768-i8r9?utm_source=share&amp;utm_medium=member_android"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pol.europa.eu/media-press/newsroom/news/first-forensic-sprint-europol-to-speed-human-trafficking-investigations" TargetMode="External"/><Relationship Id="rId18" Type="http://schemas.openxmlformats.org/officeDocument/2006/relationships/hyperlink" Target="https://www.tdh.de/was-wir-tun/arbeitsfelder/kinderarbeit/" TargetMode="External"/><Relationship Id="rId26" Type="http://schemas.openxmlformats.org/officeDocument/2006/relationships/hyperlink" Target="https://www.europol.europa.eu/crime-areas-and-statistics/empact" TargetMode="External"/><Relationship Id="rId39" Type="http://schemas.openxmlformats.org/officeDocument/2006/relationships/hyperlink" Target="https://home-affairs.ec.europa.eu/whats-new/communication-campaigns/end-human-trafficking-break-invisible-chain_hu" TargetMode="External"/><Relationship Id="rId21" Type="http://schemas.openxmlformats.org/officeDocument/2006/relationships/hyperlink" Target="https://www.cncdh.fr/sites/default/files/2024-03/A%20-%202024%20-%202%20-%20Avis%20Contrainte%20%C3%A0%20commettre%20d%C3%A9lit%20ou%20crime%2C%20mars%202024.pdf" TargetMode="External"/><Relationship Id="rId34" Type="http://schemas.openxmlformats.org/officeDocument/2006/relationships/hyperlink" Target="https://ec.europa.eu/commission/presscorner/detail/hu/FS_23_5062" TargetMode="External"/><Relationship Id="rId42" Type="http://schemas.openxmlformats.org/officeDocument/2006/relationships/hyperlink" Target="https://www.ela.europa.eu/en/campaigns/road-fair-transport" TargetMode="External"/><Relationship Id="rId47" Type="http://schemas.openxmlformats.org/officeDocument/2006/relationships/hyperlink" Target="https://www.ela.europa.eu/en/campaigns/rights-all-seasons" TargetMode="External"/><Relationship Id="rId50" Type="http://schemas.openxmlformats.org/officeDocument/2006/relationships/hyperlink" Target="https://eur01.safelinks.protection.outlook.com/?url=https%3A%2F%2Fwww.egalite-femmes-hommes.gouv.fr%2Fcampagne-de-sensibilisation-lutter-contre-lachat-dactes-sexuels-et-la-traite-des-etres-humains&amp;data=05%7C02%7CZsuzsanna.FELKAI-JANSSEN%40ec.europa.eu%7C468587feb37f483d493308dc91d32910%7Cb24c8b06522c46fe908070926f8dddb1%7C1%7C0%7C638545583311308372%7CUnknown%7CTWFpbGZsb3d8eyJWIjoiMC4wLjAwMDAiLCJQIjoiV2luMzIiLCJBTiI6Ik1haWwiLCJXVCI6Mn0%3D%7C0%7C%7C%7C&amp;sdata=fy%2BGCU%2BfYQe7f3cvzPGT5Z8wv1Gf98SFtG5PqOpLYls%3D&amp;reserved=0" TargetMode="External"/><Relationship Id="rId55" Type="http://schemas.openxmlformats.org/officeDocument/2006/relationships/hyperlink" Target="https://ec.europa.eu/commission/presscorner/detail/hu/FS_23_5062" TargetMode="External"/><Relationship Id="rId63" Type="http://schemas.openxmlformats.org/officeDocument/2006/relationships/hyperlink" Target="https://eur-lex.europa.eu/legal-content/HU/TXT/?uri=CELEX:32024L1385" TargetMode="External"/><Relationship Id="rId68" Type="http://schemas.openxmlformats.org/officeDocument/2006/relationships/hyperlink" Target="https://eur-lex.europa.eu/legal-content/HU/TXT/?uri=CELEX%3A52023PC0755" TargetMode="External"/><Relationship Id="rId7" Type="http://schemas.openxmlformats.org/officeDocument/2006/relationships/hyperlink" Target="https://www.ilo.org/publications/major-publications/profits-and-poverty-economics-forced-labour" TargetMode="External"/><Relationship Id="rId71" Type="http://schemas.openxmlformats.org/officeDocument/2006/relationships/hyperlink" Target="https://home-affairs.ec.europa.eu/news/anti-trafficking-plan-protect-people-fleeing-war-ukraine-2022-05-11_en?prefLang=hu" TargetMode="External"/><Relationship Id="rId2" Type="http://schemas.openxmlformats.org/officeDocument/2006/relationships/hyperlink" Target="https://www.europol.europa.eu/publication-events/main-reports/decoding-eus-most-threatening-criminal-networks" TargetMode="External"/><Relationship Id="rId16" Type="http://schemas.openxmlformats.org/officeDocument/2006/relationships/hyperlink" Target="https://www.bka.de/SharedDocs/Downloads/DE/Publikationen/JahresberichteUndLagebilder/Menschenhandel/menschenhandelBundeslagebild2022.html?nn=27956" TargetMode="External"/><Relationship Id="rId29" Type="http://schemas.openxmlformats.org/officeDocument/2006/relationships/hyperlink" Target="https://www.eurojust.europa.eu/judicial-cooperation/instruments/joint-investigation-teams" TargetMode="External"/><Relationship Id="rId11" Type="http://schemas.openxmlformats.org/officeDocument/2006/relationships/hyperlink" Target="https://eur-lex.europa.eu/legal-content/HU/TXT/PDF/?uri=CELEX:52021DC0171&amp;from=HU" TargetMode="External"/><Relationship Id="rId24" Type="http://schemas.openxmlformats.org/officeDocument/2006/relationships/hyperlink" Target="https://ec.europa.eu/info/funding-tenders/opportunities/portal/screen/opportunities/projects-results?order=DESC&amp;pageNumber=1&amp;pageSize=50&amp;sortBy=title&amp;isExactMatch=true&amp;programmePeriod=2021%20-%202027&amp;frameworkProgramme=43252368&amp;topicAbbreviation=ISF-2022-TF1-AG-THB" TargetMode="External"/><Relationship Id="rId32" Type="http://schemas.openxmlformats.org/officeDocument/2006/relationships/hyperlink" Target="https://eur-lex.europa.eu/legal-content/HU/TXT/?uri=CELEX:32024L1760" TargetMode="External"/><Relationship Id="rId37" Type="http://schemas.openxmlformats.org/officeDocument/2006/relationships/hyperlink" Target="https://liste-noire.travail-emploi.gouv.fr/personnes-morales.html" TargetMode="External"/><Relationship Id="rId40" Type="http://schemas.openxmlformats.org/officeDocument/2006/relationships/hyperlink" Target="https://www.europol.europa.eu/operations-services-and-innovation/public-awareness-and-prevention-guides/how-not-to-fall-for-lover-boy-scam" TargetMode="External"/><Relationship Id="rId45" Type="http://schemas.openxmlformats.org/officeDocument/2006/relationships/hyperlink" Target="https://www.ela.europa.eu/en/campaigns/eu-fair-construction" TargetMode="External"/><Relationship Id="rId53" Type="http://schemas.openxmlformats.org/officeDocument/2006/relationships/hyperlink" Target="https://www.europol.europa.eu/publication-events/main-reports/decoding-eus-most-threatening-criminal-networks" TargetMode="External"/><Relationship Id="rId58" Type="http://schemas.openxmlformats.org/officeDocument/2006/relationships/hyperlink" Target="https://www.europol.europa.eu/operations-services-and-innovation/public-awareness-and-prevention-guides/how-to-spot-fake-job-adverts" TargetMode="External"/><Relationship Id="rId66" Type="http://schemas.openxmlformats.org/officeDocument/2006/relationships/hyperlink" Target="https://home-affairs.ec.europa.eu/news/eu-network-national-coordinators-and-rapporteurs-and-eu-civil-society-platform-join-efforts-against-2024-12-11_en" TargetMode="External"/><Relationship Id="rId74" Type="http://schemas.openxmlformats.org/officeDocument/2006/relationships/hyperlink" Target="https://ec.europa.eu/info/funding-tenders/opportunities/docs/2021-2027/isf/wp-call/2023-2025/call-fiche_isf-2024-tf2-ag-cop_en.pdf" TargetMode="External"/><Relationship Id="rId5" Type="http://schemas.openxmlformats.org/officeDocument/2006/relationships/hyperlink" Target="https://globalinitiative.net/analysis/ocindex-2023/" TargetMode="External"/><Relationship Id="rId15" Type="http://schemas.openxmlformats.org/officeDocument/2006/relationships/hyperlink" Target="https://www.myria.be/files/2023_MYRIA_Rapport_annuel_d%C3%A9valuation_Traite_et_trafic_des_%C3%AAtres_humains.pdf" TargetMode="External"/><Relationship Id="rId23" Type="http://schemas.openxmlformats.org/officeDocument/2006/relationships/hyperlink" Target="https://home-affairs.ec.europa.eu/funding/internal-security-funds/internal-security-fund-2021-2027_en?prefLang=hu" TargetMode="External"/><Relationship Id="rId28" Type="http://schemas.openxmlformats.org/officeDocument/2006/relationships/hyperlink" Target="https://www.eurojust.europa.eu/judicial-cooperation/instruments/joint-investigation-teams" TargetMode="External"/><Relationship Id="rId36" Type="http://schemas.openxmlformats.org/officeDocument/2006/relationships/hyperlink" Target="https://www.eucpn.org/document/european-crime-prevention-conference-2024" TargetMode="External"/><Relationship Id="rId49" Type="http://schemas.openxmlformats.org/officeDocument/2006/relationships/hyperlink" Target="https://eur01.safelinks.protection.outlook.com/?url=https%3A%2F%2Fwww.egalite-femmes-hommes.gouv.fr%2Fcampagne-de-sensibilisation-lutter-contre-lachat-dactes-sexuels-et-la-traite-des-etres-humains&amp;data=05%7C02%7CZsuzsanna.FELKAI-JANSSEN%40ec.europa.eu%7C468587feb37f483d493308dc91d32910%7Cb24c8b06522c46fe908070926f8dddb1%7C1%7C0%7C638545583311308372%7CUnknown%7CTWFpbGZsb3d8eyJWIjoiMC4wLjAwMDAiLCJQIjoiV2luMzIiLCJBTiI6Ik1haWwiLCJXVCI6Mn0%3D%7C0%7C%7C%7C&amp;sdata=fy%2BGCU%2BfYQe7f3cvzPGT5Z8wv1Gf98SFtG5PqOpLYls%3D&amp;reserved=0" TargetMode="External"/><Relationship Id="rId57" Type="http://schemas.openxmlformats.org/officeDocument/2006/relationships/hyperlink" Target="https://efippp.eu/" TargetMode="External"/><Relationship Id="rId61" Type="http://schemas.openxmlformats.org/officeDocument/2006/relationships/hyperlink" Target="https://home-affairs.ec.europa.eu/policies/schengen-borders-and-visa/schengen-information-system_hu" TargetMode="External"/><Relationship Id="rId10" Type="http://schemas.openxmlformats.org/officeDocument/2006/relationships/hyperlink" Target="https://eur-lex.europa.eu/legal-content/HU/TXT/?uri=CELEX:32011L0036" TargetMode="External"/><Relationship Id="rId19" Type="http://schemas.openxmlformats.org/officeDocument/2006/relationships/hyperlink" Target="https://www.europol.europa.eu/media-press/newsroom/news/human-trafficking-ring-exploiting-children-halted-in-serbia" TargetMode="External"/><Relationship Id="rId31" Type="http://schemas.openxmlformats.org/officeDocument/2006/relationships/hyperlink" Target="https://home-affairs.ec.europa.eu/policies/internal-security/organised-crime-and-human-trafficking/together-against-trafficking-human-beings/eu-anti-trafficking-coordinator_en?prefLang=hu" TargetMode="External"/><Relationship Id="rId44" Type="http://schemas.openxmlformats.org/officeDocument/2006/relationships/hyperlink" Target="https://www.ela.europa.eu/en/campaigns/eu-fair-construction" TargetMode="External"/><Relationship Id="rId52" Type="http://schemas.openxmlformats.org/officeDocument/2006/relationships/hyperlink" Target="https://ejtn.eu/" TargetMode="External"/><Relationship Id="rId60" Type="http://schemas.openxmlformats.org/officeDocument/2006/relationships/hyperlink" Target="https://eur-lex.europa.eu/legal-content/HU/TXT/?uri=CELEX:32024L1260" TargetMode="External"/><Relationship Id="rId65" Type="http://schemas.openxmlformats.org/officeDocument/2006/relationships/hyperlink" Target="https://home-affairs.ec.europa.eu/news/meeting-eu-network-national-rapporteurs-and-equivalent-mechanisms-against-trafficking-human-beings-2023-05-03_en?prefLang=hu" TargetMode="External"/><Relationship Id="rId73" Type="http://schemas.openxmlformats.org/officeDocument/2006/relationships/hyperlink" Target="https://www.consilium.europa.eu/hu/press/press-releases/2024/06/25/ukrainian-refugees-council-extends-temporary-protection-until-march-2026/" TargetMode="External"/><Relationship Id="rId4" Type="http://schemas.openxmlformats.org/officeDocument/2006/relationships/hyperlink" Target="https://globalinitiative.net/analysis/ocindex-2023/" TargetMode="External"/><Relationship Id="rId9" Type="http://schemas.openxmlformats.org/officeDocument/2006/relationships/hyperlink" Target="https://eur-lex.europa.eu/legal-content/HU/TXT/?uri=CELEX:32024L1712" TargetMode="External"/><Relationship Id="rId14" Type="http://schemas.openxmlformats.org/officeDocument/2006/relationships/hyperlink" Target="https://www.myria.be/files/2023_MYRIA_Rapport_annuel_d%C3%A9valuation_Traite_et_trafic_des_%C3%AAtres_humains.pdf" TargetMode="External"/><Relationship Id="rId22" Type="http://schemas.openxmlformats.org/officeDocument/2006/relationships/hyperlink" Target="https://home-affairs.ec.europa.eu/funding/asylum-migration-and-integration-funds/asylum-migration-and-integration-fund-2021-2027_en?prefLang=hu" TargetMode="External"/><Relationship Id="rId27" Type="http://schemas.openxmlformats.org/officeDocument/2006/relationships/hyperlink" Target="https://www.europol.europa.eu/crime-areas-and-statistics/empact" TargetMode="External"/><Relationship Id="rId30" Type="http://schemas.openxmlformats.org/officeDocument/2006/relationships/hyperlink" Target="https://www.eurojust.europa.eu/judicial-cooperation/instruments/joint-investigation-teams" TargetMode="External"/><Relationship Id="rId35" Type="http://schemas.openxmlformats.org/officeDocument/2006/relationships/hyperlink" Target="https://www.eucpn.org/document/european-crime-prevention-conference-2024" TargetMode="External"/><Relationship Id="rId43" Type="http://schemas.openxmlformats.org/officeDocument/2006/relationships/hyperlink" Target="https://www.ela.europa.eu/en/campaigns/road-fair-transport" TargetMode="External"/><Relationship Id="rId48" Type="http://schemas.openxmlformats.org/officeDocument/2006/relationships/hyperlink" Target="https://eur01.safelinks.protection.outlook.com/?url=https%3A%2F%2Fwww.egalite-femmes-hommes.gouv.fr%2Fcampagne-de-sensibilisation-lutter-contre-lachat-dactes-sexuels-et-la-traite-des-etres-humains&amp;data=05%7C02%7CZsuzsanna.FELKAI-JANSSEN%40ec.europa.eu%7C468587feb37f483d493308dc91d32910%7Cb24c8b06522c46fe908070926f8dddb1%7C1%7C0%7C638545583311308372%7CUnknown%7CTWFpbGZsb3d8eyJWIjoiMC4wLjAwMDAiLCJQIjoiV2luMzIiLCJBTiI6Ik1haWwiLCJXVCI6Mn0%3D%7C0%7C%7C%7C&amp;sdata=fy%2BGCU%2BfYQe7f3cvzPGT5Z8wv1Gf98SFtG5PqOpLYls%3D&amp;reserved=0" TargetMode="External"/><Relationship Id="rId56" Type="http://schemas.openxmlformats.org/officeDocument/2006/relationships/hyperlink" Target="https://www.consilium.europa.eu/media/3ulegcm5/empact-factsheets-2023.pdf" TargetMode="External"/><Relationship Id="rId64" Type="http://schemas.openxmlformats.org/officeDocument/2006/relationships/hyperlink" Target="https://eur-lex.europa.eu/legal-content/HU/TXT/?uri=CELEX:32024H1238" TargetMode="External"/><Relationship Id="rId69" Type="http://schemas.openxmlformats.org/officeDocument/2006/relationships/hyperlink" Target="https://eur-lex.europa.eu/legal-content/HU/TXT/?uri=CELEX%3A52023PC0755" TargetMode="External"/><Relationship Id="rId8" Type="http://schemas.openxmlformats.org/officeDocument/2006/relationships/hyperlink" Target="https://www.ilo.org/publications/major-publications/profits-and-poverty-economics-forced-labour" TargetMode="External"/><Relationship Id="rId51" Type="http://schemas.openxmlformats.org/officeDocument/2006/relationships/hyperlink" Target="https://fra.europa.eu/sites/default/files/fra_uploads/fra-2024-workplace-inspectors-training-manual_en_1.pdf" TargetMode="External"/><Relationship Id="rId72" Type="http://schemas.openxmlformats.org/officeDocument/2006/relationships/hyperlink" Target="https://www.consilium.europa.eu/hu/press/press-releases/2024/06/25/ukrainian-refugees-council-extends-temporary-protection-until-march-2026/" TargetMode="External"/><Relationship Id="rId3" Type="http://schemas.openxmlformats.org/officeDocument/2006/relationships/hyperlink" Target="https://www.unodc.org/unodc/en/data-and-analysis/glotip.html" TargetMode="External"/><Relationship Id="rId12" Type="http://schemas.openxmlformats.org/officeDocument/2006/relationships/hyperlink" Target="https://www.europol.europa.eu/media-press/newsroom/news/first-forensic-sprint-europol-to-speed-human-trafficking-investigations" TargetMode="External"/><Relationship Id="rId17" Type="http://schemas.openxmlformats.org/officeDocument/2006/relationships/hyperlink" Target="https://www.tdh.de/was-wir-tun/arbeitsfelder/kinderarbeit/" TargetMode="External"/><Relationship Id="rId25" Type="http://schemas.openxmlformats.org/officeDocument/2006/relationships/hyperlink" Target="https://data.consilium.europa.eu/doc/document/ST-8665-2021-INIT/hu/pdf" TargetMode="External"/><Relationship Id="rId33" Type="http://schemas.openxmlformats.org/officeDocument/2006/relationships/hyperlink" Target="http://data.europa.eu/eli/reg/2024/3015/oj" TargetMode="External"/><Relationship Id="rId38" Type="http://schemas.openxmlformats.org/officeDocument/2006/relationships/hyperlink" Target="https://home-affairs.ec.europa.eu/whats-new/communication-campaigns/end-human-trafficking-break-invisible-chain_hu" TargetMode="External"/><Relationship Id="rId46" Type="http://schemas.openxmlformats.org/officeDocument/2006/relationships/hyperlink" Target="https://www.ela.europa.eu/en/campaigns/rights-all-seasons" TargetMode="External"/><Relationship Id="rId59" Type="http://schemas.openxmlformats.org/officeDocument/2006/relationships/hyperlink" Target="https://www.europol.europa.eu/operations-services-and-innovation/public-awareness-and-prevention-guides/how-to-spot-fake-job-adverts" TargetMode="External"/><Relationship Id="rId67" Type="http://schemas.openxmlformats.org/officeDocument/2006/relationships/hyperlink" Target="https://www.europol.europa.eu/cms/sites/default/files/documents/Tackling_threats__addressing_challenges_-_Europol%E2%80%99s_response_to_migrant_smuggling_and_trafficking_in_human_beings_in_2023_and_onwards.pdf" TargetMode="External"/><Relationship Id="rId20" Type="http://schemas.openxmlformats.org/officeDocument/2006/relationships/hyperlink" Target="https://www.europol.europa.eu/media-press/newsroom/news/human-trafficking-ring-exploiting-children-halted-in-serbia" TargetMode="External"/><Relationship Id="rId41" Type="http://schemas.openxmlformats.org/officeDocument/2006/relationships/hyperlink" Target="https://www.europol.europa.eu/operations-services-and-innovation/public-awareness-and-prevention-guides/how-not-to-fall-for-lover-boy-scam" TargetMode="External"/><Relationship Id="rId54" Type="http://schemas.openxmlformats.org/officeDocument/2006/relationships/hyperlink" Target="https://www.europol.europa.eu/publication-events/main-reports/decoding-eus-most-threatening-criminal-networks" TargetMode="External"/><Relationship Id="rId62" Type="http://schemas.openxmlformats.org/officeDocument/2006/relationships/hyperlink" Target="https://eur-lex.europa.eu/legal-content/HU/TXT/?uri=CELEX:32023D0201" TargetMode="External"/><Relationship Id="rId70" Type="http://schemas.openxmlformats.org/officeDocument/2006/relationships/hyperlink" Target="https://eur-lex.europa.eu/legal-content/HU/TXT/?uri=CELEX%3A52023PC0754" TargetMode="External"/><Relationship Id="rId1" Type="http://schemas.openxmlformats.org/officeDocument/2006/relationships/hyperlink" Target="https://www.europol.europa.eu/publication-events/main-reports/decoding-eus-most-threatening-criminal-networks" TargetMode="External"/><Relationship Id="rId6" Type="http://schemas.openxmlformats.org/officeDocument/2006/relationships/hyperlink" Target="https://www.ilo.org/publications/major-publications/profits-and-poverty-economics-forced-la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9FCE-B74C-4DFD-9397-60585550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10956</Words>
  <Characters>62451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73261</CharactersWithSpaces>
  <SharedDoc>false</SharedDoc>
  <HLinks>
    <vt:vector size="270" baseType="variant">
      <vt:variant>
        <vt:i4>2228335</vt:i4>
      </vt:variant>
      <vt:variant>
        <vt:i4>0</vt:i4>
      </vt:variant>
      <vt:variant>
        <vt:i4>0</vt:i4>
      </vt:variant>
      <vt:variant>
        <vt:i4>5</vt:i4>
      </vt:variant>
      <vt:variant>
        <vt:lpwstr>https://www.linkedin.com/posts/european-labour-authority_euantitraffickingday-eulabourauthority-labourexploitation-activity-7120388378377760768-i8r9?utm_source=share&amp;utm_medium=member_android</vt:lpwstr>
      </vt:variant>
      <vt:variant>
        <vt:lpwstr/>
      </vt:variant>
      <vt:variant>
        <vt:i4>7929891</vt:i4>
      </vt:variant>
      <vt:variant>
        <vt:i4>126</vt:i4>
      </vt:variant>
      <vt:variant>
        <vt:i4>0</vt:i4>
      </vt:variant>
      <vt:variant>
        <vt:i4>5</vt:i4>
      </vt:variant>
      <vt:variant>
        <vt:lpwstr>https://ec.europa.eu/info/funding-tenders/opportunities/docs/2021-2027/isf/wp-call/2023-2025/call-fiche_isf-2024-tf2-ag-cop_en.pdf</vt:lpwstr>
      </vt:variant>
      <vt:variant>
        <vt:lpwstr/>
      </vt:variant>
      <vt:variant>
        <vt:i4>720970</vt:i4>
      </vt:variant>
      <vt:variant>
        <vt:i4>123</vt:i4>
      </vt:variant>
      <vt:variant>
        <vt:i4>0</vt:i4>
      </vt:variant>
      <vt:variant>
        <vt:i4>5</vt:i4>
      </vt:variant>
      <vt:variant>
        <vt:lpwstr>https://www.consilium.europa.eu/en/press/press-releases/2024/06/25/ukrainian-refugees-council-extends-temporary-protection-until-march-2026/</vt:lpwstr>
      </vt:variant>
      <vt:variant>
        <vt:lpwstr/>
      </vt:variant>
      <vt:variant>
        <vt:i4>5963901</vt:i4>
      </vt:variant>
      <vt:variant>
        <vt:i4>120</vt:i4>
      </vt:variant>
      <vt:variant>
        <vt:i4>0</vt:i4>
      </vt:variant>
      <vt:variant>
        <vt:i4>5</vt:i4>
      </vt:variant>
      <vt:variant>
        <vt:lpwstr>https://home-affairs.ec.europa.eu/news/anti-trafficking-plan-protect-people-fleeing-war-ukraine-2022-05-11_en</vt:lpwstr>
      </vt:variant>
      <vt:variant>
        <vt:lpwstr>:~:text=The%20Common%20Anti-Trafficking%20plan%20delivers%20one%20of%20the,Beings%20and%20carefully%20follows%20the%20EU%20Anti-trafficking%20Directive.</vt:lpwstr>
      </vt:variant>
      <vt:variant>
        <vt:i4>7274531</vt:i4>
      </vt:variant>
      <vt:variant>
        <vt:i4>117</vt:i4>
      </vt:variant>
      <vt:variant>
        <vt:i4>0</vt:i4>
      </vt:variant>
      <vt:variant>
        <vt:i4>5</vt:i4>
      </vt:variant>
      <vt:variant>
        <vt:lpwstr>https://eur-lex.europa.eu/legal-content/EN/TXT/?uri=CELEX%3A52023PC0754</vt:lpwstr>
      </vt:variant>
      <vt:variant>
        <vt:lpwstr/>
      </vt:variant>
      <vt:variant>
        <vt:i4>3473501</vt:i4>
      </vt:variant>
      <vt:variant>
        <vt:i4>114</vt:i4>
      </vt:variant>
      <vt:variant>
        <vt:i4>0</vt:i4>
      </vt:variant>
      <vt:variant>
        <vt:i4>5</vt:i4>
      </vt:variant>
      <vt:variant>
        <vt:lpwstr>https://home-affairs.ec.europa.eu/news/meeting-eu-network-national-rapporteurs-and-equivalent-mechanisms-against-trafficking-human-beings-2023-05-03_en</vt:lpwstr>
      </vt:variant>
      <vt:variant>
        <vt:lpwstr/>
      </vt:variant>
      <vt:variant>
        <vt:i4>7340159</vt:i4>
      </vt:variant>
      <vt:variant>
        <vt:i4>111</vt:i4>
      </vt:variant>
      <vt:variant>
        <vt:i4>0</vt:i4>
      </vt:variant>
      <vt:variant>
        <vt:i4>5</vt:i4>
      </vt:variant>
      <vt:variant>
        <vt:lpwstr>https://eur-lex.europa.eu/legal-content/EN/TXT/?uri=CELEX%3A32024L1385</vt:lpwstr>
      </vt:variant>
      <vt:variant>
        <vt:lpwstr/>
      </vt:variant>
      <vt:variant>
        <vt:i4>4259888</vt:i4>
      </vt:variant>
      <vt:variant>
        <vt:i4>108</vt:i4>
      </vt:variant>
      <vt:variant>
        <vt:i4>0</vt:i4>
      </vt:variant>
      <vt:variant>
        <vt:i4>5</vt:i4>
      </vt:variant>
      <vt:variant>
        <vt:lpwstr>https://commission.europa.eu/system/files/2023-07/COM_2023_424_1_EN_ACT_part1_v7.pdf</vt:lpwstr>
      </vt:variant>
      <vt:variant>
        <vt:lpwstr/>
      </vt:variant>
      <vt:variant>
        <vt:i4>2097233</vt:i4>
      </vt:variant>
      <vt:variant>
        <vt:i4>105</vt:i4>
      </vt:variant>
      <vt:variant>
        <vt:i4>0</vt:i4>
      </vt:variant>
      <vt:variant>
        <vt:i4>5</vt:i4>
      </vt:variant>
      <vt:variant>
        <vt:lpwstr>https://home-affairs.ec.europa.eu/policies/schengen-borders-and-visa/schengen-information-system_en</vt:lpwstr>
      </vt:variant>
      <vt:variant>
        <vt:lpwstr/>
      </vt:variant>
      <vt:variant>
        <vt:i4>7602289</vt:i4>
      </vt:variant>
      <vt:variant>
        <vt:i4>102</vt:i4>
      </vt:variant>
      <vt:variant>
        <vt:i4>0</vt:i4>
      </vt:variant>
      <vt:variant>
        <vt:i4>5</vt:i4>
      </vt:variant>
      <vt:variant>
        <vt:lpwstr>https://eur-lex.europa.eu/legal-content/EN/TXT/?uri=CELEX%3A32024L1260</vt:lpwstr>
      </vt:variant>
      <vt:variant>
        <vt:lpwstr/>
      </vt:variant>
      <vt:variant>
        <vt:i4>3276907</vt:i4>
      </vt:variant>
      <vt:variant>
        <vt:i4>99</vt:i4>
      </vt:variant>
      <vt:variant>
        <vt:i4>0</vt:i4>
      </vt:variant>
      <vt:variant>
        <vt:i4>5</vt:i4>
      </vt:variant>
      <vt:variant>
        <vt:lpwstr>https://www.europol.europa.eu/operations-services-and-innovation/public-awareness-and-prevention-guides/how-to-spot-fake-job-adverts</vt:lpwstr>
      </vt:variant>
      <vt:variant>
        <vt:lpwstr>:~:text=Do%20a%20background%20check%20of,too%20good%20to%20be%20true%3F</vt:lpwstr>
      </vt:variant>
      <vt:variant>
        <vt:i4>3997799</vt:i4>
      </vt:variant>
      <vt:variant>
        <vt:i4>96</vt:i4>
      </vt:variant>
      <vt:variant>
        <vt:i4>0</vt:i4>
      </vt:variant>
      <vt:variant>
        <vt:i4>5</vt:i4>
      </vt:variant>
      <vt:variant>
        <vt:lpwstr>https://efippp.eu/</vt:lpwstr>
      </vt:variant>
      <vt:variant>
        <vt:lpwstr/>
      </vt:variant>
      <vt:variant>
        <vt:i4>5046351</vt:i4>
      </vt:variant>
      <vt:variant>
        <vt:i4>93</vt:i4>
      </vt:variant>
      <vt:variant>
        <vt:i4>0</vt:i4>
      </vt:variant>
      <vt:variant>
        <vt:i4>5</vt:i4>
      </vt:variant>
      <vt:variant>
        <vt:lpwstr>https://www.consilium.europa.eu/media/3ulegcm5/empact-factsheets-2023.pdf</vt:lpwstr>
      </vt:variant>
      <vt:variant>
        <vt:lpwstr/>
      </vt:variant>
      <vt:variant>
        <vt:i4>720925</vt:i4>
      </vt:variant>
      <vt:variant>
        <vt:i4>90</vt:i4>
      </vt:variant>
      <vt:variant>
        <vt:i4>0</vt:i4>
      </vt:variant>
      <vt:variant>
        <vt:i4>5</vt:i4>
      </vt:variant>
      <vt:variant>
        <vt:lpwstr>https://www.europol.europa.eu/publication-events/main-reports/decoding-eus-most-threatening-criminal-networks</vt:lpwstr>
      </vt:variant>
      <vt:variant>
        <vt:lpwstr/>
      </vt:variant>
      <vt:variant>
        <vt:i4>6225930</vt:i4>
      </vt:variant>
      <vt:variant>
        <vt:i4>87</vt:i4>
      </vt:variant>
      <vt:variant>
        <vt:i4>0</vt:i4>
      </vt:variant>
      <vt:variant>
        <vt:i4>5</vt:i4>
      </vt:variant>
      <vt:variant>
        <vt:lpwstr>https://ejtn.eu/</vt:lpwstr>
      </vt:variant>
      <vt:variant>
        <vt:lpwstr/>
      </vt:variant>
      <vt:variant>
        <vt:i4>2621547</vt:i4>
      </vt:variant>
      <vt:variant>
        <vt:i4>84</vt:i4>
      </vt:variant>
      <vt:variant>
        <vt:i4>0</vt:i4>
      </vt:variant>
      <vt:variant>
        <vt:i4>5</vt:i4>
      </vt:variant>
      <vt:variant>
        <vt:lpwstr>https://eur01.safelinks.protection.outlook.com/?url=https%3A%2F%2Fwww.egalite-femmes-hommes.gouv.fr%2Fcampagne-de-sensibilisation-lutter-contre-lachat-dactes-sexuels-et-la-traite-des-etres-humains&amp;data=05%7C02%7CZsuzsanna.FELKAI-JANSSEN%40ec.europa.eu%7C468587feb37f483d493308dc91d32910%7Cb24c8b06522c46fe908070926f8dddb1%7C1%7C0%7C638545583311308372%7CUnknown%7CTWFpbGZsb3d8eyJWIjoiMC4wLjAwMDAiLCJQIjoiV2luMzIiLCJBTiI6Ik1haWwiLCJXVCI6Mn0%3D%7C0%7C%7C%7C&amp;sdata=fy%2BGCU%2BfYQe7f3cvzPGT5Z8wv1Gf98SFtG5PqOpLYls%3D&amp;reserved=0</vt:lpwstr>
      </vt:variant>
      <vt:variant>
        <vt:lpwstr/>
      </vt:variant>
      <vt:variant>
        <vt:i4>5963785</vt:i4>
      </vt:variant>
      <vt:variant>
        <vt:i4>81</vt:i4>
      </vt:variant>
      <vt:variant>
        <vt:i4>0</vt:i4>
      </vt:variant>
      <vt:variant>
        <vt:i4>5</vt:i4>
      </vt:variant>
      <vt:variant>
        <vt:lpwstr>https://www.ela.europa.eu/en/campaigns/rights-all-seasons</vt:lpwstr>
      </vt:variant>
      <vt:variant>
        <vt:lpwstr/>
      </vt:variant>
      <vt:variant>
        <vt:i4>6422584</vt:i4>
      </vt:variant>
      <vt:variant>
        <vt:i4>78</vt:i4>
      </vt:variant>
      <vt:variant>
        <vt:i4>0</vt:i4>
      </vt:variant>
      <vt:variant>
        <vt:i4>5</vt:i4>
      </vt:variant>
      <vt:variant>
        <vt:lpwstr>https://www.ela.europa.eu/en/campaigns/eu-fair-construction</vt:lpwstr>
      </vt:variant>
      <vt:variant>
        <vt:lpwstr/>
      </vt:variant>
      <vt:variant>
        <vt:i4>8257596</vt:i4>
      </vt:variant>
      <vt:variant>
        <vt:i4>75</vt:i4>
      </vt:variant>
      <vt:variant>
        <vt:i4>0</vt:i4>
      </vt:variant>
      <vt:variant>
        <vt:i4>5</vt:i4>
      </vt:variant>
      <vt:variant>
        <vt:lpwstr>https://www.ela.europa.eu/en/campaigns/road-fair-transport</vt:lpwstr>
      </vt:variant>
      <vt:variant>
        <vt:lpwstr/>
      </vt:variant>
      <vt:variant>
        <vt:i4>2359417</vt:i4>
      </vt:variant>
      <vt:variant>
        <vt:i4>72</vt:i4>
      </vt:variant>
      <vt:variant>
        <vt:i4>0</vt:i4>
      </vt:variant>
      <vt:variant>
        <vt:i4>5</vt:i4>
      </vt:variant>
      <vt:variant>
        <vt:lpwstr>https://www.europol.europa.eu/operations-services-and-innovation/public-awareness-and-prevention-guides/how-not-to-fall-for-lover-boy-scam</vt:lpwstr>
      </vt:variant>
      <vt:variant>
        <vt:lpwstr/>
      </vt:variant>
      <vt:variant>
        <vt:i4>589925</vt:i4>
      </vt:variant>
      <vt:variant>
        <vt:i4>69</vt:i4>
      </vt:variant>
      <vt:variant>
        <vt:i4>0</vt:i4>
      </vt:variant>
      <vt:variant>
        <vt:i4>5</vt:i4>
      </vt:variant>
      <vt:variant>
        <vt:lpwstr>https://home-affairs.ec.europa.eu/whats-new/communication-campaigns/end-human-trafficking-break-invisible-chain_en</vt:lpwstr>
      </vt:variant>
      <vt:variant>
        <vt:lpwstr/>
      </vt:variant>
      <vt:variant>
        <vt:i4>65605</vt:i4>
      </vt:variant>
      <vt:variant>
        <vt:i4>66</vt:i4>
      </vt:variant>
      <vt:variant>
        <vt:i4>0</vt:i4>
      </vt:variant>
      <vt:variant>
        <vt:i4>5</vt:i4>
      </vt:variant>
      <vt:variant>
        <vt:lpwstr>https://liste-noire.travail-emploi.gouv.fr/personnes-morales.html</vt:lpwstr>
      </vt:variant>
      <vt:variant>
        <vt:lpwstr/>
      </vt:variant>
      <vt:variant>
        <vt:i4>8257640</vt:i4>
      </vt:variant>
      <vt:variant>
        <vt:i4>63</vt:i4>
      </vt:variant>
      <vt:variant>
        <vt:i4>0</vt:i4>
      </vt:variant>
      <vt:variant>
        <vt:i4>5</vt:i4>
      </vt:variant>
      <vt:variant>
        <vt:lpwstr>https://ec.europa.eu/commission/presscorner/detail/en/FS_23_5062</vt:lpwstr>
      </vt:variant>
      <vt:variant>
        <vt:lpwstr/>
      </vt:variant>
      <vt:variant>
        <vt:i4>2621446</vt:i4>
      </vt:variant>
      <vt:variant>
        <vt:i4>60</vt:i4>
      </vt:variant>
      <vt:variant>
        <vt:i4>0</vt:i4>
      </vt:variant>
      <vt:variant>
        <vt:i4>5</vt:i4>
      </vt:variant>
      <vt:variant>
        <vt:lpwstr>https://single-market-economy.ec.europa.eu/document/785da6ff-abe3-43f7-a693-1185c96e930e_en</vt:lpwstr>
      </vt:variant>
      <vt:variant>
        <vt:lpwstr/>
      </vt:variant>
      <vt:variant>
        <vt:i4>7274508</vt:i4>
      </vt:variant>
      <vt:variant>
        <vt:i4>57</vt:i4>
      </vt:variant>
      <vt:variant>
        <vt:i4>0</vt:i4>
      </vt:variant>
      <vt:variant>
        <vt:i4>5</vt:i4>
      </vt:variant>
      <vt:variant>
        <vt:lpwstr>https://eur-lex.europa.eu/legal-content/EN/TXT/?uri=OJ:L_202401760</vt:lpwstr>
      </vt:variant>
      <vt:variant>
        <vt:lpwstr/>
      </vt:variant>
      <vt:variant>
        <vt:i4>4784128</vt:i4>
      </vt:variant>
      <vt:variant>
        <vt:i4>54</vt:i4>
      </vt:variant>
      <vt:variant>
        <vt:i4>0</vt:i4>
      </vt:variant>
      <vt:variant>
        <vt:i4>5</vt:i4>
      </vt:variant>
      <vt:variant>
        <vt:lpwstr>https://eur-lex.europa.eu/legal-content/EN/TXT/?uri=CELEX%3A32022R2065&amp;qid=1666939055704</vt:lpwstr>
      </vt:variant>
      <vt:variant>
        <vt:lpwstr/>
      </vt:variant>
      <vt:variant>
        <vt:i4>7471173</vt:i4>
      </vt:variant>
      <vt:variant>
        <vt:i4>51</vt:i4>
      </vt:variant>
      <vt:variant>
        <vt:i4>0</vt:i4>
      </vt:variant>
      <vt:variant>
        <vt:i4>5</vt:i4>
      </vt:variant>
      <vt:variant>
        <vt:lpwstr>https://home-affairs.ec.europa.eu/policies/internal-security/organised-crime-and-human-trafficking/together-against-trafficking-human-beings/eu-anti-trafficking-coordinator_en</vt:lpwstr>
      </vt:variant>
      <vt:variant>
        <vt:lpwstr/>
      </vt:variant>
      <vt:variant>
        <vt:i4>4980830</vt:i4>
      </vt:variant>
      <vt:variant>
        <vt:i4>48</vt:i4>
      </vt:variant>
      <vt:variant>
        <vt:i4>0</vt:i4>
      </vt:variant>
      <vt:variant>
        <vt:i4>5</vt:i4>
      </vt:variant>
      <vt:variant>
        <vt:lpwstr>https://www.eurojust.europa.eu/judicial-cooperation/instruments/joint-investigation-teams</vt:lpwstr>
      </vt:variant>
      <vt:variant>
        <vt:lpwstr/>
      </vt:variant>
      <vt:variant>
        <vt:i4>7471141</vt:i4>
      </vt:variant>
      <vt:variant>
        <vt:i4>45</vt:i4>
      </vt:variant>
      <vt:variant>
        <vt:i4>0</vt:i4>
      </vt:variant>
      <vt:variant>
        <vt:i4>5</vt:i4>
      </vt:variant>
      <vt:variant>
        <vt:lpwstr>https://www.europol.europa.eu/crime-areas-and-statistics/empact</vt:lpwstr>
      </vt:variant>
      <vt:variant>
        <vt:lpwstr/>
      </vt:variant>
      <vt:variant>
        <vt:i4>6291563</vt:i4>
      </vt:variant>
      <vt:variant>
        <vt:i4>42</vt:i4>
      </vt:variant>
      <vt:variant>
        <vt:i4>0</vt:i4>
      </vt:variant>
      <vt:variant>
        <vt:i4>5</vt:i4>
      </vt:variant>
      <vt:variant>
        <vt:lpwstr>https://data.consilium.europa.eu/doc/document/ST-8665-2021-INIT/en/pdf</vt:lpwstr>
      </vt:variant>
      <vt:variant>
        <vt:lpwstr/>
      </vt:variant>
      <vt:variant>
        <vt:i4>6881323</vt:i4>
      </vt:variant>
      <vt:variant>
        <vt:i4>39</vt:i4>
      </vt:variant>
      <vt:variant>
        <vt:i4>0</vt:i4>
      </vt:variant>
      <vt:variant>
        <vt:i4>5</vt:i4>
      </vt:variant>
      <vt:variant>
        <vt:lpwstr>https://ec.europa.eu/info/funding-tenders/opportunities/portal/screen/opportunities/projects-results?order=DESC&amp;pageNumber=1&amp;pageSize=50&amp;sortBy=title&amp;isExactMatch=true&amp;programmePeriod=2021%20-%202027&amp;frameworkProgramme=43252368&amp;topicAbbreviation=ISF-2022-TF1-AG-THB</vt:lpwstr>
      </vt:variant>
      <vt:variant>
        <vt:lpwstr/>
      </vt:variant>
      <vt:variant>
        <vt:i4>4980842</vt:i4>
      </vt:variant>
      <vt:variant>
        <vt:i4>36</vt:i4>
      </vt:variant>
      <vt:variant>
        <vt:i4>0</vt:i4>
      </vt:variant>
      <vt:variant>
        <vt:i4>5</vt:i4>
      </vt:variant>
      <vt:variant>
        <vt:lpwstr>https://home-affairs.ec.europa.eu/funding/internal-security-funds/internal-security-fund-2021-2027_en</vt:lpwstr>
      </vt:variant>
      <vt:variant>
        <vt:lpwstr/>
      </vt:variant>
      <vt:variant>
        <vt:i4>7274569</vt:i4>
      </vt:variant>
      <vt:variant>
        <vt:i4>30</vt:i4>
      </vt:variant>
      <vt:variant>
        <vt:i4>0</vt:i4>
      </vt:variant>
      <vt:variant>
        <vt:i4>5</vt:i4>
      </vt:variant>
      <vt:variant>
        <vt:lpwstr>https://home-affairs.ec.europa.eu/funding/asylum-migration-and-integration-funds/asylum-migration-and-integration-fund-2021-2027_en</vt:lpwstr>
      </vt:variant>
      <vt:variant>
        <vt:lpwstr/>
      </vt:variant>
      <vt:variant>
        <vt:i4>720915</vt:i4>
      </vt:variant>
      <vt:variant>
        <vt:i4>24</vt:i4>
      </vt:variant>
      <vt:variant>
        <vt:i4>0</vt:i4>
      </vt:variant>
      <vt:variant>
        <vt:i4>5</vt:i4>
      </vt:variant>
      <vt:variant>
        <vt:lpwstr>https://www.cncdh.fr/sites/default/files/2024-03/A - 2024 - 2 - Avis Contrainte %C3%A0 commettre d%C3%A9lit ou crime%2C mars 2024.pdf</vt:lpwstr>
      </vt:variant>
      <vt:variant>
        <vt:lpwstr/>
      </vt:variant>
      <vt:variant>
        <vt:i4>7471207</vt:i4>
      </vt:variant>
      <vt:variant>
        <vt:i4>21</vt:i4>
      </vt:variant>
      <vt:variant>
        <vt:i4>0</vt:i4>
      </vt:variant>
      <vt:variant>
        <vt:i4>5</vt:i4>
      </vt:variant>
      <vt:variant>
        <vt:lpwstr>https://www.europol.europa.eu/media-press/newsroom/news/human-trafficking-ring-exploiting-children-halted-in-serbia</vt:lpwstr>
      </vt:variant>
      <vt:variant>
        <vt:lpwstr/>
      </vt:variant>
      <vt:variant>
        <vt:i4>3342458</vt:i4>
      </vt:variant>
      <vt:variant>
        <vt:i4>18</vt:i4>
      </vt:variant>
      <vt:variant>
        <vt:i4>0</vt:i4>
      </vt:variant>
      <vt:variant>
        <vt:i4>5</vt:i4>
      </vt:variant>
      <vt:variant>
        <vt:lpwstr>https://www.tdh.de/was-wir-tun/arbeitsfelder/kinderarbeit/</vt:lpwstr>
      </vt:variant>
      <vt:variant>
        <vt:lpwstr/>
      </vt:variant>
      <vt:variant>
        <vt:i4>4063291</vt:i4>
      </vt:variant>
      <vt:variant>
        <vt:i4>15</vt:i4>
      </vt:variant>
      <vt:variant>
        <vt:i4>0</vt:i4>
      </vt:variant>
      <vt:variant>
        <vt:i4>5</vt:i4>
      </vt:variant>
      <vt:variant>
        <vt:lpwstr>https://www.bka.de/SharedDocs/Downloads/DE/Publikationen/JahresberichteUndLagebilder/Menschenhandel/menschenhandelBundeslagebild2022.html?nn=27956</vt:lpwstr>
      </vt:variant>
      <vt:variant>
        <vt:lpwstr/>
      </vt:variant>
      <vt:variant>
        <vt:i4>5701648</vt:i4>
      </vt:variant>
      <vt:variant>
        <vt:i4>12</vt:i4>
      </vt:variant>
      <vt:variant>
        <vt:i4>0</vt:i4>
      </vt:variant>
      <vt:variant>
        <vt:i4>5</vt:i4>
      </vt:variant>
      <vt:variant>
        <vt:lpwstr>https://www.myria.be/files/2023_MYRIA_Rapport_annuel_d%C3%A9valuation_Traite_et_trafic_des_%C3%AAtres_humains.pdf</vt:lpwstr>
      </vt:variant>
      <vt:variant>
        <vt:lpwstr/>
      </vt:variant>
      <vt:variant>
        <vt:i4>3342450</vt:i4>
      </vt:variant>
      <vt:variant>
        <vt:i4>9</vt:i4>
      </vt:variant>
      <vt:variant>
        <vt:i4>0</vt:i4>
      </vt:variant>
      <vt:variant>
        <vt:i4>5</vt:i4>
      </vt:variant>
      <vt:variant>
        <vt:lpwstr>https://www.europol.europa.eu/media-press/newsroom/news/first-forensic-sprint-europol-to-speed-human-trafficking-investigations</vt:lpwstr>
      </vt:variant>
      <vt:variant>
        <vt:lpwstr/>
      </vt:variant>
      <vt:variant>
        <vt:i4>5046362</vt:i4>
      </vt:variant>
      <vt:variant>
        <vt:i4>6</vt:i4>
      </vt:variant>
      <vt:variant>
        <vt:i4>0</vt:i4>
      </vt:variant>
      <vt:variant>
        <vt:i4>5</vt:i4>
      </vt:variant>
      <vt:variant>
        <vt:lpwstr>https://eur-lex.europa.eu/legal-content/EN/TXT/PDF/?uri=CELEX:52021DC0171&amp;from=EN</vt:lpwstr>
      </vt:variant>
      <vt:variant>
        <vt:lpwstr/>
      </vt:variant>
      <vt:variant>
        <vt:i4>3670120</vt:i4>
      </vt:variant>
      <vt:variant>
        <vt:i4>3</vt:i4>
      </vt:variant>
      <vt:variant>
        <vt:i4>0</vt:i4>
      </vt:variant>
      <vt:variant>
        <vt:i4>5</vt:i4>
      </vt:variant>
      <vt:variant>
        <vt:lpwstr>https://www.ilo.org/publications/major-publications/profits-and-poverty-economics-forced-labour</vt:lpwstr>
      </vt:variant>
      <vt:variant>
        <vt:lpwstr>:~:text=28%20million%20people%20were%20trapped,costs%20for%20the%20entire%20society.</vt:lpwstr>
      </vt:variant>
      <vt:variant>
        <vt:i4>6750270</vt:i4>
      </vt:variant>
      <vt:variant>
        <vt:i4>0</vt:i4>
      </vt:variant>
      <vt:variant>
        <vt:i4>0</vt:i4>
      </vt:variant>
      <vt:variant>
        <vt:i4>5</vt:i4>
      </vt:variant>
      <vt:variant>
        <vt:lpwstr>https://globalinitiative.net/analysis/ocindex-2023/</vt:lpwstr>
      </vt:variant>
      <vt:variant>
        <vt:lpwstr/>
      </vt:variant>
      <vt:variant>
        <vt:i4>5111918</vt:i4>
      </vt:variant>
      <vt:variant>
        <vt:i4>6</vt:i4>
      </vt:variant>
      <vt:variant>
        <vt:i4>0</vt:i4>
      </vt:variant>
      <vt:variant>
        <vt:i4>5</vt:i4>
      </vt:variant>
      <vt:variant>
        <vt:lpwstr>mailto:Michael.SPATH@ec.europa.eu</vt:lpwstr>
      </vt:variant>
      <vt:variant>
        <vt:lpwstr/>
      </vt:variant>
      <vt:variant>
        <vt:i4>7274590</vt:i4>
      </vt:variant>
      <vt:variant>
        <vt:i4>3</vt:i4>
      </vt:variant>
      <vt:variant>
        <vt:i4>0</vt:i4>
      </vt:variant>
      <vt:variant>
        <vt:i4>5</vt:i4>
      </vt:variant>
      <vt:variant>
        <vt:lpwstr>mailto:Maria.KOUTZIAMPASOPOULOU@ec.europa.eu</vt:lpwstr>
      </vt:variant>
      <vt:variant>
        <vt:lpwstr/>
      </vt:variant>
      <vt:variant>
        <vt:i4>2949199</vt:i4>
      </vt:variant>
      <vt:variant>
        <vt:i4>0</vt:i4>
      </vt:variant>
      <vt:variant>
        <vt:i4>0</vt:i4>
      </vt:variant>
      <vt:variant>
        <vt:i4>5</vt:i4>
      </vt:variant>
      <vt:variant>
        <vt:lpwstr>mailto:Antonio.LABRADOR-JIMENEZ@ec.europa.eu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2025-01-06T16:36:00Z</dcterms:created>
  <dcterms:modified xsi:type="dcterms:W3CDTF">2025-01-20T10:06:00Z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2024-10-14T14:00:30Z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136bfff5-bf86-418c-a88e-febaf2bf2fc8</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CP-008</vt:lpwstr>
  </property>
</Properties>
</file>